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1.xml" ContentType="application/vnd.openxmlformats-officedocument.wordprocessingml.header+xml"/>
  <Override PartName="/word/footer39.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4.xml" ContentType="application/vnd.openxmlformats-officedocument.wordprocessingml.header+xml"/>
  <Override PartName="/word/footer42.xml" ContentType="application/vnd.openxmlformats-officedocument.wordprocessingml.foot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72E8" w14:textId="3F9BD0A5" w:rsidR="00792589" w:rsidRPr="0085581F" w:rsidRDefault="00FF5946" w:rsidP="00A32E35">
      <w:pPr>
        <w:pageBreakBefore/>
        <w:pBdr>
          <w:top w:val="nil"/>
          <w:left w:val="nil"/>
          <w:bottom w:val="nil"/>
          <w:right w:val="nil"/>
          <w:between w:val="nil"/>
          <w:bar w:val="nil"/>
        </w:pBdr>
        <w:spacing w:before="100" w:beforeAutospacing="1" w:after="100" w:afterAutospacing="1"/>
        <w:rPr>
          <w:rFonts w:asciiTheme="majorBidi" w:eastAsia="Calibri" w:hAnsiTheme="majorBidi" w:cstheme="majorBidi"/>
          <w:b/>
          <w:bCs/>
          <w:bdr w:val="nil"/>
        </w:rPr>
      </w:pPr>
      <w:r>
        <w:rPr>
          <w:rFonts w:asciiTheme="majorBidi" w:eastAsia="Calibri" w:hAnsiTheme="majorBidi" w:cstheme="majorBidi"/>
          <w:b/>
          <w:bCs/>
          <w:noProof/>
          <w:bdr w:val="nil"/>
        </w:rPr>
        <w:drawing>
          <wp:anchor distT="0" distB="0" distL="114300" distR="114300" simplePos="0" relativeHeight="251701248" behindDoc="0" locked="0" layoutInCell="1" allowOverlap="1" wp14:anchorId="57A012B2" wp14:editId="3E302CD1">
            <wp:simplePos x="0" y="0"/>
            <wp:positionH relativeFrom="column">
              <wp:posOffset>-190500</wp:posOffset>
            </wp:positionH>
            <wp:positionV relativeFrom="paragraph">
              <wp:posOffset>-734060</wp:posOffset>
            </wp:positionV>
            <wp:extent cx="694055" cy="600710"/>
            <wp:effectExtent l="0" t="0" r="0" b="8890"/>
            <wp:wrapNone/>
            <wp:docPr id="1065484195" name="תמונה 13" descr="Link to an Accessible version of the document">
              <a:hlinkClick xmlns:a="http://schemas.openxmlformats.org/drawingml/2006/main" r:id="rId8" tooltip="Link to an Accessible version of the docum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84195" name="תמונה 13" descr="Link to an Accessible version of the document">
                      <a:hlinkClick r:id="rId8" tooltip="Link to an Accessible version of the documen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4055" cy="600710"/>
                    </a:xfrm>
                    <a:prstGeom prst="rect">
                      <a:avLst/>
                    </a:prstGeom>
                  </pic:spPr>
                </pic:pic>
              </a:graphicData>
            </a:graphic>
          </wp:anchor>
        </w:drawing>
      </w:r>
      <w:r w:rsidR="00774C54" w:rsidRPr="0085581F">
        <w:rPr>
          <w:rFonts w:asciiTheme="majorBidi" w:eastAsia="Calibri" w:hAnsiTheme="majorBidi" w:cstheme="majorBidi"/>
          <w:b/>
          <w:bCs/>
          <w:bdr w:val="nil"/>
        </w:rPr>
        <w:t xml:space="preserve">THIS DOCUMENT IS AN ENGLISH TRANSLATION OF THE HEBREW VERSION OF THE COMPANY’S FINANCIAL STATEMENTS AND THE MANAGEMENT DISCUSSION AND ANALYSIS FOR THE </w:t>
      </w:r>
      <w:r w:rsidR="006F491E" w:rsidRPr="0085581F">
        <w:rPr>
          <w:rFonts w:asciiTheme="majorBidi" w:eastAsia="Calibri" w:hAnsiTheme="majorBidi" w:cstheme="majorBidi"/>
          <w:b/>
          <w:bCs/>
          <w:bdr w:val="nil"/>
        </w:rPr>
        <w:t>SECOND</w:t>
      </w:r>
      <w:r w:rsidR="00774C54" w:rsidRPr="0085581F">
        <w:rPr>
          <w:rFonts w:asciiTheme="majorBidi" w:eastAsia="Calibri" w:hAnsiTheme="majorBidi" w:cstheme="majorBidi"/>
          <w:b/>
          <w:bCs/>
          <w:bdr w:val="nil"/>
        </w:rPr>
        <w:t xml:space="preserve"> QUARTER OF </w:t>
      </w:r>
      <w:r w:rsidR="006B6884" w:rsidRPr="0085581F">
        <w:rPr>
          <w:rFonts w:asciiTheme="majorBidi" w:eastAsia="Calibri" w:hAnsiTheme="majorBidi" w:cstheme="majorBidi"/>
          <w:b/>
          <w:bCs/>
          <w:bdr w:val="nil"/>
        </w:rPr>
        <w:t>2024</w:t>
      </w:r>
      <w:r w:rsidR="00774C54" w:rsidRPr="0085581F">
        <w:rPr>
          <w:rFonts w:asciiTheme="majorBidi" w:eastAsia="Calibri" w:hAnsiTheme="majorBidi" w:cstheme="majorBidi"/>
          <w:b/>
          <w:bCs/>
          <w:bdr w:val="nil"/>
        </w:rPr>
        <w:t xml:space="preserve"> (THE “REPORTS”). THE HEBREW VERSION OF THE REPORTS IS THE BINDING VERSION AND THE ONLY VERSION HAVING LEGAL EFFECT. THE ENGLISH TRANSLATION HAS BEEN CREATED FOR THE PURPOSE OF CONVENIENCE ONLY.  THE APPROVAL OF THE COMPANY’S BOARD OF DIRECTORS WAS GIVEN TO THE HEBREW VERSION ONLY AND NO SUCH APPROVAL HAS BEEN GIVEN TO THE ENGLISH TRANSLATION.  THE ENGLISH TRANSLATION WAS NOT PUBLISHED AND HAS NOT BEEN SUBMITTED TO THE ISRAELI SECURITIES AUTHORITY FOR ITS REVIEW.</w:t>
      </w:r>
    </w:p>
    <w:p w14:paraId="6A46DE3C" w14:textId="77777777" w:rsidR="00792589" w:rsidRPr="0085581F" w:rsidRDefault="00792589" w:rsidP="007724C5">
      <w:pPr>
        <w:pBdr>
          <w:top w:val="nil"/>
          <w:left w:val="nil"/>
          <w:bottom w:val="nil"/>
          <w:right w:val="nil"/>
          <w:between w:val="nil"/>
          <w:bar w:val="nil"/>
        </w:pBdr>
        <w:jc w:val="center"/>
        <w:rPr>
          <w:rFonts w:asciiTheme="majorBidi" w:eastAsia="Calibri" w:hAnsiTheme="majorBidi" w:cstheme="majorBidi"/>
          <w:b/>
          <w:bCs/>
          <w:sz w:val="24"/>
          <w:szCs w:val="24"/>
          <w:bdr w:val="nil"/>
          <w:rtl/>
        </w:rPr>
      </w:pPr>
    </w:p>
    <w:p w14:paraId="3BC8873A" w14:textId="4E169A04" w:rsidR="00792589" w:rsidRPr="0085581F" w:rsidRDefault="00B061D1" w:rsidP="009D77C3">
      <w:pPr>
        <w:pBdr>
          <w:top w:val="nil"/>
          <w:left w:val="nil"/>
          <w:bottom w:val="nil"/>
          <w:right w:val="nil"/>
          <w:between w:val="nil"/>
          <w:bar w:val="nil"/>
        </w:pBdr>
        <w:jc w:val="center"/>
        <w:rPr>
          <w:rFonts w:asciiTheme="majorBidi" w:eastAsia="Calibri" w:hAnsiTheme="majorBidi" w:cstheme="majorBidi"/>
          <w:b/>
          <w:bCs/>
          <w:sz w:val="24"/>
          <w:szCs w:val="24"/>
          <w:bdr w:val="nil"/>
        </w:rPr>
      </w:pPr>
      <w:r w:rsidRPr="0085581F">
        <w:rPr>
          <w:rFonts w:asciiTheme="majorBidi" w:eastAsia="Calibri" w:hAnsiTheme="majorBidi" w:cstheme="majorBidi"/>
          <w:b/>
          <w:bCs/>
          <w:noProof/>
          <w:sz w:val="24"/>
          <w:szCs w:val="24"/>
          <w:bdr w:val="nil"/>
        </w:rPr>
        <w:drawing>
          <wp:inline distT="0" distB="0" distL="0" distR="0" wp14:anchorId="7C1FD91D" wp14:editId="65E5255E">
            <wp:extent cx="1202630" cy="1527632"/>
            <wp:effectExtent l="0" t="0" r="0" b="0"/>
            <wp:docPr id="6" name="Picture 6" descr="G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 Cit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7300" cy="1533564"/>
                    </a:xfrm>
                    <a:prstGeom prst="rect">
                      <a:avLst/>
                    </a:prstGeom>
                    <a:noFill/>
                    <a:ln>
                      <a:noFill/>
                    </a:ln>
                  </pic:spPr>
                </pic:pic>
              </a:graphicData>
            </a:graphic>
          </wp:inline>
        </w:drawing>
      </w:r>
    </w:p>
    <w:p w14:paraId="16F89756" w14:textId="77777777" w:rsidR="00792589" w:rsidRPr="0085581F" w:rsidRDefault="00792589" w:rsidP="009D77C3">
      <w:pPr>
        <w:pBdr>
          <w:top w:val="nil"/>
          <w:left w:val="nil"/>
          <w:bottom w:val="nil"/>
          <w:right w:val="nil"/>
          <w:between w:val="nil"/>
          <w:bar w:val="nil"/>
        </w:pBdr>
        <w:jc w:val="center"/>
        <w:rPr>
          <w:rFonts w:asciiTheme="majorBidi" w:eastAsia="Calibri" w:hAnsiTheme="majorBidi" w:cstheme="majorBidi"/>
          <w:b/>
          <w:bCs/>
          <w:sz w:val="24"/>
          <w:szCs w:val="24"/>
          <w:bdr w:val="nil"/>
        </w:rPr>
      </w:pPr>
    </w:p>
    <w:p w14:paraId="59D27ADC" w14:textId="6A6542A3" w:rsidR="00792589" w:rsidRPr="0085581F" w:rsidRDefault="00774C54" w:rsidP="005B2439">
      <w:pPr>
        <w:pBdr>
          <w:top w:val="nil"/>
          <w:left w:val="nil"/>
          <w:bottom w:val="nil"/>
          <w:right w:val="nil"/>
          <w:between w:val="nil"/>
          <w:bar w:val="nil"/>
        </w:pBdr>
        <w:jc w:val="center"/>
        <w:outlineLvl w:val="0"/>
        <w:rPr>
          <w:rFonts w:asciiTheme="majorBidi" w:eastAsia="Calibri" w:hAnsiTheme="majorBidi" w:cstheme="majorBidi"/>
          <w:b/>
          <w:bCs/>
          <w:sz w:val="24"/>
          <w:szCs w:val="24"/>
          <w:bdr w:val="nil"/>
        </w:rPr>
      </w:pPr>
      <w:r w:rsidRPr="0085581F">
        <w:rPr>
          <w:rFonts w:asciiTheme="majorBidi" w:eastAsia="Calibri" w:hAnsiTheme="majorBidi" w:cstheme="majorBidi"/>
          <w:b/>
          <w:bCs/>
          <w:sz w:val="24"/>
          <w:szCs w:val="24"/>
          <w:bdr w:val="nil"/>
        </w:rPr>
        <w:t xml:space="preserve">QUARTERLY REPORT as of </w:t>
      </w:r>
      <w:bookmarkStart w:id="0" w:name="_Hlk174890325"/>
      <w:r w:rsidR="006F491E" w:rsidRPr="0085581F">
        <w:rPr>
          <w:rFonts w:asciiTheme="majorBidi" w:eastAsia="Calibri" w:hAnsiTheme="majorBidi" w:cstheme="majorBidi"/>
          <w:b/>
          <w:bCs/>
          <w:sz w:val="24"/>
          <w:szCs w:val="24"/>
          <w:bdr w:val="nil"/>
        </w:rPr>
        <w:t>June</w:t>
      </w:r>
      <w:r w:rsidRPr="0085581F">
        <w:rPr>
          <w:rFonts w:asciiTheme="majorBidi" w:eastAsia="Calibri" w:hAnsiTheme="majorBidi" w:cstheme="majorBidi"/>
          <w:b/>
          <w:bCs/>
          <w:sz w:val="24"/>
          <w:szCs w:val="24"/>
          <w:bdr w:val="nil"/>
        </w:rPr>
        <w:t xml:space="preserve"> </w:t>
      </w:r>
      <w:r w:rsidR="006F491E" w:rsidRPr="0085581F">
        <w:rPr>
          <w:rFonts w:asciiTheme="majorBidi" w:eastAsia="Calibri" w:hAnsiTheme="majorBidi" w:cstheme="majorBidi"/>
          <w:b/>
          <w:bCs/>
          <w:sz w:val="24"/>
          <w:szCs w:val="24"/>
          <w:bdr w:val="nil"/>
        </w:rPr>
        <w:t>30</w:t>
      </w:r>
      <w:r w:rsidRPr="0085581F">
        <w:rPr>
          <w:rFonts w:asciiTheme="majorBidi" w:eastAsia="Calibri" w:hAnsiTheme="majorBidi" w:cstheme="majorBidi"/>
          <w:b/>
          <w:bCs/>
          <w:sz w:val="24"/>
          <w:szCs w:val="24"/>
          <w:bdr w:val="nil"/>
        </w:rPr>
        <w:t xml:space="preserve">, </w:t>
      </w:r>
      <w:r w:rsidR="00FA4944" w:rsidRPr="0085581F">
        <w:rPr>
          <w:rFonts w:asciiTheme="majorBidi" w:eastAsia="Calibri" w:hAnsiTheme="majorBidi" w:cstheme="majorBidi"/>
          <w:b/>
          <w:bCs/>
          <w:sz w:val="24"/>
          <w:szCs w:val="24"/>
          <w:bdr w:val="nil"/>
          <w:rtl/>
        </w:rPr>
        <w:t>2024</w:t>
      </w:r>
      <w:bookmarkEnd w:id="0"/>
      <w:r w:rsidRPr="0085581F">
        <w:rPr>
          <w:rFonts w:asciiTheme="majorBidi" w:eastAsia="Calibri" w:hAnsiTheme="majorBidi" w:cstheme="majorBidi"/>
          <w:b/>
          <w:bCs/>
          <w:sz w:val="24"/>
          <w:szCs w:val="24"/>
          <w:bdr w:val="nil"/>
        </w:rPr>
        <w:t>:</w:t>
      </w:r>
    </w:p>
    <w:p w14:paraId="7AC021BC" w14:textId="77777777" w:rsidR="00792589" w:rsidRPr="0085581F" w:rsidRDefault="00774C54" w:rsidP="00237FE0">
      <w:pPr>
        <w:pBdr>
          <w:top w:val="nil"/>
          <w:left w:val="nil"/>
          <w:bottom w:val="nil"/>
          <w:right w:val="nil"/>
          <w:between w:val="nil"/>
          <w:bar w:val="nil"/>
        </w:pBdr>
        <w:jc w:val="center"/>
        <w:rPr>
          <w:rFonts w:asciiTheme="majorBidi" w:eastAsia="Calibri" w:hAnsiTheme="majorBidi" w:cstheme="majorBidi"/>
          <w:sz w:val="24"/>
          <w:szCs w:val="24"/>
          <w:u w:val="single"/>
          <w:bdr w:val="nil"/>
        </w:rPr>
      </w:pPr>
      <w:r w:rsidRPr="0085581F">
        <w:rPr>
          <w:rFonts w:asciiTheme="majorBidi" w:eastAsia="Calibri" w:hAnsiTheme="majorBidi" w:cstheme="majorBidi"/>
          <w:sz w:val="24"/>
          <w:szCs w:val="24"/>
          <w:bdr w:val="nil"/>
        </w:rPr>
        <w:t xml:space="preserve">                                                                                                                                                     </w:t>
      </w:r>
    </w:p>
    <w:tbl>
      <w:tblPr>
        <w:tblStyle w:val="TableGrid"/>
        <w:tblW w:w="9979" w:type="dxa"/>
        <w:tblBorders>
          <w:top w:val="nil"/>
          <w:left w:val="nil"/>
          <w:bottom w:val="nil"/>
          <w:right w:val="nil"/>
          <w:insideH w:val="nil"/>
          <w:insideV w:val="nil"/>
        </w:tblBorders>
        <w:tblLook w:val="04A0" w:firstRow="1" w:lastRow="0" w:firstColumn="1" w:lastColumn="0" w:noHBand="0" w:noVBand="1"/>
        <w:tblCaption w:val="AHR01HC01_Dir0"/>
        <w:tblDescription w:val="TOC&#10;"/>
      </w:tblPr>
      <w:tblGrid>
        <w:gridCol w:w="8691"/>
        <w:gridCol w:w="1288"/>
      </w:tblGrid>
      <w:tr w:rsidR="00B80A62" w:rsidRPr="0085581F" w14:paraId="1C8DB0CF" w14:textId="77777777" w:rsidTr="005B2439">
        <w:trPr>
          <w:tblHeader/>
        </w:trPr>
        <w:tc>
          <w:tcPr>
            <w:tcW w:w="8691" w:type="dxa"/>
          </w:tcPr>
          <w:p w14:paraId="37DB2501" w14:textId="77777777" w:rsidR="00792589" w:rsidRPr="0085581F" w:rsidRDefault="00792589" w:rsidP="00237FE0">
            <w:pPr>
              <w:pBdr>
                <w:top w:val="nil"/>
                <w:left w:val="nil"/>
                <w:bottom w:val="nil"/>
                <w:right w:val="nil"/>
                <w:between w:val="nil"/>
                <w:bar w:val="nil"/>
              </w:pBdr>
              <w:jc w:val="left"/>
              <w:rPr>
                <w:rFonts w:asciiTheme="majorBidi" w:eastAsia="Calibri" w:hAnsiTheme="majorBidi" w:cstheme="majorBidi"/>
                <w:sz w:val="24"/>
                <w:szCs w:val="24"/>
                <w:bdr w:val="nil"/>
              </w:rPr>
            </w:pPr>
          </w:p>
        </w:tc>
        <w:tc>
          <w:tcPr>
            <w:tcW w:w="1288" w:type="dxa"/>
          </w:tcPr>
          <w:p w14:paraId="6D276D01" w14:textId="77777777" w:rsidR="00792589" w:rsidRPr="0085581F" w:rsidRDefault="00774C54" w:rsidP="00237FE0">
            <w:pPr>
              <w:pBdr>
                <w:top w:val="nil"/>
                <w:left w:val="nil"/>
                <w:bottom w:val="nil"/>
                <w:right w:val="nil"/>
                <w:between w:val="nil"/>
                <w:bar w:val="nil"/>
              </w:pBdr>
              <w:jc w:val="center"/>
              <w:rPr>
                <w:rFonts w:asciiTheme="majorBidi" w:eastAsia="Calibri" w:hAnsiTheme="majorBidi" w:cstheme="majorBidi"/>
                <w:sz w:val="24"/>
                <w:szCs w:val="24"/>
                <w:bdr w:val="nil"/>
              </w:rPr>
            </w:pPr>
            <w:r w:rsidRPr="0085581F">
              <w:rPr>
                <w:rFonts w:asciiTheme="majorBidi" w:eastAsia="Calibri" w:hAnsiTheme="majorBidi" w:cstheme="majorBidi"/>
                <w:sz w:val="24"/>
                <w:szCs w:val="24"/>
                <w:u w:val="single"/>
                <w:bdr w:val="nil"/>
              </w:rPr>
              <w:t>Page</w:t>
            </w:r>
          </w:p>
        </w:tc>
      </w:tr>
      <w:tr w:rsidR="00B80A62" w:rsidRPr="0085581F" w14:paraId="25F15D46" w14:textId="77777777" w:rsidTr="005B2439">
        <w:tc>
          <w:tcPr>
            <w:tcW w:w="8691" w:type="dxa"/>
          </w:tcPr>
          <w:p w14:paraId="02C4A8FB" w14:textId="77777777" w:rsidR="00792589" w:rsidRPr="0085581F" w:rsidRDefault="00774C54" w:rsidP="00A80B69">
            <w:pPr>
              <w:pBdr>
                <w:top w:val="nil"/>
                <w:left w:val="nil"/>
                <w:bottom w:val="nil"/>
                <w:right w:val="nil"/>
                <w:between w:val="nil"/>
                <w:bar w:val="nil"/>
              </w:pBdr>
              <w:jc w:val="left"/>
              <w:rPr>
                <w:rFonts w:asciiTheme="majorBidi" w:eastAsia="Calibri" w:hAnsiTheme="majorBidi" w:cstheme="majorBidi"/>
                <w:sz w:val="24"/>
                <w:szCs w:val="24"/>
                <w:bdr w:val="nil"/>
              </w:rPr>
            </w:pPr>
            <w:r w:rsidRPr="0085581F">
              <w:rPr>
                <w:rFonts w:asciiTheme="majorBidi" w:eastAsia="Calibri" w:hAnsiTheme="majorBidi" w:cstheme="majorBidi"/>
                <w:sz w:val="24"/>
                <w:szCs w:val="24"/>
                <w:bdr w:val="nil"/>
              </w:rPr>
              <w:t>Directors’ Report on the Company’s Business</w:t>
            </w:r>
          </w:p>
        </w:tc>
        <w:tc>
          <w:tcPr>
            <w:tcW w:w="1288" w:type="dxa"/>
          </w:tcPr>
          <w:p w14:paraId="4D934600" w14:textId="77777777" w:rsidR="00792589" w:rsidRPr="0085581F" w:rsidRDefault="00774C54" w:rsidP="00237FE0">
            <w:pPr>
              <w:pBdr>
                <w:top w:val="nil"/>
                <w:left w:val="nil"/>
                <w:bottom w:val="nil"/>
                <w:right w:val="nil"/>
                <w:between w:val="nil"/>
                <w:bar w:val="nil"/>
              </w:pBdr>
              <w:jc w:val="center"/>
              <w:rPr>
                <w:rFonts w:asciiTheme="majorBidi" w:eastAsia="Calibri" w:hAnsiTheme="majorBidi" w:cstheme="majorBidi"/>
                <w:sz w:val="24"/>
                <w:szCs w:val="24"/>
                <w:bdr w:val="nil"/>
              </w:rPr>
            </w:pPr>
            <w:r w:rsidRPr="0085581F">
              <w:rPr>
                <w:rFonts w:asciiTheme="majorBidi" w:eastAsia="Calibri" w:hAnsiTheme="majorBidi" w:cstheme="majorBidi"/>
                <w:sz w:val="24"/>
                <w:szCs w:val="24"/>
                <w:bdr w:val="nil"/>
              </w:rPr>
              <w:t>2</w:t>
            </w:r>
          </w:p>
        </w:tc>
      </w:tr>
      <w:tr w:rsidR="00B80A62" w:rsidRPr="0085581F" w14:paraId="4BEB3139" w14:textId="77777777" w:rsidTr="005B2439">
        <w:tc>
          <w:tcPr>
            <w:tcW w:w="8691" w:type="dxa"/>
          </w:tcPr>
          <w:p w14:paraId="379406CB" w14:textId="77777777" w:rsidR="00792589" w:rsidRPr="0085581F" w:rsidRDefault="00774C54" w:rsidP="0002683F">
            <w:pPr>
              <w:pBdr>
                <w:top w:val="nil"/>
                <w:left w:val="nil"/>
                <w:bottom w:val="nil"/>
                <w:right w:val="nil"/>
                <w:between w:val="nil"/>
                <w:bar w:val="nil"/>
              </w:pBdr>
              <w:jc w:val="left"/>
              <w:rPr>
                <w:rFonts w:asciiTheme="majorBidi" w:eastAsia="Calibri" w:hAnsiTheme="majorBidi" w:cstheme="majorBidi"/>
                <w:sz w:val="24"/>
                <w:szCs w:val="24"/>
                <w:bdr w:val="nil"/>
              </w:rPr>
            </w:pPr>
            <w:bookmarkStart w:id="1" w:name="_Hlk104482458"/>
            <w:r w:rsidRPr="0085581F">
              <w:rPr>
                <w:rFonts w:asciiTheme="majorBidi" w:eastAsia="Calibri" w:hAnsiTheme="majorBidi" w:cstheme="majorBidi"/>
                <w:sz w:val="24"/>
                <w:szCs w:val="24"/>
                <w:bdr w:val="nil"/>
              </w:rPr>
              <w:t>Update of Description of the Company’s Business</w:t>
            </w:r>
            <w:bookmarkEnd w:id="1"/>
          </w:p>
        </w:tc>
        <w:tc>
          <w:tcPr>
            <w:tcW w:w="1288" w:type="dxa"/>
          </w:tcPr>
          <w:p w14:paraId="44D574B6" w14:textId="079A3E06" w:rsidR="00792589" w:rsidRPr="0085581F" w:rsidRDefault="008242AD" w:rsidP="00237FE0">
            <w:pPr>
              <w:pBdr>
                <w:top w:val="nil"/>
                <w:left w:val="nil"/>
                <w:bottom w:val="nil"/>
                <w:right w:val="nil"/>
                <w:between w:val="nil"/>
                <w:bar w:val="nil"/>
              </w:pBdr>
              <w:jc w:val="center"/>
              <w:rPr>
                <w:rFonts w:asciiTheme="majorBidi" w:eastAsia="Calibri" w:hAnsiTheme="majorBidi" w:cstheme="majorBidi"/>
                <w:sz w:val="24"/>
                <w:szCs w:val="24"/>
                <w:bdr w:val="nil"/>
              </w:rPr>
            </w:pPr>
            <w:r>
              <w:rPr>
                <w:rFonts w:asciiTheme="majorBidi" w:eastAsia="Calibri" w:hAnsiTheme="majorBidi" w:cstheme="majorBidi"/>
                <w:sz w:val="24"/>
                <w:szCs w:val="24"/>
                <w:bdr w:val="nil"/>
              </w:rPr>
              <w:t>37</w:t>
            </w:r>
          </w:p>
        </w:tc>
      </w:tr>
      <w:tr w:rsidR="00B80A62" w:rsidRPr="0085581F" w14:paraId="6545A4B1" w14:textId="77777777" w:rsidTr="005B2439">
        <w:tc>
          <w:tcPr>
            <w:tcW w:w="8691" w:type="dxa"/>
          </w:tcPr>
          <w:p w14:paraId="18CC4003" w14:textId="7DE32B83" w:rsidR="00792589" w:rsidRPr="0085581F" w:rsidRDefault="00774C54" w:rsidP="00237FE0">
            <w:pPr>
              <w:pBdr>
                <w:top w:val="nil"/>
                <w:left w:val="nil"/>
                <w:bottom w:val="nil"/>
                <w:right w:val="nil"/>
                <w:between w:val="nil"/>
                <w:bar w:val="nil"/>
              </w:pBdr>
              <w:jc w:val="left"/>
              <w:rPr>
                <w:rFonts w:asciiTheme="majorBidi" w:eastAsia="Calibri" w:hAnsiTheme="majorBidi" w:cstheme="majorBidi"/>
                <w:sz w:val="24"/>
                <w:szCs w:val="24"/>
                <w:bdr w:val="nil"/>
              </w:rPr>
            </w:pPr>
            <w:r w:rsidRPr="0085581F">
              <w:rPr>
                <w:rFonts w:asciiTheme="majorBidi" w:eastAsia="Calibri" w:hAnsiTheme="majorBidi" w:cstheme="majorBidi"/>
                <w:sz w:val="24"/>
                <w:szCs w:val="24"/>
                <w:bdr w:val="nil"/>
              </w:rPr>
              <w:t xml:space="preserve">Consolidated Financial Statements as of </w:t>
            </w:r>
            <w:r w:rsidR="006F491E" w:rsidRPr="0085581F">
              <w:rPr>
                <w:rFonts w:asciiTheme="majorBidi" w:eastAsia="Calibri" w:hAnsiTheme="majorBidi" w:cstheme="majorBidi"/>
                <w:sz w:val="24"/>
                <w:szCs w:val="24"/>
                <w:bdr w:val="nil"/>
              </w:rPr>
              <w:t>June 30, 2024</w:t>
            </w:r>
          </w:p>
        </w:tc>
        <w:tc>
          <w:tcPr>
            <w:tcW w:w="1288" w:type="dxa"/>
          </w:tcPr>
          <w:p w14:paraId="6EC06092" w14:textId="46B150D4" w:rsidR="00792589" w:rsidRPr="0085581F" w:rsidRDefault="008242AD" w:rsidP="00237FE0">
            <w:pPr>
              <w:pBdr>
                <w:top w:val="nil"/>
                <w:left w:val="nil"/>
                <w:bottom w:val="nil"/>
                <w:right w:val="nil"/>
                <w:between w:val="nil"/>
                <w:bar w:val="nil"/>
              </w:pBdr>
              <w:jc w:val="center"/>
              <w:rPr>
                <w:rFonts w:asciiTheme="majorBidi" w:eastAsia="Calibri" w:hAnsiTheme="majorBidi" w:cstheme="majorBidi"/>
                <w:sz w:val="24"/>
                <w:szCs w:val="24"/>
                <w:bdr w:val="nil"/>
              </w:rPr>
            </w:pPr>
            <w:r>
              <w:rPr>
                <w:rFonts w:asciiTheme="majorBidi" w:eastAsia="Calibri" w:hAnsiTheme="majorBidi" w:cstheme="majorBidi"/>
                <w:sz w:val="24"/>
                <w:szCs w:val="24"/>
                <w:bdr w:val="nil"/>
              </w:rPr>
              <w:t>43</w:t>
            </w:r>
          </w:p>
        </w:tc>
      </w:tr>
      <w:tr w:rsidR="00B80A62" w:rsidRPr="0085581F" w14:paraId="7195E856" w14:textId="77777777" w:rsidTr="005B2439">
        <w:tc>
          <w:tcPr>
            <w:tcW w:w="8691" w:type="dxa"/>
          </w:tcPr>
          <w:p w14:paraId="3BCC0A9E" w14:textId="2E640708" w:rsidR="00792589" w:rsidRPr="0085581F" w:rsidRDefault="00774C54" w:rsidP="00237FE0">
            <w:pPr>
              <w:pBdr>
                <w:top w:val="nil"/>
                <w:left w:val="nil"/>
                <w:bottom w:val="nil"/>
                <w:right w:val="nil"/>
                <w:between w:val="nil"/>
                <w:bar w:val="nil"/>
              </w:pBdr>
              <w:jc w:val="left"/>
              <w:rPr>
                <w:rFonts w:asciiTheme="majorBidi" w:eastAsia="Calibri" w:hAnsiTheme="majorBidi" w:cstheme="majorBidi"/>
                <w:sz w:val="24"/>
                <w:szCs w:val="24"/>
                <w:bdr w:val="nil"/>
              </w:rPr>
            </w:pPr>
            <w:r w:rsidRPr="0085581F">
              <w:rPr>
                <w:rFonts w:asciiTheme="majorBidi" w:eastAsia="Calibri" w:hAnsiTheme="majorBidi" w:cstheme="majorBidi"/>
                <w:sz w:val="24"/>
                <w:szCs w:val="24"/>
                <w:bdr w:val="nil"/>
              </w:rPr>
              <w:t xml:space="preserve">Separate Financial Statements as of </w:t>
            </w:r>
            <w:r w:rsidR="006F491E" w:rsidRPr="0085581F">
              <w:rPr>
                <w:rFonts w:asciiTheme="majorBidi" w:eastAsia="Calibri" w:hAnsiTheme="majorBidi" w:cstheme="majorBidi"/>
                <w:sz w:val="24"/>
                <w:szCs w:val="24"/>
                <w:bdr w:val="nil"/>
              </w:rPr>
              <w:t>June 30, 2024</w:t>
            </w:r>
          </w:p>
        </w:tc>
        <w:tc>
          <w:tcPr>
            <w:tcW w:w="1288" w:type="dxa"/>
          </w:tcPr>
          <w:p w14:paraId="1DC033F4" w14:textId="23D98136" w:rsidR="00792589" w:rsidRPr="0085581F" w:rsidRDefault="008242AD" w:rsidP="00237FE0">
            <w:pPr>
              <w:pBdr>
                <w:top w:val="nil"/>
                <w:left w:val="nil"/>
                <w:bottom w:val="nil"/>
                <w:right w:val="nil"/>
                <w:between w:val="nil"/>
                <w:bar w:val="nil"/>
              </w:pBdr>
              <w:jc w:val="center"/>
              <w:rPr>
                <w:rFonts w:asciiTheme="majorBidi" w:eastAsia="Calibri" w:hAnsiTheme="majorBidi" w:cstheme="majorBidi"/>
                <w:sz w:val="24"/>
                <w:szCs w:val="24"/>
                <w:bdr w:val="nil"/>
              </w:rPr>
            </w:pPr>
            <w:r>
              <w:rPr>
                <w:rFonts w:asciiTheme="majorBidi" w:eastAsia="Calibri" w:hAnsiTheme="majorBidi" w:cstheme="majorBidi"/>
                <w:sz w:val="24"/>
                <w:szCs w:val="24"/>
                <w:bdr w:val="nil"/>
              </w:rPr>
              <w:t>78</w:t>
            </w:r>
          </w:p>
        </w:tc>
      </w:tr>
      <w:tr w:rsidR="00B80A62" w:rsidRPr="0085581F" w14:paraId="6CC5D243" w14:textId="77777777" w:rsidTr="005B2439">
        <w:tc>
          <w:tcPr>
            <w:tcW w:w="8691" w:type="dxa"/>
          </w:tcPr>
          <w:p w14:paraId="1EFF1D23" w14:textId="77777777" w:rsidR="00792589" w:rsidRPr="0085581F" w:rsidRDefault="00774C54" w:rsidP="00237FE0">
            <w:pPr>
              <w:pBdr>
                <w:top w:val="nil"/>
                <w:left w:val="nil"/>
                <w:bottom w:val="nil"/>
                <w:right w:val="nil"/>
                <w:between w:val="nil"/>
                <w:bar w:val="nil"/>
              </w:pBdr>
              <w:jc w:val="left"/>
              <w:rPr>
                <w:rFonts w:asciiTheme="majorBidi" w:eastAsia="Calibri" w:hAnsiTheme="majorBidi" w:cstheme="majorBidi"/>
                <w:sz w:val="24"/>
                <w:szCs w:val="24"/>
                <w:bdr w:val="nil"/>
              </w:rPr>
            </w:pPr>
            <w:r w:rsidRPr="0085581F">
              <w:rPr>
                <w:rFonts w:asciiTheme="majorBidi" w:eastAsia="Calibri" w:hAnsiTheme="majorBidi" w:cstheme="majorBidi"/>
                <w:sz w:val="24"/>
                <w:szCs w:val="24"/>
                <w:bdr w:val="nil"/>
              </w:rPr>
              <w:t>Quarterly Report on the Effectiveness of Internal Control over Financial Reporting and  the Disclosure</w:t>
            </w:r>
          </w:p>
        </w:tc>
        <w:tc>
          <w:tcPr>
            <w:tcW w:w="1288" w:type="dxa"/>
          </w:tcPr>
          <w:p w14:paraId="3C0D7ECA" w14:textId="2879F7AD" w:rsidR="00792589" w:rsidRPr="0085581F" w:rsidRDefault="008242AD" w:rsidP="00237FE0">
            <w:pPr>
              <w:pBdr>
                <w:top w:val="nil"/>
                <w:left w:val="nil"/>
                <w:bottom w:val="nil"/>
                <w:right w:val="nil"/>
                <w:between w:val="nil"/>
                <w:bar w:val="nil"/>
              </w:pBdr>
              <w:jc w:val="center"/>
              <w:rPr>
                <w:rFonts w:asciiTheme="majorBidi" w:eastAsia="Calibri" w:hAnsiTheme="majorBidi" w:cstheme="majorBidi"/>
                <w:sz w:val="24"/>
                <w:szCs w:val="24"/>
                <w:bdr w:val="nil"/>
              </w:rPr>
            </w:pPr>
            <w:r>
              <w:rPr>
                <w:rFonts w:asciiTheme="majorBidi" w:eastAsia="Calibri" w:hAnsiTheme="majorBidi" w:cstheme="majorBidi"/>
                <w:sz w:val="24"/>
                <w:szCs w:val="24"/>
                <w:bdr w:val="nil"/>
              </w:rPr>
              <w:t>91</w:t>
            </w:r>
          </w:p>
        </w:tc>
      </w:tr>
      <w:tr w:rsidR="00B80A62" w:rsidRPr="0085581F" w14:paraId="68B1DA5B" w14:textId="77777777" w:rsidTr="005B2439">
        <w:tc>
          <w:tcPr>
            <w:tcW w:w="8691" w:type="dxa"/>
          </w:tcPr>
          <w:p w14:paraId="7C204E18" w14:textId="77777777" w:rsidR="00792589" w:rsidRPr="0085581F" w:rsidRDefault="00792589" w:rsidP="00E449A2">
            <w:pPr>
              <w:pBdr>
                <w:top w:val="nil"/>
                <w:left w:val="nil"/>
                <w:bottom w:val="nil"/>
                <w:right w:val="nil"/>
                <w:between w:val="nil"/>
                <w:bar w:val="nil"/>
              </w:pBdr>
              <w:jc w:val="left"/>
              <w:rPr>
                <w:rFonts w:asciiTheme="majorBidi" w:eastAsia="Calibri" w:hAnsiTheme="majorBidi" w:cstheme="majorBidi"/>
                <w:sz w:val="24"/>
                <w:szCs w:val="24"/>
                <w:bdr w:val="nil"/>
              </w:rPr>
            </w:pPr>
          </w:p>
        </w:tc>
        <w:tc>
          <w:tcPr>
            <w:tcW w:w="1288" w:type="dxa"/>
          </w:tcPr>
          <w:p w14:paraId="7E60F55D" w14:textId="77777777" w:rsidR="00792589" w:rsidRPr="0085581F" w:rsidRDefault="00792589" w:rsidP="00237FE0">
            <w:pPr>
              <w:pBdr>
                <w:top w:val="nil"/>
                <w:left w:val="nil"/>
                <w:bottom w:val="nil"/>
                <w:right w:val="nil"/>
                <w:between w:val="nil"/>
                <w:bar w:val="nil"/>
              </w:pBdr>
              <w:jc w:val="center"/>
              <w:rPr>
                <w:rFonts w:asciiTheme="majorBidi" w:eastAsia="Calibri" w:hAnsiTheme="majorBidi" w:cstheme="majorBidi"/>
                <w:sz w:val="24"/>
                <w:szCs w:val="24"/>
                <w:bdr w:val="nil"/>
              </w:rPr>
            </w:pPr>
          </w:p>
        </w:tc>
      </w:tr>
    </w:tbl>
    <w:p w14:paraId="0A12D2B8" w14:textId="6B52EBD3" w:rsidR="0085581F" w:rsidRPr="0085581F" w:rsidRDefault="0085581F">
      <w:pPr>
        <w:rPr>
          <w:rFonts w:asciiTheme="majorBidi" w:hAnsiTheme="majorBidi" w:cstheme="majorBidi"/>
        </w:rPr>
      </w:pPr>
    </w:p>
    <w:p w14:paraId="672DDDEF" w14:textId="77777777" w:rsidR="0085581F" w:rsidRPr="0085581F" w:rsidRDefault="0085581F">
      <w:pPr>
        <w:spacing w:before="0" w:after="200"/>
        <w:jc w:val="left"/>
        <w:rPr>
          <w:rFonts w:asciiTheme="majorBidi" w:hAnsiTheme="majorBidi" w:cstheme="majorBidi"/>
        </w:rPr>
      </w:pPr>
      <w:r w:rsidRPr="0085581F">
        <w:rPr>
          <w:rFonts w:asciiTheme="majorBidi" w:hAnsiTheme="majorBidi" w:cstheme="majorBidi"/>
        </w:rPr>
        <w:br w:type="page"/>
      </w:r>
    </w:p>
    <w:p w14:paraId="1C044835" w14:textId="77777777" w:rsidR="00B80A62" w:rsidRPr="0085581F" w:rsidRDefault="00B80A62">
      <w:pPr>
        <w:rPr>
          <w:rFonts w:asciiTheme="majorBidi" w:hAnsiTheme="majorBidi" w:cstheme="majorBidi"/>
        </w:rPr>
        <w:sectPr w:rsidR="00B80A62" w:rsidRPr="0085581F" w:rsidSect="004654EA">
          <w:footnotePr>
            <w:numRestart w:val="eachPage"/>
          </w:footnotePr>
          <w:type w:val="continuous"/>
          <w:pgSz w:w="11906" w:h="16838"/>
          <w:pgMar w:top="1418" w:right="1134" w:bottom="1134" w:left="851" w:header="567" w:footer="567" w:gutter="0"/>
          <w:pgBorders>
            <w:top w:val="nil"/>
            <w:left w:val="nil"/>
            <w:bottom w:val="nil"/>
            <w:right w:val="nil"/>
          </w:pgBorders>
          <w:cols w:space="708"/>
          <w:bidi/>
          <w:rtlGutter/>
          <w:docGrid w:linePitch="360"/>
        </w:sectPr>
      </w:pPr>
    </w:p>
    <w:p w14:paraId="2DECD8C7" w14:textId="778E2454" w:rsidR="0085581F" w:rsidRPr="0085581F" w:rsidRDefault="0085581F" w:rsidP="0085581F">
      <w:pPr>
        <w:keepNext/>
        <w:keepLines/>
        <w:pageBreakBefore/>
        <w:tabs>
          <w:tab w:val="left" w:pos="1133"/>
        </w:tabs>
        <w:contextualSpacing/>
        <w:jc w:val="center"/>
        <w:outlineLvl w:val="1"/>
        <w:rPr>
          <w:rFonts w:asciiTheme="majorBidi" w:hAnsiTheme="majorBidi" w:cstheme="majorBidi"/>
          <w:b/>
          <w:bCs/>
          <w:sz w:val="22"/>
          <w:szCs w:val="22"/>
        </w:rPr>
      </w:pPr>
      <w:bookmarkStart w:id="2" w:name="RG_DOC_9lvBUnLcpGd"/>
      <w:bookmarkStart w:id="3" w:name="RG_MARKER_56600"/>
      <w:bookmarkStart w:id="4" w:name="RG_MARKER_56575"/>
      <w:bookmarkStart w:id="5" w:name="RG_MARKER_56610"/>
      <w:bookmarkStart w:id="6" w:name="RG_DOC_AdNPXLUsL15"/>
      <w:bookmarkStart w:id="7" w:name="H2_גזיתגלוב_בעמדין_וחשבון_הדירקטוריון_לב"/>
      <w:r w:rsidRPr="0085581F">
        <w:rPr>
          <w:rFonts w:asciiTheme="majorBidi" w:hAnsiTheme="majorBidi" w:cstheme="majorBidi"/>
          <w:b/>
          <w:bCs/>
          <w:sz w:val="22"/>
          <w:szCs w:val="22"/>
        </w:rPr>
        <w:lastRenderedPageBreak/>
        <w:t>G City Ltd.</w:t>
      </w:r>
      <w:bookmarkEnd w:id="2"/>
      <w:bookmarkEnd w:id="3"/>
      <w:bookmarkEnd w:id="4"/>
      <w:bookmarkEnd w:id="5"/>
      <w:bookmarkEnd w:id="6"/>
      <w:r w:rsidRPr="0085581F">
        <w:rPr>
          <w:rFonts w:asciiTheme="majorBidi" w:hAnsiTheme="majorBidi" w:cstheme="majorBidi"/>
          <w:b/>
          <w:bCs/>
          <w:sz w:val="22"/>
          <w:szCs w:val="22"/>
        </w:rPr>
        <w:br/>
        <w:t>Directors</w:t>
      </w:r>
      <w:r w:rsidR="009C24EF">
        <w:rPr>
          <w:rFonts w:asciiTheme="majorBidi" w:hAnsiTheme="majorBidi" w:cstheme="majorBidi" w:hint="cs"/>
          <w:b/>
          <w:bCs/>
          <w:sz w:val="22"/>
          <w:szCs w:val="22"/>
          <w:rtl/>
        </w:rPr>
        <w:t>'</w:t>
      </w:r>
      <w:r w:rsidRPr="0085581F">
        <w:rPr>
          <w:rFonts w:asciiTheme="majorBidi" w:hAnsiTheme="majorBidi" w:cstheme="majorBidi"/>
          <w:b/>
          <w:bCs/>
          <w:sz w:val="22"/>
          <w:szCs w:val="22"/>
        </w:rPr>
        <w:t xml:space="preserve"> Report to the Shareholders</w:t>
      </w:r>
      <w:r w:rsidRPr="0085581F">
        <w:rPr>
          <w:rFonts w:asciiTheme="majorBidi" w:hAnsiTheme="majorBidi" w:cstheme="majorBidi"/>
          <w:b/>
          <w:bCs/>
          <w:sz w:val="22"/>
          <w:szCs w:val="22"/>
        </w:rPr>
        <w:br/>
        <w:t>for the Period ended on June 30, 2024</w:t>
      </w:r>
    </w:p>
    <w:bookmarkEnd w:id="7"/>
    <w:p w14:paraId="724518F7" w14:textId="77777777" w:rsidR="0085581F" w:rsidRPr="0085581F" w:rsidRDefault="0085581F" w:rsidP="0085581F">
      <w:pPr>
        <w:keepNext/>
        <w:keepLines/>
        <w:tabs>
          <w:tab w:val="center" w:pos="4960"/>
        </w:tabs>
        <w:contextualSpacing/>
        <w:jc w:val="left"/>
        <w:rPr>
          <w:rFonts w:asciiTheme="majorBidi" w:hAnsiTheme="majorBidi" w:cstheme="majorBidi"/>
        </w:rPr>
      </w:pPr>
      <w:r w:rsidRPr="0085581F">
        <w:rPr>
          <w:rFonts w:asciiTheme="majorBidi" w:hAnsiTheme="majorBidi" w:cstheme="majorBidi"/>
          <w:noProof/>
        </w:rPr>
        <mc:AlternateContent>
          <mc:Choice Requires="wps">
            <w:drawing>
              <wp:anchor distT="0" distB="0" distL="114300" distR="114300" simplePos="0" relativeHeight="251681792" behindDoc="0" locked="0" layoutInCell="1" allowOverlap="1" wp14:anchorId="412F1C3A" wp14:editId="475AA6E0">
                <wp:simplePos x="0" y="0"/>
                <wp:positionH relativeFrom="margin">
                  <wp:align>center</wp:align>
                </wp:positionH>
                <wp:positionV relativeFrom="paragraph">
                  <wp:posOffset>104140</wp:posOffset>
                </wp:positionV>
                <wp:extent cx="1076960" cy="0"/>
                <wp:effectExtent l="23495" t="19685" r="23495" b="27940"/>
                <wp:wrapNone/>
                <wp:docPr id="1" name="מחבר ישר 12"/>
                <wp:cNvGraphicFramePr/>
                <a:graphic xmlns:a="http://schemas.openxmlformats.org/drawingml/2006/main">
                  <a:graphicData uri="http://schemas.microsoft.com/office/word/2010/wordprocessingShape">
                    <wps:wsp>
                      <wps:cNvSpPr/>
                      <wps:spPr bwMode="auto">
                        <a:xfrm>
                          <a:off x="0" y="0"/>
                          <a:ext cx="1076960" cy="0"/>
                        </a:xfrm>
                        <a:custGeom>
                          <a:avLst/>
                          <a:gdLst>
                            <a:gd name="T0" fmla="*/ 1696 w 1696"/>
                            <a:gd name="T1" fmla="*/ 0 h 1"/>
                            <a:gd name="T2" fmla="*/ 0 w 1696"/>
                            <a:gd name="T3" fmla="*/ 0 h 1"/>
                          </a:gdLst>
                          <a:ahLst/>
                          <a:cxnLst>
                            <a:cxn ang="0">
                              <a:pos x="T0" y="T1"/>
                            </a:cxn>
                            <a:cxn ang="0">
                              <a:pos x="T2" y="T3"/>
                            </a:cxn>
                          </a:cxnLst>
                          <a:rect l="0" t="0" r="r" b="b"/>
                          <a:pathLst>
                            <a:path w="1696" h="1">
                              <a:moveTo>
                                <a:pt x="1696" y="0"/>
                              </a:moveTo>
                              <a:lnTo>
                                <a:pt x="0" y="0"/>
                              </a:lnTo>
                            </a:path>
                          </a:pathLst>
                        </a:custGeom>
                        <a:solidFill>
                          <a:srgbClr val="1877F2"/>
                        </a:solidFill>
                        <a:ln w="38100">
                          <a:solidFill>
                            <a:srgbClr val="1877F2"/>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D061728" id="מחבר ישר 12" o:spid="_x0000_s1026" style="position:absolute;margin-left:0;margin-top:8.2pt;width:84.8pt;height:0;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16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" path="m1696,l,e" fillcolor="#1877f2" strokecolor="#1877f2" strokeweight="3pt">
                <v:path arrowok="t" o:connecttype="custom" o:connectlocs="1076960,0;0,0" o:connectangles="0,0"/>
                <w10:wrap anchorx="margin"/>
              </v:shape>
            </w:pict>
          </mc:Fallback>
        </mc:AlternateContent>
      </w:r>
      <w:r w:rsidRPr="0085581F">
        <w:rPr>
          <w:rFonts w:asciiTheme="majorBidi" w:hAnsiTheme="majorBidi" w:cstheme="majorBidi"/>
        </w:rPr>
        <w:tab/>
      </w:r>
    </w:p>
    <w:p w14:paraId="5FDBB14B" w14:textId="77777777" w:rsidR="0085581F" w:rsidRPr="0085581F" w:rsidRDefault="0085581F" w:rsidP="0085581F">
      <w:pPr>
        <w:keepNext/>
        <w:keepLines/>
        <w:tabs>
          <w:tab w:val="left" w:pos="1133"/>
        </w:tabs>
        <w:contextualSpacing/>
        <w:rPr>
          <w:rFonts w:asciiTheme="majorBidi" w:hAnsiTheme="majorBidi" w:cstheme="majorBidi"/>
          <w:rtl/>
        </w:rPr>
      </w:pPr>
    </w:p>
    <w:p w14:paraId="0A2D63F0" w14:textId="0DA2D0F4" w:rsidR="0085581F" w:rsidRPr="0085581F" w:rsidRDefault="0085581F" w:rsidP="0085581F">
      <w:pPr>
        <w:keepLines/>
        <w:tabs>
          <w:tab w:val="left" w:pos="1133"/>
        </w:tabs>
        <w:contextualSpacing/>
        <w:rPr>
          <w:rFonts w:asciiTheme="majorBidi" w:hAnsiTheme="majorBidi" w:cstheme="majorBidi"/>
          <w:sz w:val="21"/>
          <w:szCs w:val="21"/>
        </w:rPr>
      </w:pPr>
      <w:r w:rsidRPr="0085581F">
        <w:rPr>
          <w:rFonts w:asciiTheme="majorBidi" w:hAnsiTheme="majorBidi" w:cstheme="majorBidi"/>
          <w:sz w:val="21"/>
        </w:rPr>
        <w:t xml:space="preserve">The Board of Directors of G City Ltd.  (the “Company”) is pleased to present the Directors’ Report of the Company for the </w:t>
      </w:r>
      <w:r w:rsidR="00A5600F">
        <w:rPr>
          <w:rFonts w:asciiTheme="majorBidi" w:hAnsiTheme="majorBidi" w:cstheme="majorBidi"/>
          <w:sz w:val="21"/>
        </w:rPr>
        <w:t>period</w:t>
      </w:r>
      <w:r w:rsidRPr="0085581F">
        <w:rPr>
          <w:rFonts w:asciiTheme="majorBidi" w:hAnsiTheme="majorBidi" w:cstheme="majorBidi"/>
          <w:sz w:val="21"/>
        </w:rPr>
        <w:t xml:space="preserve"> ended June 30, 2024 (the “Reporting Date”). The scope of this report is limited and it is drafted under the presumption that the readers will also have before them the Company’s periodic report for the year ended December 31, 2023, which was published on March 31, 2024 (Ref. No.: 2024-01-029479</w:t>
      </w:r>
      <w:r w:rsidR="0048268D" w:rsidRPr="0085581F">
        <w:rPr>
          <w:rFonts w:asciiTheme="majorBidi" w:hAnsiTheme="majorBidi" w:cstheme="majorBidi"/>
          <w:sz w:val="21"/>
        </w:rPr>
        <w:t>) (</w:t>
      </w:r>
      <w:r w:rsidRPr="0085581F">
        <w:rPr>
          <w:rFonts w:asciiTheme="majorBidi" w:hAnsiTheme="majorBidi" w:cstheme="majorBidi"/>
          <w:sz w:val="21"/>
        </w:rPr>
        <w:t>the “Periodic Report”).</w:t>
      </w:r>
    </w:p>
    <w:p w14:paraId="0A5FB1ED" w14:textId="77777777" w:rsidR="0085581F" w:rsidRPr="0085581F" w:rsidRDefault="0085581F" w:rsidP="0085581F">
      <w:pPr>
        <w:keepLines/>
        <w:tabs>
          <w:tab w:val="left" w:pos="1133"/>
        </w:tabs>
        <w:contextualSpacing/>
        <w:rPr>
          <w:rFonts w:asciiTheme="majorBidi" w:hAnsiTheme="majorBidi" w:cstheme="majorBidi"/>
          <w:sz w:val="21"/>
          <w:szCs w:val="21"/>
        </w:rPr>
      </w:pPr>
      <w:r w:rsidRPr="0085581F">
        <w:rPr>
          <w:rFonts w:asciiTheme="majorBidi" w:hAnsiTheme="majorBidi" w:cstheme="majorBidi"/>
          <w:sz w:val="21"/>
        </w:rPr>
        <w:t xml:space="preserve">It is hereby clarified that this Report includes only information that the Company believes is material information. Nonetheless, in some cases, to complete the picture, additional information that is not necessarily material information was included.       </w:t>
      </w:r>
    </w:p>
    <w:p w14:paraId="14398C5E" w14:textId="77777777" w:rsidR="0085581F" w:rsidRPr="0085581F" w:rsidRDefault="0085581F" w:rsidP="004D7A72">
      <w:pPr>
        <w:keepNext/>
        <w:keepLines/>
        <w:numPr>
          <w:ilvl w:val="0"/>
          <w:numId w:val="20"/>
        </w:numPr>
        <w:spacing w:before="240"/>
        <w:ind w:left="425" w:hanging="425"/>
        <w:outlineLvl w:val="2"/>
        <w:rPr>
          <w:rFonts w:asciiTheme="majorBidi" w:hAnsiTheme="majorBidi" w:cstheme="majorBidi"/>
          <w:sz w:val="21"/>
          <w:szCs w:val="21"/>
        </w:rPr>
      </w:pPr>
      <w:bookmarkStart w:id="8" w:name="H3_החברה_ופעילותה___"/>
      <w:r w:rsidRPr="0085581F">
        <w:rPr>
          <w:rFonts w:asciiTheme="majorBidi" w:hAnsiTheme="majorBidi" w:cstheme="majorBidi"/>
          <w:sz w:val="21"/>
        </w:rPr>
        <w:t xml:space="preserve">The Company and its Operations   </w:t>
      </w:r>
    </w:p>
    <w:p w14:paraId="7ECABF9F" w14:textId="77777777" w:rsidR="0085581F" w:rsidRPr="0085581F" w:rsidRDefault="0085581F" w:rsidP="004D7A72">
      <w:pPr>
        <w:keepNext/>
        <w:keepLines/>
        <w:numPr>
          <w:ilvl w:val="1"/>
          <w:numId w:val="20"/>
        </w:numPr>
        <w:tabs>
          <w:tab w:val="left" w:pos="1133"/>
        </w:tabs>
        <w:spacing w:before="120"/>
        <w:ind w:left="425" w:hanging="425"/>
        <w:outlineLvl w:val="3"/>
        <w:rPr>
          <w:rFonts w:asciiTheme="majorBidi" w:hAnsiTheme="majorBidi" w:cstheme="majorBidi"/>
          <w:sz w:val="21"/>
          <w:szCs w:val="21"/>
          <w:u w:val="single"/>
        </w:rPr>
      </w:pPr>
      <w:bookmarkStart w:id="9" w:name="H4_מבוא"/>
      <w:bookmarkEnd w:id="8"/>
      <w:r w:rsidRPr="0085581F">
        <w:rPr>
          <w:rFonts w:asciiTheme="majorBidi" w:hAnsiTheme="majorBidi" w:cstheme="majorBidi"/>
          <w:sz w:val="21"/>
          <w:u w:val="single"/>
        </w:rPr>
        <w:t>Introduction</w:t>
      </w:r>
    </w:p>
    <w:bookmarkEnd w:id="9"/>
    <w:p w14:paraId="43262FEC" w14:textId="77777777" w:rsidR="0085581F" w:rsidRPr="0085581F" w:rsidRDefault="0085581F" w:rsidP="0085581F">
      <w:pPr>
        <w:keepLines/>
        <w:tabs>
          <w:tab w:val="left" w:pos="707"/>
        </w:tabs>
        <w:contextualSpacing/>
        <w:rPr>
          <w:rFonts w:asciiTheme="majorBidi" w:eastAsia="Times New Roman" w:hAnsiTheme="majorBidi" w:cstheme="majorBidi"/>
          <w:sz w:val="21"/>
          <w:szCs w:val="21"/>
        </w:rPr>
      </w:pPr>
      <w:r w:rsidRPr="0085581F">
        <w:rPr>
          <w:rFonts w:asciiTheme="majorBidi" w:hAnsiTheme="majorBidi" w:cstheme="majorBidi"/>
          <w:sz w:val="21"/>
        </w:rPr>
        <w:t>The Company, directly and through its private and public investees</w:t>
      </w:r>
      <w:r w:rsidRPr="0085581F">
        <w:rPr>
          <w:rFonts w:asciiTheme="majorBidi" w:eastAsia="Times New Roman" w:hAnsiTheme="majorBidi" w:cstheme="majorBidi"/>
          <w:sz w:val="21"/>
          <w:szCs w:val="21"/>
          <w:vertAlign w:val="superscript"/>
          <w:rtl/>
        </w:rPr>
        <w:footnoteReference w:id="1"/>
      </w:r>
      <w:r w:rsidRPr="0085581F">
        <w:rPr>
          <w:rFonts w:asciiTheme="majorBidi" w:hAnsiTheme="majorBidi" w:cstheme="majorBidi"/>
          <w:sz w:val="21"/>
        </w:rPr>
        <w:t xml:space="preserve"> (together: the "</w:t>
      </w:r>
      <w:r w:rsidRPr="0085581F">
        <w:rPr>
          <w:rFonts w:asciiTheme="majorBidi" w:hAnsiTheme="majorBidi" w:cstheme="majorBidi"/>
          <w:b/>
          <w:bCs/>
          <w:sz w:val="21"/>
        </w:rPr>
        <w:t>Group</w:t>
      </w:r>
      <w:r w:rsidRPr="0085581F">
        <w:rPr>
          <w:rFonts w:asciiTheme="majorBidi" w:hAnsiTheme="majorBidi" w:cstheme="majorBidi"/>
          <w:sz w:val="21"/>
        </w:rPr>
        <w:t>"), engages in management, improvement, development and purchase of income-producing mixed-use real estate properties, including commercial, residential and office properties that supply the needs of the population, in Israel, North America, Brazil, Northern, and Central Europe, with the focus on densely populated urban cities.</w:t>
      </w:r>
    </w:p>
    <w:p w14:paraId="2B093FA3" w14:textId="77777777" w:rsidR="0085581F" w:rsidRPr="0085581F" w:rsidRDefault="0085581F" w:rsidP="0085581F">
      <w:pPr>
        <w:keepLines/>
        <w:tabs>
          <w:tab w:val="left" w:pos="707"/>
        </w:tabs>
        <w:contextualSpacing/>
        <w:rPr>
          <w:rFonts w:asciiTheme="majorBidi" w:eastAsia="Times New Roman" w:hAnsiTheme="majorBidi" w:cstheme="majorBidi"/>
          <w:sz w:val="21"/>
          <w:szCs w:val="21"/>
        </w:rPr>
      </w:pPr>
      <w:r w:rsidRPr="0085581F">
        <w:rPr>
          <w:rFonts w:asciiTheme="majorBidi" w:hAnsiTheme="majorBidi" w:cstheme="majorBidi"/>
          <w:sz w:val="21"/>
        </w:rPr>
        <w:t xml:space="preserve">The Company’s shares are listed on the Tel Aviv Stock Exchange Ltd. (“TASE” or the “Tel Aviv Stock Exchange”) under the symbol “GCT”. </w:t>
      </w:r>
    </w:p>
    <w:p w14:paraId="1CDB0DF5" w14:textId="5794E64E" w:rsidR="0085581F" w:rsidRPr="0085581F" w:rsidRDefault="0085581F" w:rsidP="0085581F">
      <w:pPr>
        <w:keepLines/>
        <w:tabs>
          <w:tab w:val="left" w:pos="707"/>
        </w:tabs>
        <w:contextualSpacing/>
        <w:rPr>
          <w:rFonts w:asciiTheme="majorBidi" w:eastAsia="Times New Roman" w:hAnsiTheme="majorBidi" w:cstheme="majorBidi"/>
          <w:sz w:val="21"/>
          <w:szCs w:val="21"/>
        </w:rPr>
      </w:pPr>
      <w:r w:rsidRPr="0085581F">
        <w:rPr>
          <w:rFonts w:asciiTheme="majorBidi" w:hAnsiTheme="majorBidi" w:cstheme="majorBidi"/>
          <w:sz w:val="21"/>
        </w:rPr>
        <w:t xml:space="preserve">The Group’s strategy is to focus on properties and areas that have potential for expanding building rights and increasing value and cash flows through proactive management, </w:t>
      </w:r>
      <w:r w:rsidR="009A026B">
        <w:rPr>
          <w:rFonts w:asciiTheme="majorBidi" w:hAnsiTheme="majorBidi" w:cstheme="majorBidi"/>
          <w:sz w:val="21"/>
        </w:rPr>
        <w:t>improvement</w:t>
      </w:r>
      <w:r w:rsidRPr="0085581F">
        <w:rPr>
          <w:rFonts w:asciiTheme="majorBidi" w:hAnsiTheme="majorBidi" w:cstheme="majorBidi"/>
          <w:sz w:val="21"/>
        </w:rPr>
        <w:t>, addition of uses, development and redevelopment, and the Company explores business opportunities in its operating sectors and in related or other operations in its operating sectors and in in other regions. At the same time, the Group acts to sell properties that are non-core assets, or properties that the Group believes have limited growth potential and/or are in areas where the Group wishes to cut back its operations</w:t>
      </w:r>
      <w:r w:rsidR="008174FD">
        <w:rPr>
          <w:rFonts w:asciiTheme="majorBidi" w:hAnsiTheme="majorBidi" w:cstheme="majorBidi"/>
          <w:sz w:val="21"/>
        </w:rPr>
        <w:t xml:space="preserve"> as well</w:t>
      </w:r>
      <w:r w:rsidR="008174FD" w:rsidRPr="008174FD">
        <w:t xml:space="preserve"> </w:t>
      </w:r>
      <w:r w:rsidR="008174FD" w:rsidRPr="008174FD">
        <w:rPr>
          <w:sz w:val="21"/>
          <w:szCs w:val="21"/>
        </w:rPr>
        <w:t>as</w:t>
      </w:r>
      <w:r w:rsidR="009A026B">
        <w:rPr>
          <w:sz w:val="21"/>
          <w:szCs w:val="21"/>
        </w:rPr>
        <w:t xml:space="preserve"> by</w:t>
      </w:r>
      <w:r w:rsidR="008174FD">
        <w:t xml:space="preserve"> </w:t>
      </w:r>
      <w:r w:rsidR="008174FD" w:rsidRPr="008174FD">
        <w:rPr>
          <w:rFonts w:asciiTheme="majorBidi" w:hAnsiTheme="majorBidi" w:cstheme="majorBidi"/>
          <w:sz w:val="21"/>
        </w:rPr>
        <w:t>partners</w:t>
      </w:r>
      <w:r w:rsidR="008174FD">
        <w:rPr>
          <w:rFonts w:asciiTheme="majorBidi" w:hAnsiTheme="majorBidi" w:cstheme="majorBidi"/>
          <w:sz w:val="21"/>
        </w:rPr>
        <w:t>hip</w:t>
      </w:r>
      <w:r w:rsidR="008174FD" w:rsidRPr="008174FD">
        <w:rPr>
          <w:rFonts w:asciiTheme="majorBidi" w:hAnsiTheme="majorBidi" w:cstheme="majorBidi"/>
          <w:sz w:val="21"/>
        </w:rPr>
        <w:t xml:space="preserve"> in stabilized properties whose </w:t>
      </w:r>
      <w:r w:rsidR="009A026B">
        <w:rPr>
          <w:rFonts w:asciiTheme="majorBidi" w:hAnsiTheme="majorBidi" w:cstheme="majorBidi"/>
          <w:sz w:val="21"/>
        </w:rPr>
        <w:t>improvement</w:t>
      </w:r>
      <w:r w:rsidR="008174FD" w:rsidRPr="008174FD">
        <w:rPr>
          <w:rFonts w:asciiTheme="majorBidi" w:hAnsiTheme="majorBidi" w:cstheme="majorBidi"/>
          <w:sz w:val="21"/>
        </w:rPr>
        <w:t xml:space="preserve"> is completed.</w:t>
      </w:r>
      <w:r w:rsidR="008174FD">
        <w:rPr>
          <w:rFonts w:asciiTheme="majorBidi" w:hAnsiTheme="majorBidi" w:cstheme="majorBidi"/>
          <w:sz w:val="21"/>
        </w:rPr>
        <w:t xml:space="preserve"> </w:t>
      </w:r>
    </w:p>
    <w:p w14:paraId="1AB33D42" w14:textId="62F8E5A4" w:rsidR="0085581F" w:rsidRPr="0085581F" w:rsidRDefault="0085581F" w:rsidP="0085581F">
      <w:pPr>
        <w:keepLines/>
        <w:tabs>
          <w:tab w:val="left" w:pos="707"/>
        </w:tabs>
        <w:contextualSpacing/>
        <w:rPr>
          <w:rFonts w:asciiTheme="majorBidi" w:hAnsiTheme="majorBidi" w:cstheme="majorBidi"/>
          <w:sz w:val="21"/>
          <w:szCs w:val="21"/>
        </w:rPr>
      </w:pPr>
      <w:r w:rsidRPr="0085581F">
        <w:rPr>
          <w:rFonts w:asciiTheme="majorBidi" w:hAnsiTheme="majorBidi" w:cstheme="majorBidi"/>
          <w:sz w:val="21"/>
        </w:rPr>
        <w:t xml:space="preserve">The Group currently operates mainly through wholly owned private subsidiaries that are consolidated in its financial statements, in which the Company exclusively plans strategy and oversees their management. These operations are carried out by the Company (the Company’s operations in the real estate sector in Israel are known as: “G Israel”), through G City Europe Limited (“G Europe”) that operates in Central Europe, through Gazit Horizons Inc. (“Gazit Horizons") in the United States and through a subsidiary operating in Canada (“Gazit Canada”). In addition, the Company operates in Brazil through Gazit Malls </w:t>
      </w:r>
      <w:proofErr w:type="spellStart"/>
      <w:r w:rsidRPr="0085581F">
        <w:rPr>
          <w:rFonts w:asciiTheme="majorBidi" w:hAnsiTheme="majorBidi" w:cstheme="majorBidi"/>
          <w:sz w:val="21"/>
        </w:rPr>
        <w:t>Fll</w:t>
      </w:r>
      <w:proofErr w:type="spellEnd"/>
      <w:r w:rsidRPr="0085581F">
        <w:rPr>
          <w:rFonts w:asciiTheme="majorBidi" w:hAnsiTheme="majorBidi" w:cstheme="majorBidi"/>
          <w:sz w:val="21"/>
        </w:rPr>
        <w:t>, a real estate investment fund</w:t>
      </w:r>
      <w:r w:rsidRPr="0085581F">
        <w:rPr>
          <w:rFonts w:asciiTheme="majorBidi" w:hAnsiTheme="majorBidi" w:cstheme="majorBidi"/>
          <w:sz w:val="21"/>
          <w:szCs w:val="21"/>
          <w:vertAlign w:val="superscript"/>
          <w:rtl/>
        </w:rPr>
        <w:footnoteReference w:id="2"/>
      </w:r>
      <w:r w:rsidRPr="0085581F">
        <w:rPr>
          <w:rFonts w:asciiTheme="majorBidi" w:hAnsiTheme="majorBidi" w:cstheme="majorBidi"/>
          <w:sz w:val="21"/>
        </w:rPr>
        <w:t xml:space="preserve"> controlled by the Company (indirectly), incorporated in Brazil and that, in February 2024, sold shares under a </w:t>
      </w:r>
      <w:r w:rsidR="00A453F4">
        <w:rPr>
          <w:rFonts w:asciiTheme="majorBidi" w:hAnsiTheme="majorBidi" w:cstheme="majorBidi"/>
          <w:sz w:val="21"/>
        </w:rPr>
        <w:t>tender offer</w:t>
      </w:r>
      <w:r w:rsidRPr="0085581F">
        <w:rPr>
          <w:rFonts w:asciiTheme="majorBidi" w:hAnsiTheme="majorBidi" w:cstheme="majorBidi"/>
          <w:sz w:val="21"/>
        </w:rPr>
        <w:t xml:space="preserve"> on the Sao Paulo Stock Exchange (“Gazit Malls”) (as set out in section B below), and through other wholly owned subsidiaries of the Company in </w:t>
      </w:r>
      <w:r w:rsidR="0048268D" w:rsidRPr="0085581F">
        <w:rPr>
          <w:rFonts w:asciiTheme="majorBidi" w:hAnsiTheme="majorBidi" w:cstheme="majorBidi"/>
          <w:sz w:val="21"/>
        </w:rPr>
        <w:t>Brazil (</w:t>
      </w:r>
      <w:r w:rsidRPr="0085581F">
        <w:rPr>
          <w:rFonts w:asciiTheme="majorBidi" w:hAnsiTheme="majorBidi" w:cstheme="majorBidi"/>
          <w:sz w:val="21"/>
        </w:rPr>
        <w:t>“Gazit Brazil”).</w:t>
      </w:r>
    </w:p>
    <w:p w14:paraId="6941CADD" w14:textId="77777777" w:rsidR="0085581F" w:rsidRPr="0085581F" w:rsidRDefault="0085581F" w:rsidP="0085581F">
      <w:pPr>
        <w:keepLines/>
        <w:tabs>
          <w:tab w:val="left" w:pos="707"/>
        </w:tabs>
        <w:contextualSpacing/>
        <w:rPr>
          <w:rFonts w:asciiTheme="majorBidi" w:eastAsia="Times New Roman" w:hAnsiTheme="majorBidi" w:cstheme="majorBidi"/>
          <w:sz w:val="21"/>
          <w:szCs w:val="21"/>
        </w:rPr>
      </w:pPr>
      <w:r w:rsidRPr="0085581F">
        <w:rPr>
          <w:rFonts w:asciiTheme="majorBidi" w:hAnsiTheme="majorBidi" w:cstheme="majorBidi"/>
          <w:sz w:val="21"/>
        </w:rPr>
        <w:t xml:space="preserve">In addition, the Group’s operations in Northern Europe are carried out through a public subsidiary controlled by the Company that has a similar strategy and the Company is its largest shareholder. These operations are conducted through </w:t>
      </w:r>
      <w:proofErr w:type="spellStart"/>
      <w:r w:rsidRPr="0085581F">
        <w:rPr>
          <w:rFonts w:asciiTheme="majorBidi" w:hAnsiTheme="majorBidi" w:cstheme="majorBidi"/>
          <w:sz w:val="21"/>
        </w:rPr>
        <w:t>Citycon</w:t>
      </w:r>
      <w:proofErr w:type="spellEnd"/>
      <w:r w:rsidRPr="0085581F">
        <w:rPr>
          <w:rFonts w:asciiTheme="majorBidi" w:hAnsiTheme="majorBidi" w:cstheme="majorBidi"/>
          <w:sz w:val="21"/>
        </w:rPr>
        <w:t xml:space="preserve"> </w:t>
      </w:r>
      <w:proofErr w:type="spellStart"/>
      <w:r w:rsidRPr="0085581F">
        <w:rPr>
          <w:rFonts w:asciiTheme="majorBidi" w:hAnsiTheme="majorBidi" w:cstheme="majorBidi"/>
          <w:sz w:val="21"/>
        </w:rPr>
        <w:t>Oyj</w:t>
      </w:r>
      <w:proofErr w:type="spellEnd"/>
      <w:r w:rsidRPr="0085581F">
        <w:rPr>
          <w:rFonts w:asciiTheme="majorBidi" w:hAnsiTheme="majorBidi" w:cstheme="majorBidi"/>
          <w:sz w:val="21"/>
        </w:rPr>
        <w:t xml:space="preserve"> (“CTY”). </w:t>
      </w:r>
    </w:p>
    <w:p w14:paraId="1C1081D7" w14:textId="77777777" w:rsidR="0085581F" w:rsidRPr="0085581F" w:rsidRDefault="0085581F" w:rsidP="004D7A72">
      <w:pPr>
        <w:keepNext/>
        <w:keepLines/>
        <w:numPr>
          <w:ilvl w:val="1"/>
          <w:numId w:val="20"/>
        </w:numPr>
        <w:ind w:left="0" w:firstLine="0"/>
        <w:contextualSpacing/>
        <w:outlineLvl w:val="3"/>
        <w:rPr>
          <w:rFonts w:asciiTheme="majorBidi" w:eastAsia="Times New Roman" w:hAnsiTheme="majorBidi" w:cstheme="majorBidi"/>
          <w:sz w:val="21"/>
          <w:szCs w:val="21"/>
        </w:rPr>
      </w:pPr>
      <w:bookmarkStart w:id="10" w:name="H4_נכסי_הקבוצה_ליום_Dday_Dyear"/>
      <w:r w:rsidRPr="0085581F">
        <w:rPr>
          <w:rFonts w:asciiTheme="majorBidi" w:hAnsiTheme="majorBidi" w:cstheme="majorBidi"/>
          <w:sz w:val="21"/>
        </w:rPr>
        <w:lastRenderedPageBreak/>
        <w:t>As part of the Group’s strategy to focus on urban properties, while strengthening equity and lowering leverage, since the beginning of the year through to date of publication of this Report, the Company proactively adopted several significant measures, as follows:</w:t>
      </w:r>
    </w:p>
    <w:p w14:paraId="4051CAC1" w14:textId="77777777" w:rsidR="0085581F" w:rsidRPr="0085581F" w:rsidRDefault="0085581F" w:rsidP="0085581F">
      <w:pPr>
        <w:keepNext/>
        <w:contextualSpacing/>
        <w:outlineLvl w:val="3"/>
        <w:rPr>
          <w:rFonts w:asciiTheme="majorBidi" w:eastAsia="Times New Roman" w:hAnsiTheme="majorBidi" w:cstheme="majorBidi"/>
          <w:sz w:val="21"/>
          <w:szCs w:val="21"/>
        </w:rPr>
      </w:pPr>
      <w:r w:rsidRPr="0085581F">
        <w:rPr>
          <w:rFonts w:asciiTheme="majorBidi" w:hAnsiTheme="majorBidi" w:cstheme="majorBidi"/>
          <w:sz w:val="21"/>
        </w:rPr>
        <w:t>A. Plan for disposal of properties - under which, in since the beginning of the year through to the date of publication of this Report, a wholly owned subsidiary of the Company sold a property in Czech Republic for an amount of NIS 1.0 billion. For further details, see this section below.</w:t>
      </w:r>
    </w:p>
    <w:p w14:paraId="1CDC2A0E" w14:textId="427D3A3E" w:rsidR="0085581F" w:rsidRPr="0085581F" w:rsidRDefault="0085581F" w:rsidP="0085581F">
      <w:pPr>
        <w:keepNext/>
        <w:contextualSpacing/>
        <w:outlineLvl w:val="3"/>
        <w:rPr>
          <w:rFonts w:asciiTheme="majorBidi" w:eastAsia="Times New Roman" w:hAnsiTheme="majorBidi" w:cstheme="majorBidi"/>
          <w:sz w:val="21"/>
          <w:szCs w:val="21"/>
        </w:rPr>
      </w:pPr>
      <w:r w:rsidRPr="0085581F">
        <w:rPr>
          <w:rFonts w:asciiTheme="majorBidi" w:hAnsiTheme="majorBidi" w:cstheme="majorBidi"/>
          <w:sz w:val="21"/>
        </w:rPr>
        <w:t xml:space="preserve">B. </w:t>
      </w:r>
      <w:bookmarkStart w:id="11" w:name="_Hlk166829550"/>
      <w:r w:rsidRPr="0085581F">
        <w:rPr>
          <w:rFonts w:asciiTheme="majorBidi" w:hAnsiTheme="majorBidi" w:cstheme="majorBidi"/>
          <w:sz w:val="21"/>
        </w:rPr>
        <w:t xml:space="preserve">On February 1, 2024, Gazit Malls completed </w:t>
      </w:r>
      <w:r w:rsidR="0042536A">
        <w:rPr>
          <w:rFonts w:asciiTheme="majorBidi" w:hAnsiTheme="majorBidi" w:cstheme="majorBidi"/>
          <w:sz w:val="21"/>
        </w:rPr>
        <w:t>an</w:t>
      </w:r>
      <w:r w:rsidRPr="0085581F">
        <w:rPr>
          <w:rFonts w:asciiTheme="majorBidi" w:hAnsiTheme="majorBidi" w:cstheme="majorBidi"/>
          <w:sz w:val="21"/>
        </w:rPr>
        <w:t xml:space="preserve"> </w:t>
      </w:r>
      <w:r w:rsidR="0042536A">
        <w:rPr>
          <w:rFonts w:asciiTheme="majorBidi" w:hAnsiTheme="majorBidi" w:cstheme="majorBidi"/>
          <w:sz w:val="21"/>
        </w:rPr>
        <w:t>IPO</w:t>
      </w:r>
      <w:r w:rsidRPr="0085581F">
        <w:rPr>
          <w:rFonts w:asciiTheme="majorBidi" w:hAnsiTheme="majorBidi" w:cstheme="majorBidi"/>
          <w:sz w:val="21"/>
        </w:rPr>
        <w:t xml:space="preserve"> for an amount of BRL 301 million (NIS 226 million) on part of the Company’s holdings.</w:t>
      </w:r>
      <w:r w:rsidRPr="0085581F">
        <w:rPr>
          <w:rFonts w:asciiTheme="majorBidi" w:eastAsia="Times New Roman" w:hAnsiTheme="majorBidi" w:cstheme="majorBidi"/>
          <w:sz w:val="21"/>
          <w:szCs w:val="21"/>
          <w:vertAlign w:val="superscript"/>
          <w:rtl/>
        </w:rPr>
        <w:footnoteReference w:id="3"/>
      </w:r>
      <w:r w:rsidRPr="0085581F">
        <w:rPr>
          <w:rFonts w:asciiTheme="majorBidi" w:hAnsiTheme="majorBidi" w:cstheme="majorBidi"/>
          <w:sz w:val="21"/>
        </w:rPr>
        <w:t xml:space="preserve"> </w:t>
      </w:r>
      <w:r w:rsidR="00B83FBC">
        <w:rPr>
          <w:rFonts w:asciiTheme="majorBidi" w:hAnsiTheme="majorBidi" w:cstheme="majorBidi"/>
          <w:sz w:val="21"/>
        </w:rPr>
        <w:t xml:space="preserve">Gazit </w:t>
      </w:r>
      <w:proofErr w:type="spellStart"/>
      <w:r w:rsidR="00B83FBC">
        <w:rPr>
          <w:rFonts w:asciiTheme="majorBidi" w:hAnsiTheme="majorBidi" w:cstheme="majorBidi"/>
          <w:sz w:val="21"/>
        </w:rPr>
        <w:t>Brasil</w:t>
      </w:r>
      <w:proofErr w:type="spellEnd"/>
      <w:r w:rsidRPr="0085581F">
        <w:rPr>
          <w:rFonts w:asciiTheme="majorBidi" w:hAnsiTheme="majorBidi" w:cstheme="majorBidi"/>
          <w:sz w:val="21"/>
        </w:rPr>
        <w:t xml:space="preserve"> acquired, within 30 days after the issue, 223 thousand shares through regular trading for an amount of BRL 16 million under a time-limited market making plan that was announced as part of the </w:t>
      </w:r>
      <w:r w:rsidR="0042536A">
        <w:rPr>
          <w:rFonts w:asciiTheme="majorBidi" w:hAnsiTheme="majorBidi" w:cstheme="majorBidi"/>
          <w:sz w:val="21"/>
        </w:rPr>
        <w:t>IPO</w:t>
      </w:r>
      <w:r w:rsidRPr="0085581F">
        <w:rPr>
          <w:rFonts w:asciiTheme="majorBidi" w:hAnsiTheme="majorBidi" w:cstheme="majorBidi"/>
          <w:sz w:val="21"/>
        </w:rPr>
        <w:t xml:space="preserve"> process.</w:t>
      </w:r>
      <w:bookmarkEnd w:id="11"/>
      <w:r w:rsidRPr="0085581F">
        <w:rPr>
          <w:rFonts w:asciiTheme="majorBidi" w:hAnsiTheme="majorBidi" w:cstheme="majorBidi"/>
          <w:sz w:val="21"/>
        </w:rPr>
        <w:t xml:space="preserve"> </w:t>
      </w:r>
    </w:p>
    <w:p w14:paraId="14BBF53A" w14:textId="4365D617" w:rsidR="009A026B" w:rsidRPr="009A026B" w:rsidRDefault="0085581F" w:rsidP="009A026B">
      <w:pPr>
        <w:keepNext/>
        <w:tabs>
          <w:tab w:val="left" w:pos="1133"/>
        </w:tabs>
        <w:contextualSpacing/>
        <w:outlineLvl w:val="3"/>
        <w:rPr>
          <w:rFonts w:asciiTheme="majorBidi" w:eastAsia="Times New Roman" w:hAnsiTheme="majorBidi" w:cstheme="majorBidi"/>
          <w:sz w:val="21"/>
          <w:szCs w:val="21"/>
          <w:lang w:val="en-IL"/>
        </w:rPr>
      </w:pPr>
      <w:r w:rsidRPr="0085581F">
        <w:rPr>
          <w:rFonts w:asciiTheme="majorBidi" w:hAnsiTheme="majorBidi" w:cstheme="majorBidi"/>
          <w:sz w:val="21"/>
        </w:rPr>
        <w:t xml:space="preserve">C. </w:t>
      </w:r>
      <w:bookmarkStart w:id="12" w:name="_Hlk174903467"/>
      <w:r w:rsidR="009A026B" w:rsidRPr="009A026B">
        <w:rPr>
          <w:rFonts w:asciiTheme="majorBidi" w:eastAsia="Times New Roman" w:hAnsiTheme="majorBidi" w:cstheme="majorBidi"/>
          <w:sz w:val="21"/>
          <w:szCs w:val="21"/>
          <w:lang w:val="en"/>
        </w:rPr>
        <w:t xml:space="preserve">As of January 2023 until the date of the report, the company has not distributed a dividend to its shareholders. On August 14, 2024, the </w:t>
      </w:r>
      <w:r w:rsidR="00B83FBC">
        <w:rPr>
          <w:rFonts w:asciiTheme="majorBidi" w:eastAsia="Times New Roman" w:hAnsiTheme="majorBidi" w:cstheme="majorBidi"/>
          <w:sz w:val="21"/>
          <w:szCs w:val="21"/>
          <w:lang w:val="en"/>
        </w:rPr>
        <w:t>C</w:t>
      </w:r>
      <w:r w:rsidR="009A026B" w:rsidRPr="009A026B">
        <w:rPr>
          <w:rFonts w:asciiTheme="majorBidi" w:eastAsia="Times New Roman" w:hAnsiTheme="majorBidi" w:cstheme="majorBidi"/>
          <w:sz w:val="21"/>
          <w:szCs w:val="21"/>
          <w:lang w:val="en"/>
        </w:rPr>
        <w:t xml:space="preserve">ompany's board of directors decided to return to the company's dividend distribution policy, which was adopted by the board of directors in 1998, according to which the company used to distribute dividends to its shareholders on a regular basis every quarter. Accordingly, the company's board of directors decided to distribute a dividend for the third quarter of 2024 in the amount of 0.10 NIS per share (a total of </w:t>
      </w:r>
      <w:r w:rsidR="00B83FBC">
        <w:rPr>
          <w:rFonts w:asciiTheme="majorBidi" w:eastAsia="Times New Roman" w:hAnsiTheme="majorBidi" w:cstheme="majorBidi"/>
          <w:sz w:val="21"/>
          <w:szCs w:val="21"/>
          <w:lang w:val="en"/>
        </w:rPr>
        <w:t>NIS</w:t>
      </w:r>
      <w:r w:rsidR="009A026B" w:rsidRPr="009A026B">
        <w:rPr>
          <w:rFonts w:asciiTheme="majorBidi" w:eastAsia="Times New Roman" w:hAnsiTheme="majorBidi" w:cstheme="majorBidi"/>
          <w:sz w:val="21"/>
          <w:szCs w:val="21"/>
          <w:lang w:val="en"/>
        </w:rPr>
        <w:t xml:space="preserve"> 18.2 million), and this after examining the company's financial situation, including its projected cash flow, and in accordance with the progress</w:t>
      </w:r>
      <w:r w:rsidR="00B83FBC">
        <w:rPr>
          <w:rFonts w:asciiTheme="majorBidi" w:eastAsia="Times New Roman" w:hAnsiTheme="majorBidi" w:cstheme="majorBidi"/>
          <w:sz w:val="21"/>
          <w:szCs w:val="21"/>
          <w:lang w:val="en"/>
        </w:rPr>
        <w:t xml:space="preserve"> of t</w:t>
      </w:r>
      <w:r w:rsidR="009A026B" w:rsidRPr="009A026B">
        <w:rPr>
          <w:rFonts w:asciiTheme="majorBidi" w:eastAsia="Times New Roman" w:hAnsiTheme="majorBidi" w:cstheme="majorBidi"/>
          <w:sz w:val="21"/>
          <w:szCs w:val="21"/>
          <w:lang w:val="en"/>
        </w:rPr>
        <w:t xml:space="preserve">he </w:t>
      </w:r>
      <w:r w:rsidR="00B83FBC">
        <w:rPr>
          <w:rFonts w:asciiTheme="majorBidi" w:eastAsia="Times New Roman" w:hAnsiTheme="majorBidi" w:cstheme="majorBidi"/>
          <w:sz w:val="21"/>
          <w:szCs w:val="21"/>
          <w:lang w:val="en"/>
        </w:rPr>
        <w:t>property</w:t>
      </w:r>
      <w:r w:rsidR="009A026B" w:rsidRPr="009A026B">
        <w:rPr>
          <w:rFonts w:asciiTheme="majorBidi" w:eastAsia="Times New Roman" w:hAnsiTheme="majorBidi" w:cstheme="majorBidi"/>
          <w:sz w:val="21"/>
          <w:szCs w:val="21"/>
          <w:lang w:val="en"/>
        </w:rPr>
        <w:t xml:space="preserve"> disposal plan announced by the company on October 25, 2022, as updated from time to time, as well as other considerations, and in accordance with the distribution tests set forth in the Companies Law, 1999. The </w:t>
      </w:r>
      <w:r w:rsidR="00B83FBC">
        <w:rPr>
          <w:rFonts w:asciiTheme="majorBidi" w:eastAsia="Times New Roman" w:hAnsiTheme="majorBidi" w:cstheme="majorBidi"/>
          <w:sz w:val="21"/>
          <w:szCs w:val="21"/>
          <w:lang w:val="en"/>
        </w:rPr>
        <w:t>C</w:t>
      </w:r>
      <w:r w:rsidR="009A026B" w:rsidRPr="009A026B">
        <w:rPr>
          <w:rFonts w:asciiTheme="majorBidi" w:eastAsia="Times New Roman" w:hAnsiTheme="majorBidi" w:cstheme="majorBidi"/>
          <w:sz w:val="21"/>
          <w:szCs w:val="21"/>
          <w:lang w:val="en"/>
        </w:rPr>
        <w:t>ompany's board of directors will return and review the scope of the dividend distribution every quarter, in accordance with the afore</w:t>
      </w:r>
      <w:r w:rsidR="009A026B">
        <w:rPr>
          <w:rFonts w:asciiTheme="majorBidi" w:eastAsia="Times New Roman" w:hAnsiTheme="majorBidi" w:cstheme="majorBidi"/>
          <w:sz w:val="21"/>
          <w:szCs w:val="21"/>
          <w:lang w:val="en"/>
        </w:rPr>
        <w:t>said</w:t>
      </w:r>
      <w:r w:rsidR="009A026B" w:rsidRPr="009A026B">
        <w:rPr>
          <w:rFonts w:asciiTheme="majorBidi" w:eastAsia="Times New Roman" w:hAnsiTheme="majorBidi" w:cstheme="majorBidi"/>
          <w:sz w:val="21"/>
          <w:szCs w:val="21"/>
          <w:lang w:val="en"/>
        </w:rPr>
        <w:t xml:space="preserve"> considerations.</w:t>
      </w:r>
    </w:p>
    <w:bookmarkEnd w:id="12"/>
    <w:p w14:paraId="2AEEA464" w14:textId="77777777" w:rsidR="0085581F" w:rsidRPr="0085581F" w:rsidRDefault="0085581F" w:rsidP="0085581F">
      <w:pPr>
        <w:keepNext/>
        <w:tabs>
          <w:tab w:val="left" w:pos="1133"/>
        </w:tabs>
        <w:contextualSpacing/>
        <w:outlineLvl w:val="3"/>
        <w:rPr>
          <w:rFonts w:asciiTheme="majorBidi" w:eastAsia="Times New Roman" w:hAnsiTheme="majorBidi" w:cstheme="majorBidi"/>
          <w:sz w:val="21"/>
          <w:szCs w:val="21"/>
          <w:rtl/>
          <w:lang w:val="en-IL"/>
        </w:rPr>
      </w:pPr>
    </w:p>
    <w:p w14:paraId="2025690C" w14:textId="520C03C8" w:rsidR="0085581F" w:rsidRPr="0085581F" w:rsidRDefault="0085581F" w:rsidP="004D7A72">
      <w:pPr>
        <w:keepNext/>
        <w:keepLines/>
        <w:numPr>
          <w:ilvl w:val="1"/>
          <w:numId w:val="20"/>
        </w:numPr>
        <w:ind w:left="0" w:firstLine="0"/>
        <w:contextualSpacing/>
        <w:outlineLvl w:val="3"/>
        <w:rPr>
          <w:rFonts w:asciiTheme="majorBidi" w:eastAsia="Times New Roman" w:hAnsiTheme="majorBidi" w:cstheme="majorBidi"/>
          <w:sz w:val="21"/>
          <w:szCs w:val="21"/>
        </w:rPr>
      </w:pPr>
      <w:r w:rsidRPr="0085581F">
        <w:rPr>
          <w:rFonts w:asciiTheme="majorBidi" w:hAnsiTheme="majorBidi" w:cstheme="majorBidi"/>
          <w:sz w:val="21"/>
        </w:rPr>
        <w:t>As aforesaid, on October 25, 2022, the Company published a plan for the disposal of part of the Group’s properties, which is revised from time to time (the “Property Disposal Plan”). Under the Property Disposal Plan, the Company intends to dispose of properties worth a total of NIS 7.1 billion in Europe, Brazil, USA and Israel.</w:t>
      </w:r>
    </w:p>
    <w:p w14:paraId="563BA73B" w14:textId="77777777" w:rsidR="0085581F" w:rsidRPr="0085581F" w:rsidRDefault="0085581F" w:rsidP="0085581F">
      <w:pPr>
        <w:tabs>
          <w:tab w:val="left" w:pos="1133"/>
        </w:tabs>
        <w:contextualSpacing/>
        <w:rPr>
          <w:rFonts w:asciiTheme="majorBidi" w:eastAsia="Times New Roman" w:hAnsiTheme="majorBidi" w:cstheme="majorBidi"/>
          <w:sz w:val="21"/>
          <w:szCs w:val="21"/>
        </w:rPr>
      </w:pPr>
      <w:r w:rsidRPr="0085581F">
        <w:rPr>
          <w:rFonts w:asciiTheme="majorBidi" w:hAnsiTheme="majorBidi" w:cstheme="majorBidi"/>
          <w:sz w:val="21"/>
        </w:rPr>
        <w:t>Since publication of the plan through to the date of publication of this Report, the Company and its wholly owned subsidiaries have sold properties worth NIS 4.0 billion, similar to their carrying amounts (other than the property portfolio in Russia).</w:t>
      </w:r>
    </w:p>
    <w:p w14:paraId="498B7346" w14:textId="77777777" w:rsidR="0085581F" w:rsidRPr="0085581F" w:rsidRDefault="0085581F" w:rsidP="0085581F">
      <w:pPr>
        <w:keepNext/>
        <w:contextualSpacing/>
        <w:rPr>
          <w:rFonts w:asciiTheme="majorBidi" w:eastAsia="Times New Roman" w:hAnsiTheme="majorBidi" w:cstheme="majorBidi"/>
          <w:sz w:val="21"/>
          <w:szCs w:val="21"/>
        </w:rPr>
      </w:pPr>
      <w:r w:rsidRPr="0085581F">
        <w:rPr>
          <w:rFonts w:asciiTheme="majorBidi" w:hAnsiTheme="majorBidi" w:cstheme="majorBidi"/>
          <w:sz w:val="21"/>
        </w:rPr>
        <w:t>The scope of disposal of properties and the Group's rate of progress in such disposal, including the pace at which the properties have been put up for sale according to the various countries in which the Group operates is dynamic and is carried out according to the market conditions in the various countries in which the Group operates, and pursuant to the discretion of the Company’s management, while taking macroeconomic and Company specific considerations into account, and by balancing the Company's needs and maximization of the value of the properties.</w:t>
      </w:r>
    </w:p>
    <w:p w14:paraId="05D23367" w14:textId="77777777" w:rsidR="0085581F" w:rsidRPr="0085581F" w:rsidRDefault="0085581F" w:rsidP="0085581F">
      <w:pPr>
        <w:keepNext/>
        <w:spacing w:before="240"/>
        <w:rPr>
          <w:rFonts w:asciiTheme="majorBidi" w:eastAsia="Times New Roman" w:hAnsiTheme="majorBidi" w:cstheme="majorBidi"/>
          <w:sz w:val="21"/>
          <w:szCs w:val="21"/>
        </w:rPr>
      </w:pPr>
      <w:r w:rsidRPr="0085581F">
        <w:rPr>
          <w:rFonts w:asciiTheme="majorBidi" w:hAnsiTheme="majorBidi" w:cstheme="majorBidi"/>
          <w:sz w:val="21"/>
        </w:rPr>
        <w:t xml:space="preserve">Below is a breakdown of the status of the plan for the disposal of properties (NIS million)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85581F" w:rsidRPr="0085581F" w14:paraId="30F17CDE" w14:textId="77777777" w:rsidTr="00A65A6F">
        <w:trPr>
          <w:cantSplit/>
        </w:trPr>
        <w:tc>
          <w:tcPr>
            <w:tcW w:w="5000" w:type="pct"/>
          </w:tcPr>
          <w:tbl>
            <w:tblPr>
              <w:tblStyle w:val="CDMRange120"/>
              <w:tblW w:w="9423" w:type="dxa"/>
              <w:tblLook w:val="0600" w:firstRow="0" w:lastRow="0" w:firstColumn="0" w:lastColumn="0" w:noHBand="1" w:noVBand="1"/>
              <w:tblCaption w:val="Print_Area"/>
            </w:tblPr>
            <w:tblGrid>
              <w:gridCol w:w="1766"/>
              <w:gridCol w:w="1985"/>
              <w:gridCol w:w="2242"/>
              <w:gridCol w:w="1445"/>
              <w:gridCol w:w="1985"/>
            </w:tblGrid>
            <w:tr w:rsidR="0085581F" w:rsidRPr="0085581F" w14:paraId="323A5282" w14:textId="77777777" w:rsidTr="00A65A6F">
              <w:trPr>
                <w:trHeight w:val="630"/>
              </w:trPr>
              <w:tc>
                <w:tcPr>
                  <w:tcW w:w="1766" w:type="dxa"/>
                  <w:tcBorders>
                    <w:top w:val="nil"/>
                    <w:left w:val="nil"/>
                    <w:bottom w:val="nil"/>
                    <w:right w:val="nil"/>
                    <w:tl2br w:val="nil"/>
                    <w:tr2bl w:val="nil"/>
                  </w:tcBorders>
                  <w:shd w:val="clear" w:color="FFFFFF" w:fill="000031"/>
                  <w:tcMar>
                    <w:left w:w="0" w:type="dxa"/>
                    <w:right w:w="0" w:type="dxa"/>
                  </w:tcMar>
                  <w:vAlign w:val="bottom"/>
                </w:tcPr>
                <w:p w14:paraId="6C0AAA44"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p>
              </w:tc>
              <w:tc>
                <w:tcPr>
                  <w:tcW w:w="1985" w:type="dxa"/>
                  <w:tcBorders>
                    <w:top w:val="nil"/>
                    <w:left w:val="nil"/>
                    <w:bottom w:val="nil"/>
                    <w:right w:val="nil"/>
                    <w:tl2br w:val="nil"/>
                    <w:tr2bl w:val="nil"/>
                  </w:tcBorders>
                  <w:shd w:val="clear" w:color="FFFFFF" w:fill="000031"/>
                  <w:tcMar>
                    <w:left w:w="40" w:type="dxa"/>
                    <w:right w:w="40" w:type="dxa"/>
                  </w:tcMar>
                  <w:vAlign w:val="bottom"/>
                </w:tcPr>
                <w:p w14:paraId="7032E737"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Completed</w:t>
                  </w:r>
                </w:p>
              </w:tc>
              <w:tc>
                <w:tcPr>
                  <w:tcW w:w="2242" w:type="dxa"/>
                  <w:tcBorders>
                    <w:top w:val="nil"/>
                    <w:left w:val="nil"/>
                    <w:bottom w:val="nil"/>
                    <w:right w:val="nil"/>
                    <w:tl2br w:val="nil"/>
                    <w:tr2bl w:val="nil"/>
                  </w:tcBorders>
                  <w:shd w:val="clear" w:color="FFFFFF" w:fill="000031"/>
                  <w:tcMar>
                    <w:left w:w="40" w:type="dxa"/>
                    <w:right w:w="40" w:type="dxa"/>
                  </w:tcMar>
                  <w:vAlign w:val="bottom"/>
                </w:tcPr>
                <w:p w14:paraId="6BDD1433" w14:textId="77777777" w:rsidR="0085581F" w:rsidRPr="0085581F" w:rsidRDefault="0085581F" w:rsidP="0085581F">
                  <w:pPr>
                    <w:spacing w:before="0" w:after="0" w:line="240" w:lineRule="auto"/>
                    <w:ind w:right="529"/>
                    <w:jc w:val="center"/>
                    <w:rPr>
                      <w:rFonts w:asciiTheme="majorBidi" w:eastAsia="Ploni ML Medium AAA Medium" w:hAnsiTheme="majorBidi" w:cstheme="majorBidi"/>
                      <w:b/>
                      <w:color w:val="FFFFFF"/>
                    </w:rPr>
                  </w:pPr>
                  <w:r w:rsidRPr="0085581F">
                    <w:rPr>
                      <w:rFonts w:asciiTheme="majorBidi" w:hAnsiTheme="majorBidi" w:cstheme="majorBidi"/>
                      <w:b/>
                      <w:color w:val="FFFFFF"/>
                    </w:rPr>
                    <w:t>In advanced negotiations</w:t>
                  </w:r>
                </w:p>
              </w:tc>
              <w:tc>
                <w:tcPr>
                  <w:tcW w:w="1445" w:type="dxa"/>
                  <w:tcBorders>
                    <w:top w:val="nil"/>
                    <w:left w:val="nil"/>
                    <w:bottom w:val="nil"/>
                    <w:right w:val="nil"/>
                    <w:tl2br w:val="nil"/>
                    <w:tr2bl w:val="nil"/>
                  </w:tcBorders>
                  <w:shd w:val="clear" w:color="FFFFFF" w:fill="000031"/>
                  <w:tcMar>
                    <w:left w:w="40" w:type="dxa"/>
                    <w:right w:w="40" w:type="dxa"/>
                  </w:tcMar>
                  <w:vAlign w:val="bottom"/>
                </w:tcPr>
                <w:p w14:paraId="1B5CE609"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Being marketed</w:t>
                  </w:r>
                </w:p>
              </w:tc>
              <w:tc>
                <w:tcPr>
                  <w:tcW w:w="1985" w:type="dxa"/>
                  <w:tcBorders>
                    <w:top w:val="nil"/>
                    <w:left w:val="nil"/>
                    <w:bottom w:val="nil"/>
                    <w:right w:val="nil"/>
                    <w:tl2br w:val="nil"/>
                    <w:tr2bl w:val="nil"/>
                  </w:tcBorders>
                  <w:shd w:val="clear" w:color="FFFFFF" w:fill="000031"/>
                  <w:tcMar>
                    <w:left w:w="40" w:type="dxa"/>
                    <w:right w:w="40" w:type="dxa"/>
                  </w:tcMar>
                  <w:vAlign w:val="bottom"/>
                </w:tcPr>
                <w:p w14:paraId="55F1A456"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Total</w:t>
                  </w:r>
                </w:p>
              </w:tc>
            </w:tr>
            <w:tr w:rsidR="0085581F" w:rsidRPr="0085581F" w14:paraId="6FA22CD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766" w:type="dxa"/>
                  <w:tcBorders>
                    <w:top w:val="nil"/>
                    <w:left w:val="nil"/>
                    <w:bottom w:val="nil"/>
                    <w:right w:val="nil"/>
                    <w:tl2br w:val="nil"/>
                    <w:tr2bl w:val="nil"/>
                  </w:tcBorders>
                  <w:shd w:val="clear" w:color="FFFFFF" w:fill="000031"/>
                  <w:tcMar>
                    <w:left w:w="0" w:type="dxa"/>
                    <w:right w:w="0" w:type="dxa"/>
                  </w:tcMar>
                  <w:vAlign w:val="bottom"/>
                </w:tcPr>
                <w:p w14:paraId="027C01D9"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p>
              </w:tc>
              <w:tc>
                <w:tcPr>
                  <w:tcW w:w="7655" w:type="dxa"/>
                  <w:gridSpan w:val="4"/>
                  <w:tcBorders>
                    <w:top w:val="nil"/>
                    <w:left w:val="nil"/>
                    <w:bottom w:val="nil"/>
                    <w:right w:val="nil"/>
                    <w:tl2br w:val="nil"/>
                    <w:tr2bl w:val="nil"/>
                  </w:tcBorders>
                  <w:shd w:val="clear" w:color="FFFFFF" w:fill="000031"/>
                  <w:tcMar>
                    <w:left w:w="40" w:type="dxa"/>
                    <w:right w:w="40" w:type="dxa"/>
                  </w:tcMar>
                  <w:vAlign w:val="bottom"/>
                </w:tcPr>
                <w:p w14:paraId="6A5F934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NIS million</w:t>
                  </w:r>
                </w:p>
              </w:tc>
            </w:tr>
            <w:tr w:rsidR="0085581F" w:rsidRPr="0085581F" w14:paraId="4FF6A49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766" w:type="dxa"/>
                  <w:tcBorders>
                    <w:top w:val="nil"/>
                    <w:left w:val="nil"/>
                    <w:bottom w:val="nil"/>
                    <w:right w:val="nil"/>
                    <w:tl2br w:val="nil"/>
                    <w:tr2bl w:val="nil"/>
                  </w:tcBorders>
                  <w:shd w:val="clear" w:color="auto" w:fill="auto"/>
                  <w:tcMar>
                    <w:left w:w="40" w:type="dxa"/>
                    <w:right w:w="175" w:type="dxa"/>
                  </w:tcMar>
                  <w:vAlign w:val="center"/>
                </w:tcPr>
                <w:p w14:paraId="3BA006DB"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 Europe</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0533E10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2,816</w:t>
                  </w:r>
                </w:p>
              </w:tc>
              <w:tc>
                <w:tcPr>
                  <w:tcW w:w="2242" w:type="dxa"/>
                  <w:tcBorders>
                    <w:top w:val="nil"/>
                    <w:left w:val="nil"/>
                    <w:bottom w:val="nil"/>
                    <w:right w:val="nil"/>
                    <w:tl2br w:val="nil"/>
                    <w:tr2bl w:val="nil"/>
                  </w:tcBorders>
                  <w:shd w:val="clear" w:color="auto" w:fill="auto"/>
                  <w:noWrap/>
                  <w:tcMar>
                    <w:left w:w="40" w:type="dxa"/>
                    <w:right w:w="40" w:type="dxa"/>
                  </w:tcMar>
                  <w:vAlign w:val="center"/>
                </w:tcPr>
                <w:p w14:paraId="324D228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1,099</w:t>
                  </w:r>
                </w:p>
              </w:tc>
              <w:tc>
                <w:tcPr>
                  <w:tcW w:w="1445" w:type="dxa"/>
                  <w:tcBorders>
                    <w:top w:val="nil"/>
                    <w:left w:val="nil"/>
                    <w:bottom w:val="nil"/>
                    <w:right w:val="nil"/>
                    <w:tl2br w:val="nil"/>
                    <w:tr2bl w:val="nil"/>
                  </w:tcBorders>
                  <w:shd w:val="clear" w:color="auto" w:fill="auto"/>
                  <w:noWrap/>
                  <w:tcMar>
                    <w:left w:w="40" w:type="dxa"/>
                    <w:right w:w="40" w:type="dxa"/>
                  </w:tcMar>
                  <w:vAlign w:val="center"/>
                </w:tcPr>
                <w:p w14:paraId="5432BCC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1,307</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39821F4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5,222</w:t>
                  </w:r>
                </w:p>
              </w:tc>
            </w:tr>
            <w:tr w:rsidR="0085581F" w:rsidRPr="0085581F" w14:paraId="5348BE4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766" w:type="dxa"/>
                  <w:tcBorders>
                    <w:top w:val="nil"/>
                    <w:left w:val="nil"/>
                    <w:bottom w:val="nil"/>
                    <w:right w:val="nil"/>
                    <w:tl2br w:val="nil"/>
                    <w:tr2bl w:val="nil"/>
                  </w:tcBorders>
                  <w:shd w:val="clear" w:color="auto" w:fill="auto"/>
                  <w:tcMar>
                    <w:left w:w="40" w:type="dxa"/>
                    <w:right w:w="175" w:type="dxa"/>
                  </w:tcMar>
                  <w:vAlign w:val="center"/>
                </w:tcPr>
                <w:p w14:paraId="4415C8E4"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 Israel</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12C8B2F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154</w:t>
                  </w:r>
                </w:p>
              </w:tc>
              <w:tc>
                <w:tcPr>
                  <w:tcW w:w="2242" w:type="dxa"/>
                  <w:tcBorders>
                    <w:top w:val="nil"/>
                    <w:left w:val="nil"/>
                    <w:bottom w:val="nil"/>
                    <w:right w:val="nil"/>
                    <w:tl2br w:val="nil"/>
                    <w:tr2bl w:val="nil"/>
                  </w:tcBorders>
                  <w:shd w:val="clear" w:color="auto" w:fill="auto"/>
                  <w:noWrap/>
                  <w:tcMar>
                    <w:left w:w="40" w:type="dxa"/>
                    <w:right w:w="40" w:type="dxa"/>
                  </w:tcMar>
                  <w:vAlign w:val="center"/>
                </w:tcPr>
                <w:p w14:paraId="388662E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445" w:type="dxa"/>
                  <w:tcBorders>
                    <w:top w:val="nil"/>
                    <w:left w:val="nil"/>
                    <w:bottom w:val="nil"/>
                    <w:right w:val="nil"/>
                    <w:tl2br w:val="nil"/>
                    <w:tr2bl w:val="nil"/>
                  </w:tcBorders>
                  <w:shd w:val="clear" w:color="auto" w:fill="auto"/>
                  <w:noWrap/>
                  <w:tcMar>
                    <w:left w:w="40" w:type="dxa"/>
                    <w:right w:w="40" w:type="dxa"/>
                  </w:tcMar>
                  <w:vAlign w:val="center"/>
                </w:tcPr>
                <w:p w14:paraId="168E1CF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145</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64F983F8"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299</w:t>
                  </w:r>
                </w:p>
              </w:tc>
            </w:tr>
            <w:tr w:rsidR="0085581F" w:rsidRPr="0085581F" w14:paraId="2C39A27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766" w:type="dxa"/>
                  <w:tcBorders>
                    <w:top w:val="nil"/>
                    <w:left w:val="nil"/>
                    <w:bottom w:val="nil"/>
                    <w:right w:val="nil"/>
                    <w:tl2br w:val="nil"/>
                    <w:tr2bl w:val="nil"/>
                  </w:tcBorders>
                  <w:shd w:val="clear" w:color="auto" w:fill="auto"/>
                  <w:tcMar>
                    <w:left w:w="40" w:type="dxa"/>
                    <w:right w:w="175" w:type="dxa"/>
                  </w:tcMar>
                  <w:vAlign w:val="center"/>
                </w:tcPr>
                <w:p w14:paraId="28B95775"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Gazit Horizons </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695CE1E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567</w:t>
                  </w:r>
                </w:p>
              </w:tc>
              <w:tc>
                <w:tcPr>
                  <w:tcW w:w="2242" w:type="dxa"/>
                  <w:tcBorders>
                    <w:top w:val="nil"/>
                    <w:left w:val="nil"/>
                    <w:bottom w:val="nil"/>
                    <w:right w:val="nil"/>
                    <w:tl2br w:val="nil"/>
                    <w:tr2bl w:val="nil"/>
                  </w:tcBorders>
                  <w:shd w:val="clear" w:color="auto" w:fill="auto"/>
                  <w:noWrap/>
                  <w:tcMar>
                    <w:left w:w="40" w:type="dxa"/>
                    <w:right w:w="40" w:type="dxa"/>
                  </w:tcMar>
                  <w:vAlign w:val="center"/>
                </w:tcPr>
                <w:p w14:paraId="2B53D9F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445" w:type="dxa"/>
                  <w:tcBorders>
                    <w:top w:val="nil"/>
                    <w:left w:val="nil"/>
                    <w:bottom w:val="nil"/>
                    <w:right w:val="nil"/>
                    <w:tl2br w:val="nil"/>
                    <w:tr2bl w:val="nil"/>
                  </w:tcBorders>
                  <w:shd w:val="clear" w:color="auto" w:fill="auto"/>
                  <w:noWrap/>
                  <w:tcMar>
                    <w:left w:w="40" w:type="dxa"/>
                    <w:right w:w="40" w:type="dxa"/>
                  </w:tcMar>
                  <w:vAlign w:val="center"/>
                </w:tcPr>
                <w:p w14:paraId="4ADE0AF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162</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4358441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729</w:t>
                  </w:r>
                </w:p>
              </w:tc>
            </w:tr>
            <w:tr w:rsidR="0085581F" w:rsidRPr="0085581F" w14:paraId="21187BA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766" w:type="dxa"/>
                  <w:tcBorders>
                    <w:top w:val="nil"/>
                    <w:left w:val="nil"/>
                    <w:bottom w:val="single" w:sz="4" w:space="0" w:color="000000"/>
                    <w:right w:val="nil"/>
                    <w:tl2br w:val="nil"/>
                    <w:tr2bl w:val="nil"/>
                  </w:tcBorders>
                  <w:shd w:val="clear" w:color="auto" w:fill="auto"/>
                  <w:tcMar>
                    <w:left w:w="40" w:type="dxa"/>
                    <w:right w:w="175" w:type="dxa"/>
                  </w:tcMar>
                  <w:vAlign w:val="center"/>
                </w:tcPr>
                <w:p w14:paraId="3A1B77B7"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Gazit </w:t>
                  </w:r>
                  <w:proofErr w:type="spellStart"/>
                  <w:r w:rsidRPr="0085581F">
                    <w:rPr>
                      <w:rFonts w:asciiTheme="majorBidi" w:hAnsiTheme="majorBidi" w:cstheme="majorBidi"/>
                      <w:color w:val="000000"/>
                      <w:sz w:val="21"/>
                    </w:rPr>
                    <w:t>Brasil</w:t>
                  </w:r>
                  <w:proofErr w:type="spellEnd"/>
                </w:p>
              </w:tc>
              <w:tc>
                <w:tcPr>
                  <w:tcW w:w="198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ACC8D4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498</w:t>
                  </w:r>
                </w:p>
              </w:tc>
              <w:tc>
                <w:tcPr>
                  <w:tcW w:w="2242"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455E3C5"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316</w:t>
                  </w:r>
                </w:p>
              </w:tc>
              <w:tc>
                <w:tcPr>
                  <w:tcW w:w="14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E0FCEC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34</w:t>
                  </w:r>
                </w:p>
              </w:tc>
              <w:tc>
                <w:tcPr>
                  <w:tcW w:w="198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F7BF2A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848</w:t>
                  </w:r>
                </w:p>
              </w:tc>
            </w:tr>
            <w:tr w:rsidR="0085581F" w:rsidRPr="0085581F" w14:paraId="100CCC7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0"/>
              </w:trPr>
              <w:tc>
                <w:tcPr>
                  <w:tcW w:w="1766"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434DB6F3" w14:textId="77777777" w:rsidR="0085581F" w:rsidRPr="0085581F" w:rsidRDefault="0085581F" w:rsidP="0085581F">
                  <w:pPr>
                    <w:spacing w:before="0" w:after="0" w:line="240" w:lineRule="auto"/>
                    <w:jc w:val="left"/>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Total</w:t>
                  </w:r>
                </w:p>
              </w:tc>
              <w:tc>
                <w:tcPr>
                  <w:tcW w:w="1985"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177061F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4,035 </w:t>
                  </w:r>
                </w:p>
              </w:tc>
              <w:tc>
                <w:tcPr>
                  <w:tcW w:w="2242"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4D6B2AD4"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1,415 </w:t>
                  </w:r>
                </w:p>
              </w:tc>
              <w:tc>
                <w:tcPr>
                  <w:tcW w:w="1445"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2356E8A6"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1,648 </w:t>
                  </w:r>
                </w:p>
              </w:tc>
              <w:tc>
                <w:tcPr>
                  <w:tcW w:w="1985"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5827F5C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7,098 </w:t>
                  </w:r>
                </w:p>
              </w:tc>
            </w:tr>
          </w:tbl>
          <w:p w14:paraId="560C4CF7" w14:textId="77777777" w:rsidR="0085581F" w:rsidRPr="0085581F" w:rsidRDefault="0085581F" w:rsidP="0085581F">
            <w:pPr>
              <w:rPr>
                <w:rFonts w:asciiTheme="majorBidi" w:hAnsiTheme="majorBidi" w:cstheme="majorBidi"/>
              </w:rPr>
            </w:pPr>
          </w:p>
        </w:tc>
      </w:tr>
    </w:tbl>
    <w:p w14:paraId="3B502205" w14:textId="098BA3C0" w:rsidR="0085581F" w:rsidRPr="0085581F" w:rsidRDefault="0085581F" w:rsidP="0085581F">
      <w:pPr>
        <w:keepNext/>
        <w:contextualSpacing/>
        <w:rPr>
          <w:rFonts w:asciiTheme="majorBidi" w:eastAsia="Times New Roman" w:hAnsiTheme="majorBidi" w:cstheme="majorBidi"/>
          <w:sz w:val="21"/>
          <w:szCs w:val="21"/>
        </w:rPr>
      </w:pPr>
      <w:r w:rsidRPr="0085581F">
        <w:rPr>
          <w:rFonts w:asciiTheme="majorBidi" w:hAnsiTheme="majorBidi" w:cstheme="majorBidi"/>
          <w:sz w:val="21"/>
        </w:rPr>
        <w:lastRenderedPageBreak/>
        <w:t xml:space="preserve">Furthermore, the partial public </w:t>
      </w:r>
      <w:r w:rsidR="00A453F4">
        <w:rPr>
          <w:rFonts w:asciiTheme="majorBidi" w:hAnsiTheme="majorBidi" w:cstheme="majorBidi"/>
          <w:sz w:val="21"/>
        </w:rPr>
        <w:t>tender offer</w:t>
      </w:r>
      <w:r w:rsidRPr="0085581F">
        <w:rPr>
          <w:rFonts w:asciiTheme="majorBidi" w:hAnsiTheme="majorBidi" w:cstheme="majorBidi"/>
          <w:sz w:val="21"/>
        </w:rPr>
        <w:t xml:space="preserve"> of Gazit Malls was completed for an amount of BRL 301 million (NIS 226 million).</w:t>
      </w:r>
    </w:p>
    <w:p w14:paraId="0C35FDB3" w14:textId="77777777" w:rsidR="0085581F" w:rsidRDefault="0085581F" w:rsidP="0085581F">
      <w:pPr>
        <w:keepNext/>
        <w:contextualSpacing/>
        <w:rPr>
          <w:rFonts w:asciiTheme="majorBidi" w:hAnsiTheme="majorBidi" w:cstheme="majorBidi"/>
          <w:sz w:val="21"/>
        </w:rPr>
      </w:pPr>
      <w:r w:rsidRPr="0085581F">
        <w:rPr>
          <w:rFonts w:asciiTheme="majorBidi" w:hAnsiTheme="majorBidi" w:cstheme="majorBidi"/>
          <w:sz w:val="21"/>
        </w:rPr>
        <w:t>In addition, the Company and its wholly-owned subsidiary intend to act to obtain financing, to be secured by several debt-free properties (mainly properties in Europe), for a cumulative amount of EUR 118 million.</w:t>
      </w:r>
    </w:p>
    <w:p w14:paraId="02A73490" w14:textId="77777777" w:rsidR="00A5600F" w:rsidRPr="0085581F" w:rsidRDefault="00A5600F" w:rsidP="0085581F">
      <w:pPr>
        <w:keepNext/>
        <w:contextualSpacing/>
        <w:rPr>
          <w:rFonts w:asciiTheme="majorBidi" w:eastAsia="Times New Roman" w:hAnsiTheme="majorBidi" w:cstheme="majorBidi"/>
          <w:sz w:val="21"/>
          <w:szCs w:val="21"/>
        </w:rPr>
      </w:pPr>
    </w:p>
    <w:p w14:paraId="0E527460" w14:textId="612994EF" w:rsidR="0085581F" w:rsidRPr="00A5600F" w:rsidRDefault="0085581F" w:rsidP="0085581F">
      <w:pPr>
        <w:tabs>
          <w:tab w:val="left" w:pos="1133"/>
        </w:tabs>
        <w:contextualSpacing/>
        <w:outlineLvl w:val="3"/>
        <w:rPr>
          <w:rFonts w:asciiTheme="majorBidi" w:eastAsia="Times New Roman" w:hAnsiTheme="majorBidi" w:cstheme="majorBidi"/>
          <w:bCs/>
          <w:sz w:val="21"/>
          <w:szCs w:val="21"/>
        </w:rPr>
      </w:pPr>
      <w:r w:rsidRPr="00A5600F">
        <w:rPr>
          <w:rFonts w:asciiTheme="majorBidi" w:hAnsiTheme="majorBidi" w:cstheme="majorBidi"/>
          <w:bCs/>
          <w:sz w:val="21"/>
        </w:rPr>
        <w:t xml:space="preserve">The Company's estimates regarding the sale of properties, as well as the scope of properties that will be sold, the consideration received for them and the dates of sale as well as receipt of financing for them, as well as its assessments regarding the </w:t>
      </w:r>
      <w:r w:rsidR="00E87DC1">
        <w:rPr>
          <w:rFonts w:asciiTheme="majorBidi" w:hAnsiTheme="majorBidi" w:cstheme="majorBidi"/>
          <w:bCs/>
          <w:sz w:val="21"/>
        </w:rPr>
        <w:t>IPO</w:t>
      </w:r>
      <w:r w:rsidRPr="00A5600F">
        <w:rPr>
          <w:rFonts w:asciiTheme="majorBidi" w:hAnsiTheme="majorBidi" w:cstheme="majorBidi"/>
          <w:bCs/>
          <w:sz w:val="21"/>
        </w:rPr>
        <w:t xml:space="preserve"> of the Group’s property portfolio in the United States and its consequences, constitute forward-looking information as defined in the Securities Law, 1968. The foregoing estimates are uncertain, may not materialize and mostly are not within the control of the Company, and are dependent, among other things and as set out above, on the state of the economy and the real estate market in the various countries in which the properties are located and in which the Company operates. If the foregoing market conditions change it is possible that changes and/or delays will occur in the disposal of the properties, over and above as described above.</w:t>
      </w:r>
    </w:p>
    <w:p w14:paraId="0C475122" w14:textId="77777777" w:rsidR="0085581F" w:rsidRPr="0085581F" w:rsidRDefault="0085581F" w:rsidP="004D7A72">
      <w:pPr>
        <w:keepNext/>
        <w:keepLines/>
        <w:numPr>
          <w:ilvl w:val="1"/>
          <w:numId w:val="20"/>
        </w:numPr>
        <w:tabs>
          <w:tab w:val="left" w:pos="1133"/>
        </w:tabs>
        <w:spacing w:before="240"/>
        <w:ind w:left="425" w:hanging="425"/>
        <w:outlineLvl w:val="3"/>
        <w:rPr>
          <w:rFonts w:asciiTheme="majorBidi" w:hAnsiTheme="majorBidi" w:cstheme="majorBidi"/>
          <w:sz w:val="21"/>
          <w:szCs w:val="21"/>
        </w:rPr>
      </w:pPr>
      <w:r w:rsidRPr="0085581F">
        <w:rPr>
          <w:rFonts w:asciiTheme="majorBidi" w:hAnsiTheme="majorBidi" w:cstheme="majorBidi"/>
          <w:sz w:val="21"/>
        </w:rPr>
        <w:t>The Group’s assets as at June 30, 2024 (including jointly controlled properties):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85581F" w:rsidRPr="0085581F" w14:paraId="6F2E2BD1" w14:textId="77777777" w:rsidTr="00A65A6F">
        <w:trPr>
          <w:cantSplit/>
        </w:trPr>
        <w:tc>
          <w:tcPr>
            <w:tcW w:w="5000" w:type="pct"/>
          </w:tcPr>
          <w:tbl>
            <w:tblPr>
              <w:tblStyle w:val="CDMRange220"/>
              <w:tblW w:w="9706" w:type="dxa"/>
              <w:tblLook w:val="0600" w:firstRow="0" w:lastRow="0" w:firstColumn="0" w:lastColumn="0" w:noHBand="1" w:noVBand="1"/>
              <w:tblCaption w:val="Print_Area"/>
            </w:tblPr>
            <w:tblGrid>
              <w:gridCol w:w="1716"/>
              <w:gridCol w:w="1879"/>
              <w:gridCol w:w="1176"/>
              <w:gridCol w:w="1228"/>
              <w:gridCol w:w="1425"/>
              <w:gridCol w:w="1054"/>
              <w:gridCol w:w="1228"/>
            </w:tblGrid>
            <w:tr w:rsidR="0085581F" w:rsidRPr="0085581F" w14:paraId="60F999D7" w14:textId="77777777" w:rsidTr="00E87DC1">
              <w:trPr>
                <w:trHeight w:val="734"/>
              </w:trPr>
              <w:tc>
                <w:tcPr>
                  <w:tcW w:w="1722" w:type="dxa"/>
                  <w:tcBorders>
                    <w:top w:val="nil"/>
                    <w:left w:val="nil"/>
                    <w:bottom w:val="nil"/>
                    <w:right w:val="nil"/>
                    <w:tl2br w:val="nil"/>
                    <w:tr2bl w:val="nil"/>
                  </w:tcBorders>
                  <w:shd w:val="clear" w:color="FFFFFF" w:fill="000031"/>
                  <w:tcMar>
                    <w:left w:w="0" w:type="dxa"/>
                    <w:right w:w="0" w:type="dxa"/>
                  </w:tcMar>
                  <w:vAlign w:val="bottom"/>
                </w:tcPr>
                <w:p w14:paraId="2700390E"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21"/>
                    </w:rPr>
                  </w:pPr>
                  <w:bookmarkStart w:id="13" w:name="_Hlk119002154"/>
                </w:p>
              </w:tc>
              <w:tc>
                <w:tcPr>
                  <w:tcW w:w="1869" w:type="dxa"/>
                  <w:tcBorders>
                    <w:top w:val="nil"/>
                    <w:left w:val="nil"/>
                    <w:bottom w:val="nil"/>
                    <w:right w:val="nil"/>
                    <w:tl2br w:val="nil"/>
                    <w:tr2bl w:val="nil"/>
                  </w:tcBorders>
                  <w:shd w:val="clear" w:color="FFFFFF" w:fill="000031"/>
                  <w:tcMar>
                    <w:left w:w="40" w:type="dxa"/>
                    <w:right w:w="40" w:type="dxa"/>
                  </w:tcMar>
                  <w:vAlign w:val="bottom"/>
                </w:tcPr>
                <w:p w14:paraId="4E998E4D"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Key Countries of Operation</w:t>
                  </w:r>
                </w:p>
              </w:tc>
              <w:tc>
                <w:tcPr>
                  <w:tcW w:w="1164" w:type="dxa"/>
                  <w:tcBorders>
                    <w:top w:val="nil"/>
                    <w:left w:val="nil"/>
                    <w:bottom w:val="nil"/>
                    <w:right w:val="nil"/>
                    <w:tl2br w:val="nil"/>
                    <w:tr2bl w:val="nil"/>
                  </w:tcBorders>
                  <w:shd w:val="clear" w:color="FFFFFF" w:fill="000031"/>
                  <w:tcMar>
                    <w:left w:w="40" w:type="dxa"/>
                    <w:right w:w="40" w:type="dxa"/>
                  </w:tcMar>
                  <w:vAlign w:val="bottom"/>
                </w:tcPr>
                <w:p w14:paraId="73F4ECFF"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Holding interest</w:t>
                  </w:r>
                </w:p>
              </w:tc>
              <w:tc>
                <w:tcPr>
                  <w:tcW w:w="1232" w:type="dxa"/>
                  <w:tcBorders>
                    <w:top w:val="nil"/>
                    <w:left w:val="nil"/>
                    <w:bottom w:val="nil"/>
                    <w:right w:val="nil"/>
                    <w:tl2br w:val="nil"/>
                    <w:tr2bl w:val="nil"/>
                  </w:tcBorders>
                  <w:shd w:val="clear" w:color="FFFFFF" w:fill="000031"/>
                  <w:tcMar>
                    <w:left w:w="40" w:type="dxa"/>
                    <w:right w:w="40" w:type="dxa"/>
                  </w:tcMar>
                  <w:vAlign w:val="bottom"/>
                </w:tcPr>
                <w:p w14:paraId="1634E85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Income-producing property</w:t>
                  </w:r>
                </w:p>
              </w:tc>
              <w:tc>
                <w:tcPr>
                  <w:tcW w:w="1430" w:type="dxa"/>
                  <w:tcBorders>
                    <w:top w:val="nil"/>
                    <w:left w:val="nil"/>
                    <w:bottom w:val="nil"/>
                    <w:right w:val="nil"/>
                    <w:tl2br w:val="nil"/>
                    <w:tr2bl w:val="nil"/>
                  </w:tcBorders>
                  <w:shd w:val="clear" w:color="FFFFFF" w:fill="000031"/>
                  <w:tcMar>
                    <w:left w:w="40" w:type="dxa"/>
                    <w:right w:w="40" w:type="dxa"/>
                  </w:tcMar>
                  <w:vAlign w:val="bottom"/>
                </w:tcPr>
                <w:p w14:paraId="06C285F6"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Properties under development</w:t>
                  </w:r>
                </w:p>
              </w:tc>
              <w:tc>
                <w:tcPr>
                  <w:tcW w:w="1057" w:type="dxa"/>
                  <w:tcBorders>
                    <w:top w:val="nil"/>
                    <w:left w:val="nil"/>
                    <w:bottom w:val="nil"/>
                    <w:right w:val="nil"/>
                    <w:tl2br w:val="nil"/>
                    <w:tr2bl w:val="nil"/>
                  </w:tcBorders>
                  <w:shd w:val="clear" w:color="FFFFFF" w:fill="000031"/>
                  <w:tcMar>
                    <w:left w:w="40" w:type="dxa"/>
                    <w:right w:w="40" w:type="dxa"/>
                  </w:tcMar>
                  <w:vAlign w:val="bottom"/>
                </w:tcPr>
                <w:p w14:paraId="6F99E9DC"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Land</w:t>
                  </w:r>
                </w:p>
              </w:tc>
              <w:tc>
                <w:tcPr>
                  <w:tcW w:w="1232" w:type="dxa"/>
                  <w:tcBorders>
                    <w:top w:val="nil"/>
                    <w:left w:val="nil"/>
                    <w:bottom w:val="nil"/>
                    <w:right w:val="nil"/>
                    <w:tl2br w:val="nil"/>
                    <w:tr2bl w:val="nil"/>
                  </w:tcBorders>
                  <w:shd w:val="clear" w:color="FFFFFF" w:fill="000031"/>
                  <w:tcMar>
                    <w:left w:w="40" w:type="dxa"/>
                    <w:right w:w="40" w:type="dxa"/>
                  </w:tcMar>
                  <w:vAlign w:val="bottom"/>
                </w:tcPr>
                <w:p w14:paraId="7EAD7F4D"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 xml:space="preserve">GLA </w:t>
                  </w:r>
                  <w:r w:rsidRPr="0085581F">
                    <w:rPr>
                      <w:rFonts w:asciiTheme="majorBidi" w:hAnsiTheme="majorBidi" w:cstheme="majorBidi"/>
                      <w:b/>
                      <w:color w:val="FFFFFF"/>
                    </w:rPr>
                    <w:br/>
                    <w:t>(</w:t>
                  </w:r>
                  <w:proofErr w:type="spellStart"/>
                  <w:r w:rsidRPr="0085581F">
                    <w:rPr>
                      <w:rFonts w:asciiTheme="majorBidi" w:hAnsiTheme="majorBidi" w:cstheme="majorBidi"/>
                      <w:b/>
                      <w:color w:val="FFFFFF"/>
                    </w:rPr>
                    <w:t>sq.m</w:t>
                  </w:r>
                  <w:proofErr w:type="spellEnd"/>
                  <w:r w:rsidRPr="0085581F">
                    <w:rPr>
                      <w:rFonts w:asciiTheme="majorBidi" w:hAnsiTheme="majorBidi" w:cstheme="majorBidi"/>
                      <w:b/>
                      <w:color w:val="FFFFFF"/>
                    </w:rPr>
                    <w:t xml:space="preserve"> K)</w:t>
                  </w:r>
                </w:p>
              </w:tc>
            </w:tr>
            <w:tr w:rsidR="0085581F" w:rsidRPr="0085581F" w14:paraId="7A43BACE" w14:textId="77777777" w:rsidTr="00E8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1722" w:type="dxa"/>
                  <w:tcBorders>
                    <w:top w:val="nil"/>
                    <w:left w:val="nil"/>
                    <w:bottom w:val="nil"/>
                    <w:right w:val="nil"/>
                    <w:tl2br w:val="nil"/>
                    <w:tr2bl w:val="nil"/>
                  </w:tcBorders>
                  <w:shd w:val="clear" w:color="auto" w:fill="auto"/>
                  <w:tcMar>
                    <w:left w:w="40" w:type="dxa"/>
                    <w:right w:w="175" w:type="dxa"/>
                  </w:tcMar>
                  <w:vAlign w:val="center"/>
                </w:tcPr>
                <w:p w14:paraId="628FCA75"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CTY</w:t>
                  </w:r>
                </w:p>
              </w:tc>
              <w:tc>
                <w:tcPr>
                  <w:tcW w:w="1869" w:type="dxa"/>
                  <w:tcBorders>
                    <w:top w:val="nil"/>
                    <w:left w:val="nil"/>
                    <w:bottom w:val="nil"/>
                    <w:right w:val="nil"/>
                    <w:tl2br w:val="nil"/>
                    <w:tr2bl w:val="nil"/>
                  </w:tcBorders>
                  <w:shd w:val="clear" w:color="auto" w:fill="auto"/>
                  <w:tcMar>
                    <w:left w:w="40" w:type="dxa"/>
                    <w:right w:w="40" w:type="dxa"/>
                  </w:tcMar>
                  <w:vAlign w:val="center"/>
                </w:tcPr>
                <w:p w14:paraId="4156E64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Finland, Norway, Sweden, Estonia and Denmark</w:t>
                  </w:r>
                </w:p>
              </w:tc>
              <w:tc>
                <w:tcPr>
                  <w:tcW w:w="1164" w:type="dxa"/>
                  <w:tcBorders>
                    <w:top w:val="nil"/>
                    <w:left w:val="nil"/>
                    <w:bottom w:val="nil"/>
                    <w:right w:val="nil"/>
                    <w:tl2br w:val="nil"/>
                    <w:tr2bl w:val="nil"/>
                  </w:tcBorders>
                  <w:shd w:val="clear" w:color="auto" w:fill="auto"/>
                  <w:noWrap/>
                  <w:tcMar>
                    <w:left w:w="40" w:type="dxa"/>
                    <w:right w:w="40" w:type="dxa"/>
                  </w:tcMar>
                  <w:vAlign w:val="center"/>
                </w:tcPr>
                <w:p w14:paraId="3DCD5B0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49.6%</w:t>
                  </w:r>
                </w:p>
              </w:tc>
              <w:tc>
                <w:tcPr>
                  <w:tcW w:w="1232" w:type="dxa"/>
                  <w:tcBorders>
                    <w:top w:val="nil"/>
                    <w:left w:val="nil"/>
                    <w:bottom w:val="nil"/>
                    <w:right w:val="nil"/>
                    <w:tl2br w:val="nil"/>
                    <w:tr2bl w:val="nil"/>
                  </w:tcBorders>
                  <w:shd w:val="clear" w:color="auto" w:fill="auto"/>
                  <w:noWrap/>
                  <w:tcMar>
                    <w:left w:w="40" w:type="dxa"/>
                    <w:right w:w="40" w:type="dxa"/>
                  </w:tcMar>
                  <w:vAlign w:val="center"/>
                </w:tcPr>
                <w:p w14:paraId="0A2B0E7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34</w:t>
                  </w:r>
                </w:p>
              </w:tc>
              <w:tc>
                <w:tcPr>
                  <w:tcW w:w="1430" w:type="dxa"/>
                  <w:tcBorders>
                    <w:top w:val="nil"/>
                    <w:left w:val="nil"/>
                    <w:bottom w:val="nil"/>
                    <w:right w:val="nil"/>
                    <w:tl2br w:val="nil"/>
                    <w:tr2bl w:val="nil"/>
                  </w:tcBorders>
                  <w:shd w:val="clear" w:color="auto" w:fill="auto"/>
                  <w:noWrap/>
                  <w:tcMar>
                    <w:left w:w="40" w:type="dxa"/>
                    <w:right w:w="40" w:type="dxa"/>
                  </w:tcMar>
                  <w:vAlign w:val="center"/>
                </w:tcPr>
                <w:p w14:paraId="30D5BD2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057" w:type="dxa"/>
                  <w:tcBorders>
                    <w:top w:val="nil"/>
                    <w:left w:val="nil"/>
                    <w:bottom w:val="nil"/>
                    <w:right w:val="nil"/>
                    <w:tl2br w:val="nil"/>
                    <w:tr2bl w:val="nil"/>
                  </w:tcBorders>
                  <w:shd w:val="clear" w:color="auto" w:fill="auto"/>
                  <w:noWrap/>
                  <w:tcMar>
                    <w:left w:w="40" w:type="dxa"/>
                    <w:right w:w="40" w:type="dxa"/>
                  </w:tcMar>
                  <w:vAlign w:val="center"/>
                </w:tcPr>
                <w:p w14:paraId="12C71CB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232" w:type="dxa"/>
                  <w:tcBorders>
                    <w:top w:val="nil"/>
                    <w:left w:val="nil"/>
                    <w:bottom w:val="nil"/>
                    <w:right w:val="nil"/>
                    <w:tl2br w:val="nil"/>
                    <w:tr2bl w:val="nil"/>
                  </w:tcBorders>
                  <w:shd w:val="clear" w:color="auto" w:fill="auto"/>
                  <w:noWrap/>
                  <w:tcMar>
                    <w:left w:w="40" w:type="dxa"/>
                    <w:right w:w="40" w:type="dxa"/>
                  </w:tcMar>
                  <w:vAlign w:val="center"/>
                </w:tcPr>
                <w:p w14:paraId="7BA4BF1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1,084</w:t>
                  </w:r>
                </w:p>
              </w:tc>
            </w:tr>
            <w:tr w:rsidR="0085581F" w:rsidRPr="0085581F" w14:paraId="36463F68" w14:textId="77777777" w:rsidTr="00E8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722" w:type="dxa"/>
                  <w:tcBorders>
                    <w:top w:val="nil"/>
                    <w:left w:val="nil"/>
                    <w:bottom w:val="nil"/>
                    <w:right w:val="nil"/>
                    <w:tl2br w:val="nil"/>
                    <w:tr2bl w:val="nil"/>
                  </w:tcBorders>
                  <w:shd w:val="clear" w:color="auto" w:fill="auto"/>
                  <w:tcMar>
                    <w:left w:w="40" w:type="dxa"/>
                    <w:right w:w="175" w:type="dxa"/>
                  </w:tcMar>
                  <w:vAlign w:val="center"/>
                </w:tcPr>
                <w:p w14:paraId="13626EF1"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 Europe</w:t>
                  </w:r>
                </w:p>
              </w:tc>
              <w:tc>
                <w:tcPr>
                  <w:tcW w:w="1869" w:type="dxa"/>
                  <w:tcBorders>
                    <w:top w:val="nil"/>
                    <w:left w:val="nil"/>
                    <w:bottom w:val="nil"/>
                    <w:right w:val="nil"/>
                    <w:tl2br w:val="nil"/>
                    <w:tr2bl w:val="nil"/>
                  </w:tcBorders>
                  <w:shd w:val="clear" w:color="auto" w:fill="auto"/>
                  <w:tcMar>
                    <w:left w:w="40" w:type="dxa"/>
                    <w:right w:w="40" w:type="dxa"/>
                  </w:tcMar>
                  <w:vAlign w:val="center"/>
                </w:tcPr>
                <w:p w14:paraId="4246E20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Poland and Czech Republic</w:t>
                  </w:r>
                </w:p>
              </w:tc>
              <w:tc>
                <w:tcPr>
                  <w:tcW w:w="1164" w:type="dxa"/>
                  <w:tcBorders>
                    <w:top w:val="nil"/>
                    <w:left w:val="nil"/>
                    <w:bottom w:val="nil"/>
                    <w:right w:val="nil"/>
                    <w:tl2br w:val="nil"/>
                    <w:tr2bl w:val="nil"/>
                  </w:tcBorders>
                  <w:shd w:val="clear" w:color="auto" w:fill="auto"/>
                  <w:noWrap/>
                  <w:tcMar>
                    <w:left w:w="40" w:type="dxa"/>
                    <w:right w:w="40" w:type="dxa"/>
                  </w:tcMar>
                  <w:vAlign w:val="center"/>
                </w:tcPr>
                <w:p w14:paraId="3458FAA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100.0%</w:t>
                  </w:r>
                </w:p>
              </w:tc>
              <w:tc>
                <w:tcPr>
                  <w:tcW w:w="1232" w:type="dxa"/>
                  <w:tcBorders>
                    <w:top w:val="nil"/>
                    <w:left w:val="nil"/>
                    <w:bottom w:val="nil"/>
                    <w:right w:val="nil"/>
                    <w:tl2br w:val="nil"/>
                    <w:tr2bl w:val="nil"/>
                  </w:tcBorders>
                  <w:shd w:val="clear" w:color="auto" w:fill="auto"/>
                  <w:noWrap/>
                  <w:tcMar>
                    <w:left w:w="40" w:type="dxa"/>
                    <w:right w:w="40" w:type="dxa"/>
                  </w:tcMar>
                  <w:vAlign w:val="center"/>
                </w:tcPr>
                <w:p w14:paraId="5494E502"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14</w:t>
                  </w:r>
                </w:p>
              </w:tc>
              <w:tc>
                <w:tcPr>
                  <w:tcW w:w="1430" w:type="dxa"/>
                  <w:tcBorders>
                    <w:top w:val="nil"/>
                    <w:left w:val="nil"/>
                    <w:bottom w:val="nil"/>
                    <w:right w:val="nil"/>
                    <w:tl2br w:val="nil"/>
                    <w:tr2bl w:val="nil"/>
                  </w:tcBorders>
                  <w:shd w:val="clear" w:color="auto" w:fill="auto"/>
                  <w:noWrap/>
                  <w:tcMar>
                    <w:left w:w="40" w:type="dxa"/>
                    <w:right w:w="40" w:type="dxa"/>
                  </w:tcMar>
                  <w:vAlign w:val="center"/>
                </w:tcPr>
                <w:p w14:paraId="6F225FB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w:t>
                  </w:r>
                </w:p>
              </w:tc>
              <w:tc>
                <w:tcPr>
                  <w:tcW w:w="1057" w:type="dxa"/>
                  <w:tcBorders>
                    <w:top w:val="nil"/>
                    <w:left w:val="nil"/>
                    <w:bottom w:val="nil"/>
                    <w:right w:val="nil"/>
                    <w:tl2br w:val="nil"/>
                    <w:tr2bl w:val="nil"/>
                  </w:tcBorders>
                  <w:shd w:val="clear" w:color="auto" w:fill="auto"/>
                  <w:noWrap/>
                  <w:tcMar>
                    <w:left w:w="40" w:type="dxa"/>
                    <w:right w:w="40" w:type="dxa"/>
                  </w:tcMar>
                  <w:vAlign w:val="center"/>
                </w:tcPr>
                <w:p w14:paraId="14BF794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w:t>
                  </w:r>
                </w:p>
              </w:tc>
              <w:tc>
                <w:tcPr>
                  <w:tcW w:w="1232" w:type="dxa"/>
                  <w:tcBorders>
                    <w:top w:val="nil"/>
                    <w:left w:val="nil"/>
                    <w:bottom w:val="nil"/>
                    <w:right w:val="nil"/>
                    <w:tl2br w:val="nil"/>
                    <w:tr2bl w:val="nil"/>
                  </w:tcBorders>
                  <w:shd w:val="clear" w:color="auto" w:fill="auto"/>
                  <w:noWrap/>
                  <w:tcMar>
                    <w:left w:w="40" w:type="dxa"/>
                    <w:right w:w="40" w:type="dxa"/>
                  </w:tcMar>
                  <w:vAlign w:val="center"/>
                </w:tcPr>
                <w:p w14:paraId="109B70E2" w14:textId="5898937E"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r w:rsidR="009A026B">
                    <w:rPr>
                      <w:rFonts w:asciiTheme="majorBidi" w:hAnsiTheme="majorBidi" w:cstheme="majorBidi"/>
                      <w:color w:val="000000"/>
                      <w:sz w:val="21"/>
                    </w:rPr>
                    <w:t>362</w:t>
                  </w:r>
                </w:p>
              </w:tc>
            </w:tr>
            <w:tr w:rsidR="0085581F" w:rsidRPr="0085581F" w14:paraId="4D7CDA5D" w14:textId="77777777" w:rsidTr="00E8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22" w:type="dxa"/>
                  <w:tcBorders>
                    <w:top w:val="nil"/>
                    <w:left w:val="nil"/>
                    <w:bottom w:val="nil"/>
                    <w:right w:val="nil"/>
                    <w:tl2br w:val="nil"/>
                    <w:tr2bl w:val="nil"/>
                  </w:tcBorders>
                  <w:shd w:val="clear" w:color="auto" w:fill="auto"/>
                  <w:tcMar>
                    <w:left w:w="40" w:type="dxa"/>
                    <w:right w:w="175" w:type="dxa"/>
                  </w:tcMar>
                  <w:vAlign w:val="center"/>
                </w:tcPr>
                <w:p w14:paraId="3FFB4030"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Gazit </w:t>
                  </w:r>
                  <w:proofErr w:type="spellStart"/>
                  <w:r w:rsidRPr="0085581F">
                    <w:rPr>
                      <w:rFonts w:asciiTheme="majorBidi" w:hAnsiTheme="majorBidi" w:cstheme="majorBidi"/>
                      <w:color w:val="000000"/>
                      <w:sz w:val="21"/>
                    </w:rPr>
                    <w:t>Brasil</w:t>
                  </w:r>
                  <w:proofErr w:type="spellEnd"/>
                  <w:r w:rsidRPr="0085581F">
                    <w:rPr>
                      <w:rFonts w:asciiTheme="majorBidi" w:hAnsiTheme="majorBidi" w:cstheme="majorBidi"/>
                      <w:color w:val="000000"/>
                      <w:sz w:val="21"/>
                    </w:rPr>
                    <w:t xml:space="preserve"> </w:t>
                  </w:r>
                </w:p>
              </w:tc>
              <w:tc>
                <w:tcPr>
                  <w:tcW w:w="1869" w:type="dxa"/>
                  <w:tcBorders>
                    <w:top w:val="nil"/>
                    <w:left w:val="nil"/>
                    <w:bottom w:val="nil"/>
                    <w:right w:val="nil"/>
                    <w:tl2br w:val="nil"/>
                    <w:tr2bl w:val="nil"/>
                  </w:tcBorders>
                  <w:shd w:val="clear" w:color="auto" w:fill="auto"/>
                  <w:tcMar>
                    <w:left w:w="40" w:type="dxa"/>
                    <w:right w:w="40" w:type="dxa"/>
                  </w:tcMar>
                  <w:vAlign w:val="center"/>
                </w:tcPr>
                <w:p w14:paraId="24DA4F4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Brazil (Sao Paulo)</w:t>
                  </w:r>
                </w:p>
              </w:tc>
              <w:tc>
                <w:tcPr>
                  <w:tcW w:w="1164" w:type="dxa"/>
                  <w:tcBorders>
                    <w:top w:val="nil"/>
                    <w:left w:val="nil"/>
                    <w:bottom w:val="nil"/>
                    <w:right w:val="nil"/>
                    <w:tl2br w:val="nil"/>
                    <w:tr2bl w:val="nil"/>
                  </w:tcBorders>
                  <w:shd w:val="clear" w:color="auto" w:fill="auto"/>
                  <w:noWrap/>
                  <w:tcMar>
                    <w:left w:w="40" w:type="dxa"/>
                    <w:right w:w="40" w:type="dxa"/>
                  </w:tcMar>
                  <w:vAlign w:val="center"/>
                </w:tcPr>
                <w:p w14:paraId="661F0D9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81.9%</w:t>
                  </w:r>
                </w:p>
              </w:tc>
              <w:tc>
                <w:tcPr>
                  <w:tcW w:w="1232" w:type="dxa"/>
                  <w:tcBorders>
                    <w:top w:val="nil"/>
                    <w:left w:val="nil"/>
                    <w:bottom w:val="nil"/>
                    <w:right w:val="nil"/>
                    <w:tl2br w:val="nil"/>
                    <w:tr2bl w:val="nil"/>
                  </w:tcBorders>
                  <w:shd w:val="clear" w:color="auto" w:fill="auto"/>
                  <w:noWrap/>
                  <w:tcMar>
                    <w:left w:w="40" w:type="dxa"/>
                    <w:right w:w="40" w:type="dxa"/>
                  </w:tcMar>
                  <w:vAlign w:val="center"/>
                </w:tcPr>
                <w:p w14:paraId="5059FED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6</w:t>
                  </w:r>
                </w:p>
              </w:tc>
              <w:tc>
                <w:tcPr>
                  <w:tcW w:w="1430" w:type="dxa"/>
                  <w:tcBorders>
                    <w:top w:val="nil"/>
                    <w:left w:val="nil"/>
                    <w:bottom w:val="nil"/>
                    <w:right w:val="nil"/>
                    <w:tl2br w:val="nil"/>
                    <w:tr2bl w:val="nil"/>
                  </w:tcBorders>
                  <w:shd w:val="clear" w:color="auto" w:fill="auto"/>
                  <w:noWrap/>
                  <w:tcMar>
                    <w:left w:w="40" w:type="dxa"/>
                    <w:right w:w="40" w:type="dxa"/>
                  </w:tcMar>
                  <w:vAlign w:val="center"/>
                </w:tcPr>
                <w:p w14:paraId="2791C6B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057" w:type="dxa"/>
                  <w:tcBorders>
                    <w:top w:val="nil"/>
                    <w:left w:val="nil"/>
                    <w:bottom w:val="nil"/>
                    <w:right w:val="nil"/>
                    <w:tl2br w:val="nil"/>
                    <w:tr2bl w:val="nil"/>
                  </w:tcBorders>
                  <w:shd w:val="clear" w:color="auto" w:fill="auto"/>
                  <w:noWrap/>
                  <w:tcMar>
                    <w:left w:w="40" w:type="dxa"/>
                    <w:right w:w="40" w:type="dxa"/>
                  </w:tcMar>
                  <w:vAlign w:val="center"/>
                </w:tcPr>
                <w:p w14:paraId="1E81EB3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w:t>
                  </w:r>
                </w:p>
              </w:tc>
              <w:tc>
                <w:tcPr>
                  <w:tcW w:w="1232" w:type="dxa"/>
                  <w:tcBorders>
                    <w:top w:val="nil"/>
                    <w:left w:val="nil"/>
                    <w:bottom w:val="nil"/>
                    <w:right w:val="nil"/>
                    <w:tl2br w:val="nil"/>
                    <w:tr2bl w:val="nil"/>
                  </w:tcBorders>
                  <w:shd w:val="clear" w:color="auto" w:fill="auto"/>
                  <w:noWrap/>
                  <w:tcMar>
                    <w:left w:w="40" w:type="dxa"/>
                    <w:right w:w="40" w:type="dxa"/>
                  </w:tcMar>
                  <w:vAlign w:val="center"/>
                </w:tcPr>
                <w:p w14:paraId="7929A3C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165</w:t>
                  </w:r>
                </w:p>
              </w:tc>
            </w:tr>
            <w:tr w:rsidR="0085581F" w:rsidRPr="0085581F" w14:paraId="11B6A04F" w14:textId="77777777" w:rsidTr="00E8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22" w:type="dxa"/>
                  <w:tcBorders>
                    <w:top w:val="nil"/>
                    <w:left w:val="nil"/>
                    <w:bottom w:val="nil"/>
                    <w:right w:val="nil"/>
                    <w:tl2br w:val="nil"/>
                    <w:tr2bl w:val="nil"/>
                  </w:tcBorders>
                  <w:shd w:val="clear" w:color="auto" w:fill="auto"/>
                  <w:tcMar>
                    <w:left w:w="40" w:type="dxa"/>
                    <w:right w:w="175" w:type="dxa"/>
                  </w:tcMar>
                  <w:vAlign w:val="center"/>
                </w:tcPr>
                <w:p w14:paraId="49D2104E"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 Israel</w:t>
                  </w:r>
                </w:p>
              </w:tc>
              <w:tc>
                <w:tcPr>
                  <w:tcW w:w="1869" w:type="dxa"/>
                  <w:tcBorders>
                    <w:top w:val="nil"/>
                    <w:left w:val="nil"/>
                    <w:bottom w:val="nil"/>
                    <w:right w:val="nil"/>
                    <w:tl2br w:val="nil"/>
                    <w:tr2bl w:val="nil"/>
                  </w:tcBorders>
                  <w:shd w:val="clear" w:color="auto" w:fill="auto"/>
                  <w:tcMar>
                    <w:left w:w="40" w:type="dxa"/>
                    <w:right w:w="40" w:type="dxa"/>
                  </w:tcMar>
                  <w:vAlign w:val="center"/>
                </w:tcPr>
                <w:p w14:paraId="1AC8571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Israel</w:t>
                  </w:r>
                </w:p>
              </w:tc>
              <w:tc>
                <w:tcPr>
                  <w:tcW w:w="1164" w:type="dxa"/>
                  <w:tcBorders>
                    <w:top w:val="nil"/>
                    <w:left w:val="nil"/>
                    <w:bottom w:val="nil"/>
                    <w:right w:val="nil"/>
                    <w:tl2br w:val="nil"/>
                    <w:tr2bl w:val="nil"/>
                  </w:tcBorders>
                  <w:shd w:val="clear" w:color="auto" w:fill="auto"/>
                  <w:noWrap/>
                  <w:tcMar>
                    <w:left w:w="40" w:type="dxa"/>
                    <w:right w:w="40" w:type="dxa"/>
                  </w:tcMar>
                  <w:vAlign w:val="center"/>
                </w:tcPr>
                <w:p w14:paraId="12C2675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100.0%</w:t>
                  </w:r>
                </w:p>
              </w:tc>
              <w:tc>
                <w:tcPr>
                  <w:tcW w:w="1232" w:type="dxa"/>
                  <w:tcBorders>
                    <w:top w:val="nil"/>
                    <w:left w:val="nil"/>
                    <w:bottom w:val="nil"/>
                    <w:right w:val="nil"/>
                    <w:tl2br w:val="nil"/>
                    <w:tr2bl w:val="nil"/>
                  </w:tcBorders>
                  <w:shd w:val="clear" w:color="auto" w:fill="auto"/>
                  <w:noWrap/>
                  <w:tcMar>
                    <w:left w:w="40" w:type="dxa"/>
                    <w:right w:w="40" w:type="dxa"/>
                  </w:tcMar>
                  <w:vAlign w:val="center"/>
                </w:tcPr>
                <w:p w14:paraId="47029DB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10</w:t>
                  </w:r>
                </w:p>
              </w:tc>
              <w:tc>
                <w:tcPr>
                  <w:tcW w:w="1430" w:type="dxa"/>
                  <w:tcBorders>
                    <w:top w:val="nil"/>
                    <w:left w:val="nil"/>
                    <w:bottom w:val="nil"/>
                    <w:right w:val="nil"/>
                    <w:tl2br w:val="nil"/>
                    <w:tr2bl w:val="nil"/>
                  </w:tcBorders>
                  <w:shd w:val="clear" w:color="auto" w:fill="auto"/>
                  <w:noWrap/>
                  <w:tcMar>
                    <w:left w:w="40" w:type="dxa"/>
                    <w:right w:w="40" w:type="dxa"/>
                  </w:tcMar>
                  <w:vAlign w:val="center"/>
                </w:tcPr>
                <w:p w14:paraId="4A684E2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w:t>
                  </w:r>
                </w:p>
              </w:tc>
              <w:tc>
                <w:tcPr>
                  <w:tcW w:w="1057" w:type="dxa"/>
                  <w:tcBorders>
                    <w:top w:val="nil"/>
                    <w:left w:val="nil"/>
                    <w:bottom w:val="nil"/>
                    <w:right w:val="nil"/>
                    <w:tl2br w:val="nil"/>
                    <w:tr2bl w:val="nil"/>
                  </w:tcBorders>
                  <w:shd w:val="clear" w:color="auto" w:fill="auto"/>
                  <w:noWrap/>
                  <w:tcMar>
                    <w:left w:w="40" w:type="dxa"/>
                    <w:right w:w="40" w:type="dxa"/>
                  </w:tcMar>
                  <w:vAlign w:val="center"/>
                </w:tcPr>
                <w:p w14:paraId="1E8B8A4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w:t>
                  </w:r>
                </w:p>
              </w:tc>
              <w:tc>
                <w:tcPr>
                  <w:tcW w:w="1232" w:type="dxa"/>
                  <w:tcBorders>
                    <w:top w:val="nil"/>
                    <w:left w:val="nil"/>
                    <w:bottom w:val="nil"/>
                    <w:right w:val="nil"/>
                    <w:tl2br w:val="nil"/>
                    <w:tr2bl w:val="nil"/>
                  </w:tcBorders>
                  <w:shd w:val="clear" w:color="auto" w:fill="auto"/>
                  <w:noWrap/>
                  <w:tcMar>
                    <w:left w:w="40" w:type="dxa"/>
                    <w:right w:w="40" w:type="dxa"/>
                  </w:tcMar>
                  <w:vAlign w:val="center"/>
                </w:tcPr>
                <w:p w14:paraId="6A45C58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156</w:t>
                  </w:r>
                </w:p>
              </w:tc>
            </w:tr>
            <w:tr w:rsidR="0085581F" w:rsidRPr="0085581F" w14:paraId="438A612C" w14:textId="77777777" w:rsidTr="00E8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22" w:type="dxa"/>
                  <w:tcBorders>
                    <w:top w:val="nil"/>
                    <w:left w:val="nil"/>
                    <w:bottom w:val="nil"/>
                    <w:right w:val="nil"/>
                    <w:tl2br w:val="nil"/>
                    <w:tr2bl w:val="nil"/>
                  </w:tcBorders>
                  <w:shd w:val="clear" w:color="auto" w:fill="auto"/>
                  <w:tcMar>
                    <w:left w:w="40" w:type="dxa"/>
                    <w:right w:w="175" w:type="dxa"/>
                  </w:tcMar>
                  <w:vAlign w:val="center"/>
                </w:tcPr>
                <w:p w14:paraId="2630C440"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Gazit Horizons </w:t>
                  </w:r>
                </w:p>
              </w:tc>
              <w:tc>
                <w:tcPr>
                  <w:tcW w:w="1869" w:type="dxa"/>
                  <w:tcBorders>
                    <w:top w:val="nil"/>
                    <w:left w:val="nil"/>
                    <w:bottom w:val="nil"/>
                    <w:right w:val="nil"/>
                    <w:tl2br w:val="nil"/>
                    <w:tr2bl w:val="nil"/>
                  </w:tcBorders>
                  <w:shd w:val="clear" w:color="auto" w:fill="auto"/>
                  <w:tcMar>
                    <w:left w:w="40" w:type="dxa"/>
                    <w:right w:w="40" w:type="dxa"/>
                  </w:tcMar>
                  <w:vAlign w:val="center"/>
                </w:tcPr>
                <w:p w14:paraId="37E5A50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USA</w:t>
                  </w:r>
                </w:p>
              </w:tc>
              <w:tc>
                <w:tcPr>
                  <w:tcW w:w="1164" w:type="dxa"/>
                  <w:tcBorders>
                    <w:top w:val="nil"/>
                    <w:left w:val="nil"/>
                    <w:bottom w:val="nil"/>
                    <w:right w:val="nil"/>
                    <w:tl2br w:val="nil"/>
                    <w:tr2bl w:val="nil"/>
                  </w:tcBorders>
                  <w:shd w:val="clear" w:color="auto" w:fill="auto"/>
                  <w:noWrap/>
                  <w:tcMar>
                    <w:left w:w="40" w:type="dxa"/>
                    <w:right w:w="40" w:type="dxa"/>
                  </w:tcMar>
                  <w:vAlign w:val="center"/>
                </w:tcPr>
                <w:p w14:paraId="7FF8552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100.0%</w:t>
                  </w:r>
                </w:p>
              </w:tc>
              <w:tc>
                <w:tcPr>
                  <w:tcW w:w="1232" w:type="dxa"/>
                  <w:tcBorders>
                    <w:top w:val="nil"/>
                    <w:left w:val="nil"/>
                    <w:bottom w:val="nil"/>
                    <w:right w:val="nil"/>
                    <w:tl2br w:val="nil"/>
                    <w:tr2bl w:val="nil"/>
                  </w:tcBorders>
                  <w:shd w:val="clear" w:color="auto" w:fill="auto"/>
                  <w:noWrap/>
                  <w:tcMar>
                    <w:left w:w="40" w:type="dxa"/>
                    <w:right w:w="40" w:type="dxa"/>
                  </w:tcMar>
                  <w:vAlign w:val="center"/>
                </w:tcPr>
                <w:p w14:paraId="74E7BD0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11</w:t>
                  </w:r>
                </w:p>
              </w:tc>
              <w:tc>
                <w:tcPr>
                  <w:tcW w:w="1430" w:type="dxa"/>
                  <w:tcBorders>
                    <w:top w:val="nil"/>
                    <w:left w:val="nil"/>
                    <w:bottom w:val="nil"/>
                    <w:right w:val="nil"/>
                    <w:tl2br w:val="nil"/>
                    <w:tr2bl w:val="nil"/>
                  </w:tcBorders>
                  <w:shd w:val="clear" w:color="auto" w:fill="auto"/>
                  <w:noWrap/>
                  <w:tcMar>
                    <w:left w:w="40" w:type="dxa"/>
                    <w:right w:w="40" w:type="dxa"/>
                  </w:tcMar>
                  <w:vAlign w:val="center"/>
                </w:tcPr>
                <w:p w14:paraId="794C1CD8"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w:t>
                  </w:r>
                </w:p>
              </w:tc>
              <w:tc>
                <w:tcPr>
                  <w:tcW w:w="1057" w:type="dxa"/>
                  <w:tcBorders>
                    <w:top w:val="nil"/>
                    <w:left w:val="nil"/>
                    <w:bottom w:val="nil"/>
                    <w:right w:val="nil"/>
                    <w:tl2br w:val="nil"/>
                    <w:tr2bl w:val="nil"/>
                  </w:tcBorders>
                  <w:shd w:val="clear" w:color="auto" w:fill="auto"/>
                  <w:noWrap/>
                  <w:tcMar>
                    <w:left w:w="40" w:type="dxa"/>
                    <w:right w:w="40" w:type="dxa"/>
                  </w:tcMar>
                  <w:vAlign w:val="center"/>
                </w:tcPr>
                <w:p w14:paraId="77FB802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w:t>
                  </w:r>
                </w:p>
              </w:tc>
              <w:tc>
                <w:tcPr>
                  <w:tcW w:w="1232" w:type="dxa"/>
                  <w:tcBorders>
                    <w:top w:val="nil"/>
                    <w:left w:val="nil"/>
                    <w:bottom w:val="nil"/>
                    <w:right w:val="nil"/>
                    <w:tl2br w:val="nil"/>
                    <w:tr2bl w:val="nil"/>
                  </w:tcBorders>
                  <w:shd w:val="clear" w:color="auto" w:fill="auto"/>
                  <w:noWrap/>
                  <w:tcMar>
                    <w:left w:w="40" w:type="dxa"/>
                    <w:right w:w="40" w:type="dxa"/>
                  </w:tcMar>
                  <w:vAlign w:val="center"/>
                </w:tcPr>
                <w:p w14:paraId="06714C5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55</w:t>
                  </w:r>
                </w:p>
              </w:tc>
            </w:tr>
            <w:tr w:rsidR="0085581F" w:rsidRPr="0085581F" w14:paraId="6DB474CB" w14:textId="77777777" w:rsidTr="00E8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22" w:type="dxa"/>
                  <w:tcBorders>
                    <w:top w:val="nil"/>
                    <w:left w:val="nil"/>
                    <w:bottom w:val="single" w:sz="4" w:space="0" w:color="000000"/>
                    <w:right w:val="nil"/>
                    <w:tl2br w:val="nil"/>
                    <w:tr2bl w:val="nil"/>
                  </w:tcBorders>
                  <w:shd w:val="clear" w:color="auto" w:fill="auto"/>
                  <w:tcMar>
                    <w:left w:w="40" w:type="dxa"/>
                    <w:right w:w="175" w:type="dxa"/>
                  </w:tcMar>
                  <w:vAlign w:val="center"/>
                </w:tcPr>
                <w:p w14:paraId="2EBEBE56"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Gazit Canada</w:t>
                  </w:r>
                </w:p>
              </w:tc>
              <w:tc>
                <w:tcPr>
                  <w:tcW w:w="1869" w:type="dxa"/>
                  <w:tcBorders>
                    <w:top w:val="nil"/>
                    <w:left w:val="nil"/>
                    <w:bottom w:val="single" w:sz="4" w:space="0" w:color="000000"/>
                    <w:right w:val="nil"/>
                    <w:tl2br w:val="nil"/>
                    <w:tr2bl w:val="nil"/>
                  </w:tcBorders>
                  <w:shd w:val="clear" w:color="auto" w:fill="auto"/>
                  <w:tcMar>
                    <w:left w:w="40" w:type="dxa"/>
                    <w:right w:w="40" w:type="dxa"/>
                  </w:tcMar>
                  <w:vAlign w:val="center"/>
                </w:tcPr>
                <w:p w14:paraId="6698AB8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Canada</w:t>
                  </w:r>
                </w:p>
              </w:tc>
              <w:tc>
                <w:tcPr>
                  <w:tcW w:w="1164"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9FA36E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100.0%</w:t>
                  </w:r>
                </w:p>
              </w:tc>
              <w:tc>
                <w:tcPr>
                  <w:tcW w:w="1232"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F1957B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w:t>
                  </w:r>
                </w:p>
              </w:tc>
              <w:tc>
                <w:tcPr>
                  <w:tcW w:w="14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A46135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057"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D60DBF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232"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7E3EAD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18</w:t>
                  </w:r>
                </w:p>
              </w:tc>
            </w:tr>
            <w:tr w:rsidR="0085581F" w:rsidRPr="0085581F" w14:paraId="40B04B66" w14:textId="77777777" w:rsidTr="00E8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591" w:type="dxa"/>
                  <w:gridSpan w:val="2"/>
                  <w:tcBorders>
                    <w:top w:val="single" w:sz="4" w:space="0" w:color="000000"/>
                    <w:left w:val="nil"/>
                    <w:bottom w:val="single" w:sz="12" w:space="0" w:color="000000"/>
                    <w:right w:val="nil"/>
                    <w:tl2br w:val="nil"/>
                    <w:tr2bl w:val="nil"/>
                  </w:tcBorders>
                  <w:shd w:val="clear" w:color="FFFFFF" w:fill="FFFFFF"/>
                  <w:noWrap/>
                  <w:tcMar>
                    <w:left w:w="40" w:type="dxa"/>
                    <w:right w:w="175" w:type="dxa"/>
                  </w:tcMar>
                  <w:vAlign w:val="center"/>
                </w:tcPr>
                <w:p w14:paraId="3EF18F46" w14:textId="77777777" w:rsidR="0085581F" w:rsidRPr="0085581F" w:rsidRDefault="0085581F" w:rsidP="0085581F">
                  <w:pPr>
                    <w:spacing w:before="0" w:after="0" w:line="240" w:lineRule="auto"/>
                    <w:jc w:val="left"/>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Total carrying amount</w:t>
                  </w:r>
                </w:p>
              </w:tc>
              <w:tc>
                <w:tcPr>
                  <w:tcW w:w="1164" w:type="dxa"/>
                  <w:tcBorders>
                    <w:top w:val="single" w:sz="4" w:space="0" w:color="000000"/>
                    <w:left w:val="nil"/>
                    <w:bottom w:val="single" w:sz="12" w:space="0" w:color="000000"/>
                    <w:right w:val="nil"/>
                    <w:tl2br w:val="nil"/>
                    <w:tr2bl w:val="nil"/>
                  </w:tcBorders>
                  <w:shd w:val="clear" w:color="FFFFFF" w:fill="FFFFFF"/>
                  <w:noWrap/>
                  <w:tcMar>
                    <w:left w:w="0" w:type="dxa"/>
                    <w:right w:w="0" w:type="dxa"/>
                  </w:tcMar>
                  <w:vAlign w:val="center"/>
                </w:tcPr>
                <w:p w14:paraId="54125043" w14:textId="77777777" w:rsidR="0085581F" w:rsidRPr="0085581F" w:rsidRDefault="0085581F" w:rsidP="0085581F">
                  <w:pPr>
                    <w:spacing w:before="0" w:after="0" w:line="240" w:lineRule="auto"/>
                    <w:jc w:val="right"/>
                    <w:rPr>
                      <w:rFonts w:asciiTheme="majorBidi" w:eastAsia="Ploni ML Medium AAA Medium" w:hAnsiTheme="majorBidi" w:cstheme="majorBidi"/>
                      <w:b/>
                      <w:color w:val="000000"/>
                      <w:sz w:val="21"/>
                    </w:rPr>
                  </w:pPr>
                </w:p>
              </w:tc>
              <w:tc>
                <w:tcPr>
                  <w:tcW w:w="1232"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5D9E0064"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76 </w:t>
                  </w:r>
                </w:p>
              </w:tc>
              <w:tc>
                <w:tcPr>
                  <w:tcW w:w="1430"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1181E54E"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4 </w:t>
                  </w:r>
                </w:p>
              </w:tc>
              <w:tc>
                <w:tcPr>
                  <w:tcW w:w="1057"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3F46A72B"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7 </w:t>
                  </w:r>
                </w:p>
              </w:tc>
              <w:tc>
                <w:tcPr>
                  <w:tcW w:w="1232"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1488018D" w14:textId="12743129"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1,</w:t>
                  </w:r>
                  <w:r w:rsidR="009A026B">
                    <w:rPr>
                      <w:rFonts w:asciiTheme="majorBidi" w:hAnsiTheme="majorBidi" w:cstheme="majorBidi"/>
                      <w:b/>
                      <w:color w:val="000000"/>
                      <w:sz w:val="21"/>
                    </w:rPr>
                    <w:t>840</w:t>
                  </w:r>
                  <w:r w:rsidRPr="0085581F">
                    <w:rPr>
                      <w:rFonts w:asciiTheme="majorBidi" w:hAnsiTheme="majorBidi" w:cstheme="majorBidi"/>
                      <w:b/>
                      <w:color w:val="000000"/>
                      <w:sz w:val="21"/>
                    </w:rPr>
                    <w:t xml:space="preserve"> </w:t>
                  </w:r>
                </w:p>
              </w:tc>
            </w:tr>
            <w:tr w:rsidR="00E87DC1" w:rsidRPr="0085581F" w14:paraId="1E3B2EB7" w14:textId="77777777" w:rsidTr="00E8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45"/>
              </w:trPr>
              <w:tc>
                <w:tcPr>
                  <w:tcW w:w="4755" w:type="dxa"/>
                  <w:gridSpan w:val="3"/>
                  <w:tcBorders>
                    <w:top w:val="single" w:sz="12" w:space="0" w:color="000000"/>
                    <w:left w:val="nil"/>
                    <w:bottom w:val="single" w:sz="4" w:space="0" w:color="000000"/>
                    <w:right w:val="nil"/>
                    <w:tl2br w:val="nil"/>
                    <w:tr2bl w:val="nil"/>
                  </w:tcBorders>
                  <w:shd w:val="clear" w:color="auto" w:fill="auto"/>
                  <w:noWrap/>
                  <w:tcMar>
                    <w:left w:w="40" w:type="dxa"/>
                    <w:right w:w="175" w:type="dxa"/>
                  </w:tcMar>
                  <w:vAlign w:val="center"/>
                </w:tcPr>
                <w:p w14:paraId="08C199EB" w14:textId="08DF4DF0" w:rsidR="00E87DC1" w:rsidRPr="0085581F" w:rsidRDefault="00E87DC1"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Jointly controlled properties (proportionate consolidation)</w:t>
                  </w:r>
                </w:p>
              </w:tc>
              <w:tc>
                <w:tcPr>
                  <w:tcW w:w="1232" w:type="dxa"/>
                  <w:tcBorders>
                    <w:top w:val="single" w:sz="12" w:space="0" w:color="000000"/>
                    <w:left w:val="nil"/>
                    <w:bottom w:val="single" w:sz="4" w:space="0" w:color="000000"/>
                    <w:right w:val="nil"/>
                    <w:tl2br w:val="nil"/>
                    <w:tr2bl w:val="nil"/>
                  </w:tcBorders>
                  <w:shd w:val="clear" w:color="auto" w:fill="auto"/>
                  <w:noWrap/>
                  <w:tcMar>
                    <w:left w:w="40" w:type="dxa"/>
                    <w:right w:w="40" w:type="dxa"/>
                  </w:tcMar>
                  <w:vAlign w:val="center"/>
                </w:tcPr>
                <w:p w14:paraId="063A81A6" w14:textId="77777777" w:rsidR="00E87DC1" w:rsidRPr="0085581F" w:rsidRDefault="00E87DC1"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10</w:t>
                  </w:r>
                </w:p>
              </w:tc>
              <w:tc>
                <w:tcPr>
                  <w:tcW w:w="1430" w:type="dxa"/>
                  <w:tcBorders>
                    <w:top w:val="single" w:sz="12" w:space="0" w:color="000000"/>
                    <w:left w:val="nil"/>
                    <w:bottom w:val="single" w:sz="4" w:space="0" w:color="000000"/>
                    <w:right w:val="nil"/>
                    <w:tl2br w:val="nil"/>
                    <w:tr2bl w:val="nil"/>
                  </w:tcBorders>
                  <w:shd w:val="clear" w:color="auto" w:fill="auto"/>
                  <w:noWrap/>
                  <w:tcMar>
                    <w:left w:w="40" w:type="dxa"/>
                    <w:right w:w="40" w:type="dxa"/>
                  </w:tcMar>
                  <w:vAlign w:val="center"/>
                </w:tcPr>
                <w:p w14:paraId="0D8C7667" w14:textId="77777777" w:rsidR="00E87DC1" w:rsidRPr="0085581F" w:rsidRDefault="00E87DC1"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w:t>
                  </w:r>
                </w:p>
              </w:tc>
              <w:tc>
                <w:tcPr>
                  <w:tcW w:w="1057" w:type="dxa"/>
                  <w:tcBorders>
                    <w:top w:val="single" w:sz="12" w:space="0" w:color="000000"/>
                    <w:left w:val="nil"/>
                    <w:bottom w:val="single" w:sz="4" w:space="0" w:color="000000"/>
                    <w:right w:val="nil"/>
                    <w:tl2br w:val="nil"/>
                    <w:tr2bl w:val="nil"/>
                  </w:tcBorders>
                  <w:shd w:val="clear" w:color="auto" w:fill="auto"/>
                  <w:noWrap/>
                  <w:tcMar>
                    <w:left w:w="40" w:type="dxa"/>
                    <w:right w:w="40" w:type="dxa"/>
                  </w:tcMar>
                  <w:vAlign w:val="center"/>
                </w:tcPr>
                <w:p w14:paraId="60A710A1" w14:textId="77777777" w:rsidR="00E87DC1" w:rsidRPr="0085581F" w:rsidRDefault="00E87DC1"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w:t>
                  </w:r>
                </w:p>
              </w:tc>
              <w:tc>
                <w:tcPr>
                  <w:tcW w:w="1232" w:type="dxa"/>
                  <w:tcBorders>
                    <w:top w:val="single" w:sz="12" w:space="0" w:color="000000"/>
                    <w:left w:val="nil"/>
                    <w:bottom w:val="single" w:sz="4" w:space="0" w:color="000000"/>
                    <w:right w:val="nil"/>
                    <w:tl2br w:val="nil"/>
                    <w:tr2bl w:val="nil"/>
                  </w:tcBorders>
                  <w:shd w:val="clear" w:color="auto" w:fill="auto"/>
                  <w:noWrap/>
                  <w:tcMar>
                    <w:left w:w="40" w:type="dxa"/>
                    <w:right w:w="40" w:type="dxa"/>
                  </w:tcMar>
                  <w:vAlign w:val="center"/>
                </w:tcPr>
                <w:p w14:paraId="0435C7B5" w14:textId="77777777" w:rsidR="00E87DC1" w:rsidRPr="0085581F" w:rsidRDefault="00E87DC1"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28</w:t>
                  </w:r>
                </w:p>
              </w:tc>
            </w:tr>
            <w:tr w:rsidR="0085581F" w:rsidRPr="0085581F" w14:paraId="6A13220E" w14:textId="77777777" w:rsidTr="00E8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722" w:type="dxa"/>
                  <w:tcBorders>
                    <w:top w:val="single" w:sz="4" w:space="0" w:color="000000"/>
                    <w:left w:val="nil"/>
                    <w:bottom w:val="single" w:sz="12" w:space="0" w:color="000000"/>
                    <w:right w:val="nil"/>
                    <w:tl2br w:val="nil"/>
                    <w:tr2bl w:val="nil"/>
                  </w:tcBorders>
                  <w:shd w:val="clear" w:color="FFFFFF" w:fill="FFFFFF"/>
                  <w:noWrap/>
                  <w:tcMar>
                    <w:left w:w="40" w:type="dxa"/>
                    <w:right w:w="175" w:type="dxa"/>
                  </w:tcMar>
                  <w:vAlign w:val="center"/>
                </w:tcPr>
                <w:p w14:paraId="5F7BF2A7" w14:textId="77777777" w:rsidR="0085581F" w:rsidRPr="0085581F" w:rsidRDefault="0085581F" w:rsidP="0085581F">
                  <w:pPr>
                    <w:spacing w:before="0" w:after="0" w:line="240" w:lineRule="auto"/>
                    <w:jc w:val="left"/>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Total</w:t>
                  </w:r>
                </w:p>
              </w:tc>
              <w:tc>
                <w:tcPr>
                  <w:tcW w:w="1869" w:type="dxa"/>
                  <w:tcBorders>
                    <w:top w:val="single" w:sz="4" w:space="0" w:color="000000"/>
                    <w:left w:val="nil"/>
                    <w:bottom w:val="single" w:sz="12" w:space="0" w:color="000000"/>
                    <w:right w:val="nil"/>
                    <w:tl2br w:val="nil"/>
                    <w:tr2bl w:val="nil"/>
                  </w:tcBorders>
                  <w:shd w:val="clear" w:color="FFFFFF" w:fill="FFFFFF"/>
                  <w:noWrap/>
                  <w:tcMar>
                    <w:left w:w="0" w:type="dxa"/>
                    <w:right w:w="0" w:type="dxa"/>
                  </w:tcMar>
                  <w:vAlign w:val="center"/>
                </w:tcPr>
                <w:p w14:paraId="3118D825" w14:textId="77777777" w:rsidR="0085581F" w:rsidRPr="0085581F" w:rsidRDefault="0085581F" w:rsidP="0085581F">
                  <w:pPr>
                    <w:spacing w:before="0" w:after="0" w:line="240" w:lineRule="auto"/>
                    <w:jc w:val="right"/>
                    <w:rPr>
                      <w:rFonts w:asciiTheme="majorBidi" w:eastAsia="Ploni ML Medium AAA Medium" w:hAnsiTheme="majorBidi" w:cstheme="majorBidi"/>
                      <w:b/>
                      <w:color w:val="000000"/>
                      <w:sz w:val="21"/>
                    </w:rPr>
                  </w:pPr>
                </w:p>
              </w:tc>
              <w:tc>
                <w:tcPr>
                  <w:tcW w:w="1164" w:type="dxa"/>
                  <w:tcBorders>
                    <w:top w:val="single" w:sz="4" w:space="0" w:color="000000"/>
                    <w:left w:val="nil"/>
                    <w:bottom w:val="single" w:sz="12" w:space="0" w:color="000000"/>
                    <w:right w:val="nil"/>
                    <w:tl2br w:val="nil"/>
                    <w:tr2bl w:val="nil"/>
                  </w:tcBorders>
                  <w:shd w:val="clear" w:color="FFFFFF" w:fill="FFFFFF"/>
                  <w:noWrap/>
                  <w:tcMar>
                    <w:left w:w="0" w:type="dxa"/>
                    <w:right w:w="0" w:type="dxa"/>
                  </w:tcMar>
                  <w:vAlign w:val="center"/>
                </w:tcPr>
                <w:p w14:paraId="2128D75D" w14:textId="77777777" w:rsidR="0085581F" w:rsidRPr="0085581F" w:rsidRDefault="0085581F" w:rsidP="0085581F">
                  <w:pPr>
                    <w:spacing w:before="0" w:after="0" w:line="240" w:lineRule="auto"/>
                    <w:jc w:val="right"/>
                    <w:rPr>
                      <w:rFonts w:asciiTheme="majorBidi" w:eastAsia="Ploni ML Medium AAA Medium" w:hAnsiTheme="majorBidi" w:cstheme="majorBidi"/>
                      <w:b/>
                      <w:color w:val="000000"/>
                      <w:sz w:val="21"/>
                    </w:rPr>
                  </w:pPr>
                </w:p>
              </w:tc>
              <w:tc>
                <w:tcPr>
                  <w:tcW w:w="1232"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36DACF0C"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86 </w:t>
                  </w:r>
                </w:p>
              </w:tc>
              <w:tc>
                <w:tcPr>
                  <w:tcW w:w="1430"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0345C50C"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5 </w:t>
                  </w:r>
                </w:p>
              </w:tc>
              <w:tc>
                <w:tcPr>
                  <w:tcW w:w="1057"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26A50DFD"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8 </w:t>
                  </w:r>
                </w:p>
              </w:tc>
              <w:tc>
                <w:tcPr>
                  <w:tcW w:w="1232"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25167855" w14:textId="3F6D8ADC"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1,</w:t>
                  </w:r>
                  <w:r w:rsidR="009A026B">
                    <w:rPr>
                      <w:rFonts w:asciiTheme="majorBidi" w:hAnsiTheme="majorBidi" w:cstheme="majorBidi"/>
                      <w:b/>
                      <w:color w:val="000000"/>
                      <w:sz w:val="21"/>
                    </w:rPr>
                    <w:t>868</w:t>
                  </w:r>
                  <w:r w:rsidRPr="0085581F">
                    <w:rPr>
                      <w:rFonts w:asciiTheme="majorBidi" w:hAnsiTheme="majorBidi" w:cstheme="majorBidi"/>
                      <w:b/>
                      <w:color w:val="000000"/>
                      <w:sz w:val="21"/>
                    </w:rPr>
                    <w:t xml:space="preserve"> </w:t>
                  </w:r>
                </w:p>
              </w:tc>
            </w:tr>
          </w:tbl>
          <w:p w14:paraId="7B0E505E" w14:textId="77777777" w:rsidR="0085581F" w:rsidRPr="0085581F" w:rsidRDefault="0085581F" w:rsidP="0085581F">
            <w:pPr>
              <w:rPr>
                <w:rFonts w:asciiTheme="majorBidi" w:hAnsiTheme="majorBidi" w:cstheme="majorBidi"/>
              </w:rPr>
            </w:pPr>
          </w:p>
        </w:tc>
      </w:tr>
    </w:tbl>
    <w:p w14:paraId="5953F2ED" w14:textId="77777777" w:rsidR="0085581F" w:rsidRPr="0085581F" w:rsidRDefault="0085581F" w:rsidP="0085581F">
      <w:pPr>
        <w:keepLines/>
        <w:tabs>
          <w:tab w:val="left" w:pos="1133"/>
        </w:tabs>
        <w:contextualSpacing/>
        <w:outlineLvl w:val="3"/>
        <w:rPr>
          <w:rFonts w:asciiTheme="majorBidi" w:hAnsiTheme="majorBidi" w:cstheme="majorBidi"/>
          <w:sz w:val="21"/>
          <w:szCs w:val="21"/>
        </w:rPr>
      </w:pPr>
      <w:bookmarkStart w:id="14" w:name="H4_להלן_התפלגות_השקעות_החברה_באזורי_פעיל"/>
      <w:bookmarkEnd w:id="10"/>
      <w:bookmarkEnd w:id="1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85581F" w:rsidRPr="0085581F" w14:paraId="0B4BEF0F" w14:textId="77777777" w:rsidTr="00A65A6F">
        <w:trPr>
          <w:cantSplit/>
        </w:trPr>
        <w:tc>
          <w:tcPr>
            <w:tcW w:w="5000" w:type="pct"/>
          </w:tcPr>
          <w:tbl>
            <w:tblPr>
              <w:tblStyle w:val="CDMRange120"/>
              <w:tblW w:w="9706" w:type="dxa"/>
              <w:tblLook w:val="0600" w:firstRow="0" w:lastRow="0" w:firstColumn="0" w:lastColumn="0" w:noHBand="1" w:noVBand="1"/>
              <w:tblCaption w:val="Print_Area"/>
            </w:tblPr>
            <w:tblGrid>
              <w:gridCol w:w="1871"/>
              <w:gridCol w:w="2042"/>
              <w:gridCol w:w="1674"/>
              <w:gridCol w:w="1549"/>
              <w:gridCol w:w="1268"/>
              <w:gridCol w:w="1302"/>
            </w:tblGrid>
            <w:tr w:rsidR="0085581F" w:rsidRPr="0085581F" w14:paraId="42E0F2B3" w14:textId="77777777" w:rsidTr="00A65A6F">
              <w:trPr>
                <w:trHeight w:val="315"/>
              </w:trPr>
              <w:tc>
                <w:tcPr>
                  <w:tcW w:w="1874" w:type="dxa"/>
                  <w:tcBorders>
                    <w:top w:val="nil"/>
                    <w:left w:val="nil"/>
                    <w:bottom w:val="nil"/>
                    <w:right w:val="nil"/>
                    <w:tl2br w:val="nil"/>
                    <w:tr2bl w:val="nil"/>
                  </w:tcBorders>
                  <w:shd w:val="clear" w:color="FFFFFF" w:fill="000031"/>
                  <w:tcMar>
                    <w:left w:w="0" w:type="dxa"/>
                    <w:right w:w="0" w:type="dxa"/>
                  </w:tcMar>
                  <w:vAlign w:val="bottom"/>
                </w:tcPr>
                <w:p w14:paraId="049B4DA3"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p>
              </w:tc>
              <w:tc>
                <w:tcPr>
                  <w:tcW w:w="2029" w:type="dxa"/>
                  <w:tcBorders>
                    <w:top w:val="nil"/>
                    <w:left w:val="nil"/>
                    <w:bottom w:val="nil"/>
                    <w:right w:val="nil"/>
                    <w:tl2br w:val="nil"/>
                    <w:tr2bl w:val="nil"/>
                  </w:tcBorders>
                  <w:shd w:val="clear" w:color="FFFFFF" w:fill="000031"/>
                  <w:tcMar>
                    <w:left w:w="0" w:type="dxa"/>
                    <w:right w:w="0" w:type="dxa"/>
                  </w:tcMar>
                  <w:vAlign w:val="bottom"/>
                </w:tcPr>
                <w:p w14:paraId="54FE0A08" w14:textId="77777777" w:rsidR="0085581F" w:rsidRPr="0085581F" w:rsidRDefault="0085581F" w:rsidP="0085581F">
                  <w:pPr>
                    <w:spacing w:before="0" w:after="0" w:line="240" w:lineRule="auto"/>
                    <w:jc w:val="center"/>
                    <w:rPr>
                      <w:rFonts w:asciiTheme="majorBidi" w:eastAsia="Ploni ML Medium AAA Medium" w:hAnsiTheme="majorBidi" w:cstheme="majorBidi"/>
                      <w:color w:val="FFFFFF"/>
                    </w:rPr>
                  </w:pPr>
                </w:p>
              </w:tc>
              <w:tc>
                <w:tcPr>
                  <w:tcW w:w="5803" w:type="dxa"/>
                  <w:gridSpan w:val="4"/>
                  <w:tcBorders>
                    <w:top w:val="nil"/>
                    <w:left w:val="nil"/>
                    <w:bottom w:val="nil"/>
                    <w:right w:val="nil"/>
                    <w:tl2br w:val="nil"/>
                    <w:tr2bl w:val="nil"/>
                  </w:tcBorders>
                  <w:shd w:val="clear" w:color="FFFFFF" w:fill="000031"/>
                  <w:tcMar>
                    <w:left w:w="40" w:type="dxa"/>
                    <w:right w:w="40" w:type="dxa"/>
                  </w:tcMar>
                  <w:vAlign w:val="bottom"/>
                </w:tcPr>
                <w:p w14:paraId="30D3A801"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Investment property and investment property under development</w:t>
                  </w:r>
                </w:p>
              </w:tc>
            </w:tr>
            <w:tr w:rsidR="0085581F" w:rsidRPr="0085581F" w14:paraId="00EDC2D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874" w:type="dxa"/>
                  <w:tcBorders>
                    <w:top w:val="nil"/>
                    <w:left w:val="nil"/>
                    <w:bottom w:val="nil"/>
                    <w:right w:val="nil"/>
                    <w:tl2br w:val="nil"/>
                    <w:tr2bl w:val="nil"/>
                  </w:tcBorders>
                  <w:shd w:val="clear" w:color="auto" w:fill="auto"/>
                  <w:tcMar>
                    <w:left w:w="0" w:type="dxa"/>
                    <w:right w:w="0" w:type="dxa"/>
                  </w:tcMar>
                  <w:vAlign w:val="bottom"/>
                </w:tcPr>
                <w:p w14:paraId="4ACB89AE"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rPr>
                  </w:pPr>
                </w:p>
              </w:tc>
              <w:tc>
                <w:tcPr>
                  <w:tcW w:w="2029" w:type="dxa"/>
                  <w:tcBorders>
                    <w:top w:val="nil"/>
                    <w:left w:val="nil"/>
                    <w:bottom w:val="nil"/>
                    <w:right w:val="nil"/>
                    <w:tl2br w:val="nil"/>
                    <w:tr2bl w:val="nil"/>
                  </w:tcBorders>
                  <w:shd w:val="clear" w:color="auto" w:fill="auto"/>
                  <w:tcMar>
                    <w:left w:w="0" w:type="dxa"/>
                    <w:right w:w="0" w:type="dxa"/>
                  </w:tcMar>
                  <w:vAlign w:val="bottom"/>
                </w:tcPr>
                <w:p w14:paraId="7D6DAB1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rPr>
                  </w:pPr>
                </w:p>
              </w:tc>
              <w:tc>
                <w:tcPr>
                  <w:tcW w:w="1677" w:type="dxa"/>
                  <w:tcBorders>
                    <w:top w:val="nil"/>
                    <w:left w:val="nil"/>
                    <w:bottom w:val="nil"/>
                    <w:right w:val="nil"/>
                    <w:tl2br w:val="nil"/>
                    <w:tr2bl w:val="nil"/>
                  </w:tcBorders>
                  <w:shd w:val="clear" w:color="auto" w:fill="auto"/>
                  <w:tcMar>
                    <w:left w:w="40" w:type="dxa"/>
                    <w:right w:w="40" w:type="dxa"/>
                  </w:tcMar>
                  <w:vAlign w:val="bottom"/>
                </w:tcPr>
                <w:p w14:paraId="73491A6B"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rPr>
                  </w:pPr>
                  <w:r w:rsidRPr="0085581F">
                    <w:rPr>
                      <w:rFonts w:asciiTheme="majorBidi" w:hAnsiTheme="majorBidi" w:cstheme="majorBidi"/>
                      <w:b/>
                      <w:color w:val="000000"/>
                    </w:rPr>
                    <w:t>Income-producing property</w:t>
                  </w:r>
                </w:p>
              </w:tc>
              <w:tc>
                <w:tcPr>
                  <w:tcW w:w="1552" w:type="dxa"/>
                  <w:tcBorders>
                    <w:top w:val="nil"/>
                    <w:left w:val="nil"/>
                    <w:bottom w:val="nil"/>
                    <w:right w:val="nil"/>
                    <w:tl2br w:val="nil"/>
                    <w:tr2bl w:val="nil"/>
                  </w:tcBorders>
                  <w:shd w:val="clear" w:color="auto" w:fill="auto"/>
                  <w:tcMar>
                    <w:left w:w="40" w:type="dxa"/>
                    <w:right w:w="40" w:type="dxa"/>
                  </w:tcMar>
                  <w:vAlign w:val="bottom"/>
                </w:tcPr>
                <w:p w14:paraId="56877A53" w14:textId="1BF28AD4" w:rsidR="0085581F" w:rsidRPr="0085581F" w:rsidRDefault="0085581F" w:rsidP="0085581F">
                  <w:pPr>
                    <w:spacing w:before="0" w:after="0" w:line="240" w:lineRule="auto"/>
                    <w:jc w:val="center"/>
                    <w:rPr>
                      <w:rFonts w:asciiTheme="majorBidi" w:eastAsia="Ploni ML Medium AAA Medium" w:hAnsiTheme="majorBidi" w:cstheme="majorBidi"/>
                      <w:b/>
                      <w:color w:val="000000"/>
                    </w:rPr>
                  </w:pPr>
                  <w:r w:rsidRPr="0085581F">
                    <w:rPr>
                      <w:rFonts w:asciiTheme="majorBidi" w:hAnsiTheme="majorBidi" w:cstheme="majorBidi"/>
                      <w:b/>
                      <w:bCs/>
                      <w:color w:val="000000"/>
                    </w:rPr>
                    <w:t>Properties under development</w:t>
                  </w:r>
                  <w:r w:rsidR="000227DA">
                    <w:rPr>
                      <w:rStyle w:val="FootnoteReference"/>
                      <w:rFonts w:asciiTheme="majorBidi" w:eastAsia="Ploni ML Medium AAA Medium" w:hAnsiTheme="majorBidi" w:cstheme="majorBidi"/>
                      <w:b/>
                      <w:color w:val="000000"/>
                    </w:rPr>
                    <w:footnoteReference w:id="4"/>
                  </w:r>
                </w:p>
              </w:tc>
              <w:tc>
                <w:tcPr>
                  <w:tcW w:w="1270" w:type="dxa"/>
                  <w:tcBorders>
                    <w:top w:val="nil"/>
                    <w:left w:val="nil"/>
                    <w:bottom w:val="nil"/>
                    <w:right w:val="nil"/>
                    <w:tl2br w:val="nil"/>
                    <w:tr2bl w:val="nil"/>
                  </w:tcBorders>
                  <w:shd w:val="clear" w:color="auto" w:fill="auto"/>
                  <w:tcMar>
                    <w:left w:w="40" w:type="dxa"/>
                    <w:right w:w="40" w:type="dxa"/>
                  </w:tcMar>
                  <w:vAlign w:val="bottom"/>
                </w:tcPr>
                <w:p w14:paraId="266C9AF2"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rPr>
                  </w:pPr>
                  <w:r w:rsidRPr="0085581F">
                    <w:rPr>
                      <w:rFonts w:asciiTheme="majorBidi" w:hAnsiTheme="majorBidi" w:cstheme="majorBidi"/>
                      <w:b/>
                      <w:color w:val="000000"/>
                    </w:rPr>
                    <w:t>Land</w:t>
                  </w:r>
                </w:p>
              </w:tc>
              <w:tc>
                <w:tcPr>
                  <w:tcW w:w="1304" w:type="dxa"/>
                  <w:tcBorders>
                    <w:top w:val="nil"/>
                    <w:left w:val="nil"/>
                    <w:bottom w:val="nil"/>
                    <w:right w:val="nil"/>
                    <w:tl2br w:val="nil"/>
                    <w:tr2bl w:val="nil"/>
                  </w:tcBorders>
                  <w:shd w:val="clear" w:color="auto" w:fill="auto"/>
                  <w:tcMar>
                    <w:left w:w="40" w:type="dxa"/>
                    <w:right w:w="40" w:type="dxa"/>
                  </w:tcMar>
                  <w:vAlign w:val="bottom"/>
                </w:tcPr>
                <w:p w14:paraId="2F80F2C2"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rPr>
                  </w:pPr>
                  <w:r w:rsidRPr="0085581F">
                    <w:rPr>
                      <w:rFonts w:asciiTheme="majorBidi" w:hAnsiTheme="majorBidi" w:cstheme="majorBidi"/>
                      <w:b/>
                      <w:color w:val="000000"/>
                    </w:rPr>
                    <w:t>Total</w:t>
                  </w:r>
                </w:p>
              </w:tc>
            </w:tr>
            <w:tr w:rsidR="0085581F" w:rsidRPr="0085581F" w14:paraId="64B7EE1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874" w:type="dxa"/>
                  <w:tcBorders>
                    <w:top w:val="nil"/>
                    <w:left w:val="nil"/>
                    <w:bottom w:val="nil"/>
                    <w:right w:val="nil"/>
                    <w:tl2br w:val="nil"/>
                    <w:tr2bl w:val="nil"/>
                  </w:tcBorders>
                  <w:shd w:val="clear" w:color="FFFFFF" w:fill="000031"/>
                  <w:tcMar>
                    <w:left w:w="0" w:type="dxa"/>
                    <w:right w:w="0" w:type="dxa"/>
                  </w:tcMar>
                  <w:vAlign w:val="bottom"/>
                </w:tcPr>
                <w:p w14:paraId="3C5854B9"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p>
              </w:tc>
              <w:tc>
                <w:tcPr>
                  <w:tcW w:w="2029" w:type="dxa"/>
                  <w:tcBorders>
                    <w:top w:val="nil"/>
                    <w:left w:val="nil"/>
                    <w:bottom w:val="nil"/>
                    <w:right w:val="nil"/>
                    <w:tl2br w:val="nil"/>
                    <w:tr2bl w:val="nil"/>
                  </w:tcBorders>
                  <w:shd w:val="clear" w:color="FFFFFF" w:fill="000031"/>
                  <w:tcMar>
                    <w:left w:w="40" w:type="dxa"/>
                    <w:right w:w="40" w:type="dxa"/>
                  </w:tcMar>
                  <w:vAlign w:val="bottom"/>
                </w:tcPr>
                <w:p w14:paraId="23B713E7"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Key Countries of Operation</w:t>
                  </w:r>
                </w:p>
              </w:tc>
              <w:tc>
                <w:tcPr>
                  <w:tcW w:w="5803" w:type="dxa"/>
                  <w:gridSpan w:val="4"/>
                  <w:tcBorders>
                    <w:top w:val="nil"/>
                    <w:left w:val="nil"/>
                    <w:bottom w:val="nil"/>
                    <w:right w:val="nil"/>
                    <w:tl2br w:val="nil"/>
                    <w:tr2bl w:val="nil"/>
                  </w:tcBorders>
                  <w:shd w:val="clear" w:color="FFFFFF" w:fill="000031"/>
                  <w:tcMar>
                    <w:left w:w="40" w:type="dxa"/>
                    <w:right w:w="40" w:type="dxa"/>
                  </w:tcMar>
                  <w:vAlign w:val="bottom"/>
                </w:tcPr>
                <w:p w14:paraId="418349ED"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NIS million</w:t>
                  </w:r>
                </w:p>
              </w:tc>
            </w:tr>
            <w:tr w:rsidR="0085581F" w:rsidRPr="0085581F" w14:paraId="016F2F6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1874" w:type="dxa"/>
                  <w:tcBorders>
                    <w:top w:val="nil"/>
                    <w:left w:val="nil"/>
                    <w:bottom w:val="nil"/>
                    <w:right w:val="nil"/>
                    <w:tl2br w:val="nil"/>
                    <w:tr2bl w:val="nil"/>
                  </w:tcBorders>
                  <w:shd w:val="clear" w:color="auto" w:fill="auto"/>
                  <w:tcMar>
                    <w:left w:w="40" w:type="dxa"/>
                    <w:right w:w="175" w:type="dxa"/>
                  </w:tcMar>
                  <w:vAlign w:val="center"/>
                </w:tcPr>
                <w:p w14:paraId="7F362F96"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CTY</w:t>
                  </w:r>
                </w:p>
              </w:tc>
              <w:tc>
                <w:tcPr>
                  <w:tcW w:w="2029" w:type="dxa"/>
                  <w:tcBorders>
                    <w:top w:val="nil"/>
                    <w:left w:val="nil"/>
                    <w:bottom w:val="nil"/>
                    <w:right w:val="nil"/>
                    <w:tl2br w:val="nil"/>
                    <w:tr2bl w:val="nil"/>
                  </w:tcBorders>
                  <w:shd w:val="clear" w:color="auto" w:fill="auto"/>
                  <w:tcMar>
                    <w:left w:w="40" w:type="dxa"/>
                    <w:right w:w="40" w:type="dxa"/>
                  </w:tcMar>
                  <w:vAlign w:val="center"/>
                </w:tcPr>
                <w:p w14:paraId="5CCC8D05"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Finland, Norway, Sweden, Estonia and Denmark</w:t>
                  </w:r>
                </w:p>
              </w:tc>
              <w:tc>
                <w:tcPr>
                  <w:tcW w:w="1677" w:type="dxa"/>
                  <w:tcBorders>
                    <w:top w:val="nil"/>
                    <w:left w:val="nil"/>
                    <w:bottom w:val="nil"/>
                    <w:right w:val="nil"/>
                    <w:tl2br w:val="nil"/>
                    <w:tr2bl w:val="nil"/>
                  </w:tcBorders>
                  <w:shd w:val="clear" w:color="auto" w:fill="auto"/>
                  <w:noWrap/>
                  <w:tcMar>
                    <w:left w:w="40" w:type="dxa"/>
                    <w:right w:w="40" w:type="dxa"/>
                  </w:tcMar>
                  <w:vAlign w:val="center"/>
                </w:tcPr>
                <w:p w14:paraId="2E4AD8A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16,753</w:t>
                  </w:r>
                </w:p>
              </w:tc>
              <w:tc>
                <w:tcPr>
                  <w:tcW w:w="1552" w:type="dxa"/>
                  <w:tcBorders>
                    <w:top w:val="nil"/>
                    <w:left w:val="nil"/>
                    <w:bottom w:val="nil"/>
                    <w:right w:val="nil"/>
                    <w:tl2br w:val="nil"/>
                    <w:tr2bl w:val="nil"/>
                  </w:tcBorders>
                  <w:shd w:val="clear" w:color="auto" w:fill="auto"/>
                  <w:noWrap/>
                  <w:tcMar>
                    <w:left w:w="40" w:type="dxa"/>
                    <w:right w:w="40" w:type="dxa"/>
                  </w:tcMar>
                  <w:vAlign w:val="center"/>
                </w:tcPr>
                <w:p w14:paraId="08663E5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270" w:type="dxa"/>
                  <w:tcBorders>
                    <w:top w:val="nil"/>
                    <w:left w:val="nil"/>
                    <w:bottom w:val="nil"/>
                    <w:right w:val="nil"/>
                    <w:tl2br w:val="nil"/>
                    <w:tr2bl w:val="nil"/>
                  </w:tcBorders>
                  <w:shd w:val="clear" w:color="auto" w:fill="auto"/>
                  <w:noWrap/>
                  <w:tcMar>
                    <w:left w:w="40" w:type="dxa"/>
                    <w:right w:w="40" w:type="dxa"/>
                  </w:tcMar>
                  <w:vAlign w:val="center"/>
                </w:tcPr>
                <w:p w14:paraId="55731208"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304" w:type="dxa"/>
                  <w:tcBorders>
                    <w:top w:val="nil"/>
                    <w:left w:val="nil"/>
                    <w:bottom w:val="nil"/>
                    <w:right w:val="nil"/>
                    <w:tl2br w:val="nil"/>
                    <w:tr2bl w:val="nil"/>
                  </w:tcBorders>
                  <w:shd w:val="clear" w:color="auto" w:fill="auto"/>
                  <w:noWrap/>
                  <w:tcMar>
                    <w:left w:w="40" w:type="dxa"/>
                    <w:right w:w="40" w:type="dxa"/>
                  </w:tcMar>
                  <w:vAlign w:val="center"/>
                </w:tcPr>
                <w:p w14:paraId="3A87A91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16,753</w:t>
                  </w:r>
                </w:p>
              </w:tc>
            </w:tr>
            <w:tr w:rsidR="0085581F" w:rsidRPr="0085581F" w14:paraId="132875F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874" w:type="dxa"/>
                  <w:tcBorders>
                    <w:top w:val="nil"/>
                    <w:left w:val="nil"/>
                    <w:bottom w:val="nil"/>
                    <w:right w:val="nil"/>
                    <w:tl2br w:val="nil"/>
                    <w:tr2bl w:val="nil"/>
                  </w:tcBorders>
                  <w:shd w:val="clear" w:color="auto" w:fill="auto"/>
                  <w:tcMar>
                    <w:left w:w="40" w:type="dxa"/>
                    <w:right w:w="175" w:type="dxa"/>
                  </w:tcMar>
                  <w:vAlign w:val="center"/>
                </w:tcPr>
                <w:p w14:paraId="2179430E"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 Europe</w:t>
                  </w:r>
                </w:p>
              </w:tc>
              <w:tc>
                <w:tcPr>
                  <w:tcW w:w="2029" w:type="dxa"/>
                  <w:tcBorders>
                    <w:top w:val="nil"/>
                    <w:left w:val="nil"/>
                    <w:bottom w:val="nil"/>
                    <w:right w:val="nil"/>
                    <w:tl2br w:val="nil"/>
                    <w:tr2bl w:val="nil"/>
                  </w:tcBorders>
                  <w:shd w:val="clear" w:color="auto" w:fill="auto"/>
                  <w:tcMar>
                    <w:left w:w="40" w:type="dxa"/>
                    <w:right w:w="40" w:type="dxa"/>
                  </w:tcMar>
                  <w:vAlign w:val="center"/>
                </w:tcPr>
                <w:p w14:paraId="440E2702"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Poland and Czech Republic</w:t>
                  </w:r>
                </w:p>
              </w:tc>
              <w:tc>
                <w:tcPr>
                  <w:tcW w:w="1677" w:type="dxa"/>
                  <w:tcBorders>
                    <w:top w:val="nil"/>
                    <w:left w:val="nil"/>
                    <w:bottom w:val="nil"/>
                    <w:right w:val="nil"/>
                    <w:tl2br w:val="nil"/>
                    <w:tr2bl w:val="nil"/>
                  </w:tcBorders>
                  <w:shd w:val="clear" w:color="auto" w:fill="auto"/>
                  <w:noWrap/>
                  <w:tcMar>
                    <w:left w:w="40" w:type="dxa"/>
                    <w:right w:w="40" w:type="dxa"/>
                  </w:tcMar>
                  <w:vAlign w:val="center"/>
                </w:tcPr>
                <w:p w14:paraId="6DFB628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7,457</w:t>
                  </w:r>
                </w:p>
              </w:tc>
              <w:tc>
                <w:tcPr>
                  <w:tcW w:w="1552" w:type="dxa"/>
                  <w:tcBorders>
                    <w:top w:val="nil"/>
                    <w:left w:val="nil"/>
                    <w:bottom w:val="nil"/>
                    <w:right w:val="nil"/>
                    <w:tl2br w:val="nil"/>
                    <w:tr2bl w:val="nil"/>
                  </w:tcBorders>
                  <w:shd w:val="clear" w:color="auto" w:fill="auto"/>
                  <w:noWrap/>
                  <w:tcMar>
                    <w:left w:w="40" w:type="dxa"/>
                    <w:right w:w="40" w:type="dxa"/>
                  </w:tcMar>
                  <w:vAlign w:val="center"/>
                </w:tcPr>
                <w:p w14:paraId="60000C0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277</w:t>
                  </w:r>
                </w:p>
              </w:tc>
              <w:tc>
                <w:tcPr>
                  <w:tcW w:w="1270" w:type="dxa"/>
                  <w:tcBorders>
                    <w:top w:val="nil"/>
                    <w:left w:val="nil"/>
                    <w:bottom w:val="nil"/>
                    <w:right w:val="nil"/>
                    <w:tl2br w:val="nil"/>
                    <w:tr2bl w:val="nil"/>
                  </w:tcBorders>
                  <w:shd w:val="clear" w:color="auto" w:fill="auto"/>
                  <w:noWrap/>
                  <w:tcMar>
                    <w:left w:w="40" w:type="dxa"/>
                    <w:right w:w="40" w:type="dxa"/>
                  </w:tcMar>
                  <w:vAlign w:val="center"/>
                </w:tcPr>
                <w:p w14:paraId="7CD9E52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673</w:t>
                  </w:r>
                </w:p>
              </w:tc>
              <w:tc>
                <w:tcPr>
                  <w:tcW w:w="1304" w:type="dxa"/>
                  <w:tcBorders>
                    <w:top w:val="nil"/>
                    <w:left w:val="nil"/>
                    <w:bottom w:val="nil"/>
                    <w:right w:val="nil"/>
                    <w:tl2br w:val="nil"/>
                    <w:tr2bl w:val="nil"/>
                  </w:tcBorders>
                  <w:shd w:val="clear" w:color="auto" w:fill="auto"/>
                  <w:noWrap/>
                  <w:tcMar>
                    <w:left w:w="40" w:type="dxa"/>
                    <w:right w:w="40" w:type="dxa"/>
                  </w:tcMar>
                  <w:vAlign w:val="center"/>
                </w:tcPr>
                <w:p w14:paraId="4E399C2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8,407</w:t>
                  </w:r>
                </w:p>
              </w:tc>
            </w:tr>
            <w:tr w:rsidR="0085581F" w:rsidRPr="0085581F" w14:paraId="762112D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874" w:type="dxa"/>
                  <w:tcBorders>
                    <w:top w:val="nil"/>
                    <w:left w:val="nil"/>
                    <w:bottom w:val="nil"/>
                    <w:right w:val="nil"/>
                    <w:tl2br w:val="nil"/>
                    <w:tr2bl w:val="nil"/>
                  </w:tcBorders>
                  <w:shd w:val="clear" w:color="auto" w:fill="auto"/>
                  <w:tcMar>
                    <w:left w:w="40" w:type="dxa"/>
                    <w:right w:w="175" w:type="dxa"/>
                  </w:tcMar>
                  <w:vAlign w:val="center"/>
                </w:tcPr>
                <w:p w14:paraId="12431B04"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Gazit </w:t>
                  </w:r>
                  <w:proofErr w:type="spellStart"/>
                  <w:r w:rsidRPr="0085581F">
                    <w:rPr>
                      <w:rFonts w:asciiTheme="majorBidi" w:hAnsiTheme="majorBidi" w:cstheme="majorBidi"/>
                      <w:color w:val="000000"/>
                      <w:sz w:val="21"/>
                    </w:rPr>
                    <w:t>Brasil</w:t>
                  </w:r>
                  <w:proofErr w:type="spellEnd"/>
                  <w:r w:rsidRPr="0085581F">
                    <w:rPr>
                      <w:rFonts w:asciiTheme="majorBidi" w:hAnsiTheme="majorBidi" w:cstheme="majorBidi"/>
                      <w:color w:val="000000"/>
                      <w:sz w:val="21"/>
                    </w:rPr>
                    <w:t xml:space="preserve"> </w:t>
                  </w:r>
                </w:p>
              </w:tc>
              <w:tc>
                <w:tcPr>
                  <w:tcW w:w="2029" w:type="dxa"/>
                  <w:tcBorders>
                    <w:top w:val="nil"/>
                    <w:left w:val="nil"/>
                    <w:bottom w:val="nil"/>
                    <w:right w:val="nil"/>
                    <w:tl2br w:val="nil"/>
                    <w:tr2bl w:val="nil"/>
                  </w:tcBorders>
                  <w:shd w:val="clear" w:color="auto" w:fill="auto"/>
                  <w:tcMar>
                    <w:left w:w="40" w:type="dxa"/>
                    <w:right w:w="40" w:type="dxa"/>
                  </w:tcMar>
                  <w:vAlign w:val="center"/>
                </w:tcPr>
                <w:p w14:paraId="33703375"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Brazil (Sao Paulo)</w:t>
                  </w:r>
                </w:p>
              </w:tc>
              <w:tc>
                <w:tcPr>
                  <w:tcW w:w="1677" w:type="dxa"/>
                  <w:tcBorders>
                    <w:top w:val="nil"/>
                    <w:left w:val="nil"/>
                    <w:bottom w:val="nil"/>
                    <w:right w:val="nil"/>
                    <w:tl2br w:val="nil"/>
                    <w:tr2bl w:val="nil"/>
                  </w:tcBorders>
                  <w:shd w:val="clear" w:color="auto" w:fill="auto"/>
                  <w:noWrap/>
                  <w:tcMar>
                    <w:left w:w="40" w:type="dxa"/>
                    <w:right w:w="40" w:type="dxa"/>
                  </w:tcMar>
                  <w:vAlign w:val="center"/>
                </w:tcPr>
                <w:p w14:paraId="7272E28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2,199</w:t>
                  </w:r>
                </w:p>
              </w:tc>
              <w:tc>
                <w:tcPr>
                  <w:tcW w:w="1552" w:type="dxa"/>
                  <w:tcBorders>
                    <w:top w:val="nil"/>
                    <w:left w:val="nil"/>
                    <w:bottom w:val="nil"/>
                    <w:right w:val="nil"/>
                    <w:tl2br w:val="nil"/>
                    <w:tr2bl w:val="nil"/>
                  </w:tcBorders>
                  <w:shd w:val="clear" w:color="auto" w:fill="auto"/>
                  <w:noWrap/>
                  <w:tcMar>
                    <w:left w:w="40" w:type="dxa"/>
                    <w:right w:w="40" w:type="dxa"/>
                  </w:tcMar>
                  <w:vAlign w:val="center"/>
                </w:tcPr>
                <w:p w14:paraId="3C69126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270" w:type="dxa"/>
                  <w:tcBorders>
                    <w:top w:val="nil"/>
                    <w:left w:val="nil"/>
                    <w:bottom w:val="nil"/>
                    <w:right w:val="nil"/>
                    <w:tl2br w:val="nil"/>
                    <w:tr2bl w:val="nil"/>
                  </w:tcBorders>
                  <w:shd w:val="clear" w:color="auto" w:fill="auto"/>
                  <w:noWrap/>
                  <w:tcMar>
                    <w:left w:w="40" w:type="dxa"/>
                    <w:right w:w="40" w:type="dxa"/>
                  </w:tcMar>
                  <w:vAlign w:val="center"/>
                </w:tcPr>
                <w:p w14:paraId="25F416F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47</w:t>
                  </w:r>
                </w:p>
              </w:tc>
              <w:tc>
                <w:tcPr>
                  <w:tcW w:w="1304" w:type="dxa"/>
                  <w:tcBorders>
                    <w:top w:val="nil"/>
                    <w:left w:val="nil"/>
                    <w:bottom w:val="nil"/>
                    <w:right w:val="nil"/>
                    <w:tl2br w:val="nil"/>
                    <w:tr2bl w:val="nil"/>
                  </w:tcBorders>
                  <w:shd w:val="clear" w:color="auto" w:fill="auto"/>
                  <w:noWrap/>
                  <w:tcMar>
                    <w:left w:w="40" w:type="dxa"/>
                    <w:right w:w="40" w:type="dxa"/>
                  </w:tcMar>
                  <w:vAlign w:val="center"/>
                </w:tcPr>
                <w:p w14:paraId="2022E7B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2,246</w:t>
                  </w:r>
                </w:p>
              </w:tc>
            </w:tr>
            <w:tr w:rsidR="0085581F" w:rsidRPr="0085581F" w14:paraId="59BF70E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874" w:type="dxa"/>
                  <w:tcBorders>
                    <w:top w:val="nil"/>
                    <w:left w:val="nil"/>
                    <w:bottom w:val="nil"/>
                    <w:right w:val="nil"/>
                    <w:tl2br w:val="nil"/>
                    <w:tr2bl w:val="nil"/>
                  </w:tcBorders>
                  <w:shd w:val="clear" w:color="auto" w:fill="auto"/>
                  <w:tcMar>
                    <w:left w:w="40" w:type="dxa"/>
                    <w:right w:w="175" w:type="dxa"/>
                  </w:tcMar>
                  <w:vAlign w:val="center"/>
                </w:tcPr>
                <w:p w14:paraId="6DDD2330"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 Israel</w:t>
                  </w:r>
                </w:p>
              </w:tc>
              <w:tc>
                <w:tcPr>
                  <w:tcW w:w="2029" w:type="dxa"/>
                  <w:tcBorders>
                    <w:top w:val="nil"/>
                    <w:left w:val="nil"/>
                    <w:bottom w:val="nil"/>
                    <w:right w:val="nil"/>
                    <w:tl2br w:val="nil"/>
                    <w:tr2bl w:val="nil"/>
                  </w:tcBorders>
                  <w:shd w:val="clear" w:color="auto" w:fill="auto"/>
                  <w:tcMar>
                    <w:left w:w="40" w:type="dxa"/>
                    <w:right w:w="40" w:type="dxa"/>
                  </w:tcMar>
                  <w:vAlign w:val="center"/>
                </w:tcPr>
                <w:p w14:paraId="579BDB2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Israel</w:t>
                  </w:r>
                </w:p>
              </w:tc>
              <w:tc>
                <w:tcPr>
                  <w:tcW w:w="1677" w:type="dxa"/>
                  <w:tcBorders>
                    <w:top w:val="nil"/>
                    <w:left w:val="nil"/>
                    <w:bottom w:val="nil"/>
                    <w:right w:val="nil"/>
                    <w:tl2br w:val="nil"/>
                    <w:tr2bl w:val="nil"/>
                  </w:tcBorders>
                  <w:shd w:val="clear" w:color="auto" w:fill="auto"/>
                  <w:noWrap/>
                  <w:tcMar>
                    <w:left w:w="40" w:type="dxa"/>
                    <w:right w:w="40" w:type="dxa"/>
                  </w:tcMar>
                  <w:vAlign w:val="center"/>
                </w:tcPr>
                <w:p w14:paraId="1133449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3,767</w:t>
                  </w:r>
                </w:p>
              </w:tc>
              <w:tc>
                <w:tcPr>
                  <w:tcW w:w="1552" w:type="dxa"/>
                  <w:tcBorders>
                    <w:top w:val="nil"/>
                    <w:left w:val="nil"/>
                    <w:bottom w:val="nil"/>
                    <w:right w:val="nil"/>
                    <w:tl2br w:val="nil"/>
                    <w:tr2bl w:val="nil"/>
                  </w:tcBorders>
                  <w:shd w:val="clear" w:color="auto" w:fill="auto"/>
                  <w:noWrap/>
                  <w:tcMar>
                    <w:left w:w="40" w:type="dxa"/>
                    <w:right w:w="40" w:type="dxa"/>
                  </w:tcMar>
                  <w:vAlign w:val="center"/>
                </w:tcPr>
                <w:p w14:paraId="76DBB53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407</w:t>
                  </w:r>
                </w:p>
              </w:tc>
              <w:tc>
                <w:tcPr>
                  <w:tcW w:w="1270" w:type="dxa"/>
                  <w:tcBorders>
                    <w:top w:val="nil"/>
                    <w:left w:val="nil"/>
                    <w:bottom w:val="nil"/>
                    <w:right w:val="nil"/>
                    <w:tl2br w:val="nil"/>
                    <w:tr2bl w:val="nil"/>
                  </w:tcBorders>
                  <w:shd w:val="clear" w:color="auto" w:fill="auto"/>
                  <w:noWrap/>
                  <w:tcMar>
                    <w:left w:w="40" w:type="dxa"/>
                    <w:right w:w="40" w:type="dxa"/>
                  </w:tcMar>
                  <w:vAlign w:val="center"/>
                </w:tcPr>
                <w:p w14:paraId="65C2EC32"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778</w:t>
                  </w:r>
                </w:p>
              </w:tc>
              <w:tc>
                <w:tcPr>
                  <w:tcW w:w="1304" w:type="dxa"/>
                  <w:tcBorders>
                    <w:top w:val="nil"/>
                    <w:left w:val="nil"/>
                    <w:bottom w:val="nil"/>
                    <w:right w:val="nil"/>
                    <w:tl2br w:val="nil"/>
                    <w:tr2bl w:val="nil"/>
                  </w:tcBorders>
                  <w:shd w:val="clear" w:color="auto" w:fill="auto"/>
                  <w:noWrap/>
                  <w:tcMar>
                    <w:left w:w="40" w:type="dxa"/>
                    <w:right w:w="40" w:type="dxa"/>
                  </w:tcMar>
                  <w:vAlign w:val="center"/>
                </w:tcPr>
                <w:p w14:paraId="01EC1A7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4,952</w:t>
                  </w:r>
                </w:p>
              </w:tc>
            </w:tr>
            <w:tr w:rsidR="0085581F" w:rsidRPr="0085581F" w14:paraId="699A5FA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874" w:type="dxa"/>
                  <w:tcBorders>
                    <w:top w:val="nil"/>
                    <w:left w:val="nil"/>
                    <w:bottom w:val="nil"/>
                    <w:right w:val="nil"/>
                    <w:tl2br w:val="nil"/>
                    <w:tr2bl w:val="nil"/>
                  </w:tcBorders>
                  <w:shd w:val="clear" w:color="auto" w:fill="auto"/>
                  <w:tcMar>
                    <w:left w:w="40" w:type="dxa"/>
                    <w:right w:w="175" w:type="dxa"/>
                  </w:tcMar>
                  <w:vAlign w:val="center"/>
                </w:tcPr>
                <w:p w14:paraId="205B9143"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Gazit Horizons </w:t>
                  </w:r>
                </w:p>
              </w:tc>
              <w:tc>
                <w:tcPr>
                  <w:tcW w:w="2029" w:type="dxa"/>
                  <w:tcBorders>
                    <w:top w:val="nil"/>
                    <w:left w:val="nil"/>
                    <w:bottom w:val="nil"/>
                    <w:right w:val="nil"/>
                    <w:tl2br w:val="nil"/>
                    <w:tr2bl w:val="nil"/>
                  </w:tcBorders>
                  <w:shd w:val="clear" w:color="auto" w:fill="auto"/>
                  <w:tcMar>
                    <w:left w:w="40" w:type="dxa"/>
                    <w:right w:w="40" w:type="dxa"/>
                  </w:tcMar>
                  <w:vAlign w:val="center"/>
                </w:tcPr>
                <w:p w14:paraId="73E0700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USA</w:t>
                  </w:r>
                </w:p>
              </w:tc>
              <w:tc>
                <w:tcPr>
                  <w:tcW w:w="1677" w:type="dxa"/>
                  <w:tcBorders>
                    <w:top w:val="nil"/>
                    <w:left w:val="nil"/>
                    <w:bottom w:val="nil"/>
                    <w:right w:val="nil"/>
                    <w:tl2br w:val="nil"/>
                    <w:tr2bl w:val="nil"/>
                  </w:tcBorders>
                  <w:shd w:val="clear" w:color="auto" w:fill="auto"/>
                  <w:noWrap/>
                  <w:tcMar>
                    <w:left w:w="40" w:type="dxa"/>
                    <w:right w:w="40" w:type="dxa"/>
                  </w:tcMar>
                  <w:vAlign w:val="center"/>
                </w:tcPr>
                <w:p w14:paraId="0437DC8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1,619</w:t>
                  </w:r>
                </w:p>
              </w:tc>
              <w:tc>
                <w:tcPr>
                  <w:tcW w:w="1552" w:type="dxa"/>
                  <w:tcBorders>
                    <w:top w:val="nil"/>
                    <w:left w:val="nil"/>
                    <w:bottom w:val="nil"/>
                    <w:right w:val="nil"/>
                    <w:tl2br w:val="nil"/>
                    <w:tr2bl w:val="nil"/>
                  </w:tcBorders>
                  <w:shd w:val="clear" w:color="auto" w:fill="auto"/>
                  <w:noWrap/>
                  <w:tcMar>
                    <w:left w:w="40" w:type="dxa"/>
                    <w:right w:w="40" w:type="dxa"/>
                  </w:tcMar>
                  <w:vAlign w:val="center"/>
                </w:tcPr>
                <w:p w14:paraId="6E14AC5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393</w:t>
                  </w:r>
                </w:p>
              </w:tc>
              <w:tc>
                <w:tcPr>
                  <w:tcW w:w="1270" w:type="dxa"/>
                  <w:tcBorders>
                    <w:top w:val="nil"/>
                    <w:left w:val="nil"/>
                    <w:bottom w:val="nil"/>
                    <w:right w:val="nil"/>
                    <w:tl2br w:val="nil"/>
                    <w:tr2bl w:val="nil"/>
                  </w:tcBorders>
                  <w:shd w:val="clear" w:color="auto" w:fill="auto"/>
                  <w:noWrap/>
                  <w:tcMar>
                    <w:left w:w="40" w:type="dxa"/>
                    <w:right w:w="40" w:type="dxa"/>
                  </w:tcMar>
                  <w:vAlign w:val="center"/>
                </w:tcPr>
                <w:p w14:paraId="2A2387E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223</w:t>
                  </w:r>
                </w:p>
              </w:tc>
              <w:tc>
                <w:tcPr>
                  <w:tcW w:w="1304" w:type="dxa"/>
                  <w:tcBorders>
                    <w:top w:val="nil"/>
                    <w:left w:val="nil"/>
                    <w:bottom w:val="nil"/>
                    <w:right w:val="nil"/>
                    <w:tl2br w:val="nil"/>
                    <w:tr2bl w:val="nil"/>
                  </w:tcBorders>
                  <w:shd w:val="clear" w:color="auto" w:fill="auto"/>
                  <w:noWrap/>
                  <w:tcMar>
                    <w:left w:w="40" w:type="dxa"/>
                    <w:right w:w="40" w:type="dxa"/>
                  </w:tcMar>
                  <w:vAlign w:val="center"/>
                </w:tcPr>
                <w:p w14:paraId="30207E4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2,235</w:t>
                  </w:r>
                </w:p>
              </w:tc>
            </w:tr>
            <w:tr w:rsidR="0085581F" w:rsidRPr="0085581F" w14:paraId="1F83772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874" w:type="dxa"/>
                  <w:tcBorders>
                    <w:top w:val="nil"/>
                    <w:left w:val="nil"/>
                    <w:bottom w:val="single" w:sz="4" w:space="0" w:color="000000"/>
                    <w:right w:val="nil"/>
                    <w:tl2br w:val="nil"/>
                    <w:tr2bl w:val="nil"/>
                  </w:tcBorders>
                  <w:shd w:val="clear" w:color="auto" w:fill="auto"/>
                  <w:tcMar>
                    <w:left w:w="40" w:type="dxa"/>
                    <w:right w:w="175" w:type="dxa"/>
                  </w:tcMar>
                  <w:vAlign w:val="center"/>
                </w:tcPr>
                <w:p w14:paraId="6255A53F"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Gazit Canada</w:t>
                  </w:r>
                </w:p>
              </w:tc>
              <w:tc>
                <w:tcPr>
                  <w:tcW w:w="2029" w:type="dxa"/>
                  <w:tcBorders>
                    <w:top w:val="nil"/>
                    <w:left w:val="nil"/>
                    <w:bottom w:val="single" w:sz="4" w:space="0" w:color="000000"/>
                    <w:right w:val="nil"/>
                    <w:tl2br w:val="nil"/>
                    <w:tr2bl w:val="nil"/>
                  </w:tcBorders>
                  <w:shd w:val="clear" w:color="auto" w:fill="auto"/>
                  <w:tcMar>
                    <w:left w:w="40" w:type="dxa"/>
                    <w:right w:w="40" w:type="dxa"/>
                  </w:tcMar>
                  <w:vAlign w:val="center"/>
                </w:tcPr>
                <w:p w14:paraId="0AB1589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Canada</w:t>
                  </w:r>
                </w:p>
              </w:tc>
              <w:tc>
                <w:tcPr>
                  <w:tcW w:w="1677"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09FCE7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183</w:t>
                  </w:r>
                </w:p>
              </w:tc>
              <w:tc>
                <w:tcPr>
                  <w:tcW w:w="1552"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DC003D2"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2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A5F544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304"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631CC9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183</w:t>
                  </w:r>
                </w:p>
              </w:tc>
            </w:tr>
            <w:tr w:rsidR="0085581F" w:rsidRPr="0085581F" w14:paraId="6B572E6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03" w:type="dxa"/>
                  <w:gridSpan w:val="2"/>
                  <w:tcBorders>
                    <w:top w:val="single" w:sz="4" w:space="0" w:color="000000"/>
                    <w:left w:val="nil"/>
                    <w:bottom w:val="single" w:sz="12" w:space="0" w:color="000000"/>
                    <w:right w:val="nil"/>
                    <w:tl2br w:val="nil"/>
                    <w:tr2bl w:val="nil"/>
                  </w:tcBorders>
                  <w:shd w:val="clear" w:color="FFFFFF" w:fill="FFFFFF"/>
                  <w:noWrap/>
                  <w:tcMar>
                    <w:left w:w="40" w:type="dxa"/>
                    <w:right w:w="175" w:type="dxa"/>
                  </w:tcMar>
                  <w:vAlign w:val="center"/>
                </w:tcPr>
                <w:p w14:paraId="117FF8E1" w14:textId="77777777" w:rsidR="0085581F" w:rsidRPr="0085581F" w:rsidRDefault="0085581F" w:rsidP="0085581F">
                  <w:pPr>
                    <w:spacing w:before="0" w:after="0" w:line="240" w:lineRule="auto"/>
                    <w:jc w:val="left"/>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Total carrying amount</w:t>
                  </w:r>
                </w:p>
              </w:tc>
              <w:tc>
                <w:tcPr>
                  <w:tcW w:w="1677"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757B890E" w14:textId="6A06E59D"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31,978</w:t>
                  </w:r>
                  <w:r w:rsidR="000227DA">
                    <w:rPr>
                      <w:rStyle w:val="FootnoteReference"/>
                      <w:rFonts w:asciiTheme="majorBidi" w:hAnsiTheme="majorBidi" w:cstheme="majorBidi"/>
                      <w:b/>
                      <w:color w:val="000000"/>
                      <w:sz w:val="21"/>
                    </w:rPr>
                    <w:footnoteReference w:id="5"/>
                  </w:r>
                  <w:r w:rsidRPr="0085581F">
                    <w:rPr>
                      <w:rFonts w:asciiTheme="majorBidi" w:hAnsiTheme="majorBidi" w:cstheme="majorBidi"/>
                      <w:b/>
                      <w:color w:val="000000"/>
                      <w:sz w:val="21"/>
                    </w:rPr>
                    <w:t xml:space="preserve"> </w:t>
                  </w:r>
                </w:p>
              </w:tc>
              <w:tc>
                <w:tcPr>
                  <w:tcW w:w="1552"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1F45DC91"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1,077 </w:t>
                  </w:r>
                </w:p>
              </w:tc>
              <w:tc>
                <w:tcPr>
                  <w:tcW w:w="1270"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562B7187"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1,721 </w:t>
                  </w:r>
                </w:p>
              </w:tc>
              <w:tc>
                <w:tcPr>
                  <w:tcW w:w="1304"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5BAF337D"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34,776 </w:t>
                  </w:r>
                </w:p>
              </w:tc>
            </w:tr>
            <w:tr w:rsidR="0085581F" w:rsidRPr="0085581F" w14:paraId="51B343A8" w14:textId="77777777" w:rsidTr="00A5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5"/>
              </w:trPr>
              <w:tc>
                <w:tcPr>
                  <w:tcW w:w="3903" w:type="dxa"/>
                  <w:gridSpan w:val="2"/>
                  <w:tcBorders>
                    <w:top w:val="single" w:sz="12" w:space="0" w:color="000000"/>
                    <w:left w:val="nil"/>
                    <w:bottom w:val="single" w:sz="4" w:space="0" w:color="000000"/>
                    <w:right w:val="nil"/>
                    <w:tl2br w:val="nil"/>
                    <w:tr2bl w:val="nil"/>
                  </w:tcBorders>
                  <w:shd w:val="clear" w:color="auto" w:fill="auto"/>
                  <w:noWrap/>
                  <w:tcMar>
                    <w:left w:w="40" w:type="dxa"/>
                    <w:right w:w="175" w:type="dxa"/>
                  </w:tcMar>
                  <w:vAlign w:val="center"/>
                </w:tcPr>
                <w:p w14:paraId="0A9B35A1"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Jointly controlled properties (proportionate consolidation)</w:t>
                  </w:r>
                </w:p>
              </w:tc>
              <w:tc>
                <w:tcPr>
                  <w:tcW w:w="1677" w:type="dxa"/>
                  <w:tcBorders>
                    <w:top w:val="single" w:sz="12" w:space="0" w:color="000000"/>
                    <w:left w:val="nil"/>
                    <w:bottom w:val="single" w:sz="4" w:space="0" w:color="000000"/>
                    <w:right w:val="nil"/>
                    <w:tl2br w:val="nil"/>
                    <w:tr2bl w:val="nil"/>
                  </w:tcBorders>
                  <w:shd w:val="clear" w:color="auto" w:fill="auto"/>
                  <w:noWrap/>
                  <w:tcMar>
                    <w:left w:w="40" w:type="dxa"/>
                    <w:right w:w="40" w:type="dxa"/>
                  </w:tcMar>
                  <w:vAlign w:val="center"/>
                </w:tcPr>
                <w:p w14:paraId="7F6514A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625</w:t>
                  </w:r>
                </w:p>
              </w:tc>
              <w:tc>
                <w:tcPr>
                  <w:tcW w:w="1552" w:type="dxa"/>
                  <w:tcBorders>
                    <w:top w:val="single" w:sz="12" w:space="0" w:color="000000"/>
                    <w:left w:val="nil"/>
                    <w:bottom w:val="single" w:sz="4" w:space="0" w:color="000000"/>
                    <w:right w:val="nil"/>
                    <w:tl2br w:val="nil"/>
                    <w:tr2bl w:val="nil"/>
                  </w:tcBorders>
                  <w:shd w:val="clear" w:color="auto" w:fill="auto"/>
                  <w:noWrap/>
                  <w:tcMar>
                    <w:left w:w="40" w:type="dxa"/>
                    <w:right w:w="40" w:type="dxa"/>
                  </w:tcMar>
                  <w:vAlign w:val="center"/>
                </w:tcPr>
                <w:p w14:paraId="63D699E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458</w:t>
                  </w:r>
                </w:p>
              </w:tc>
              <w:tc>
                <w:tcPr>
                  <w:tcW w:w="1270" w:type="dxa"/>
                  <w:tcBorders>
                    <w:top w:val="single" w:sz="12" w:space="0" w:color="000000"/>
                    <w:left w:val="nil"/>
                    <w:bottom w:val="single" w:sz="4" w:space="0" w:color="000000"/>
                    <w:right w:val="nil"/>
                    <w:tl2br w:val="nil"/>
                    <w:tr2bl w:val="nil"/>
                  </w:tcBorders>
                  <w:shd w:val="clear" w:color="auto" w:fill="auto"/>
                  <w:noWrap/>
                  <w:tcMar>
                    <w:left w:w="40" w:type="dxa"/>
                    <w:right w:w="40" w:type="dxa"/>
                  </w:tcMar>
                  <w:vAlign w:val="center"/>
                </w:tcPr>
                <w:p w14:paraId="3ADBB665"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7</w:t>
                  </w:r>
                </w:p>
              </w:tc>
              <w:tc>
                <w:tcPr>
                  <w:tcW w:w="1304" w:type="dxa"/>
                  <w:tcBorders>
                    <w:top w:val="single" w:sz="12" w:space="0" w:color="000000"/>
                    <w:left w:val="nil"/>
                    <w:bottom w:val="single" w:sz="4" w:space="0" w:color="000000"/>
                    <w:right w:val="nil"/>
                    <w:tl2br w:val="nil"/>
                    <w:tr2bl w:val="nil"/>
                  </w:tcBorders>
                  <w:shd w:val="clear" w:color="auto" w:fill="auto"/>
                  <w:noWrap/>
                  <w:tcMar>
                    <w:left w:w="40" w:type="dxa"/>
                    <w:right w:w="40" w:type="dxa"/>
                  </w:tcMar>
                  <w:vAlign w:val="center"/>
                </w:tcPr>
                <w:p w14:paraId="19F11B5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1,090</w:t>
                  </w:r>
                </w:p>
              </w:tc>
            </w:tr>
            <w:tr w:rsidR="0085581F" w:rsidRPr="0085581F" w14:paraId="589B7D9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874" w:type="dxa"/>
                  <w:tcBorders>
                    <w:top w:val="single" w:sz="4" w:space="0" w:color="000000"/>
                    <w:left w:val="nil"/>
                    <w:bottom w:val="single" w:sz="12" w:space="0" w:color="000000"/>
                    <w:right w:val="nil"/>
                    <w:tl2br w:val="nil"/>
                    <w:tr2bl w:val="nil"/>
                  </w:tcBorders>
                  <w:shd w:val="clear" w:color="FFFFFF" w:fill="FFFFFF"/>
                  <w:noWrap/>
                  <w:tcMar>
                    <w:left w:w="40" w:type="dxa"/>
                    <w:right w:w="175" w:type="dxa"/>
                  </w:tcMar>
                  <w:vAlign w:val="center"/>
                </w:tcPr>
                <w:p w14:paraId="65375673" w14:textId="77777777" w:rsidR="0085581F" w:rsidRPr="0085581F" w:rsidRDefault="0085581F" w:rsidP="0085581F">
                  <w:pPr>
                    <w:spacing w:before="0" w:after="0" w:line="240" w:lineRule="auto"/>
                    <w:jc w:val="left"/>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Total</w:t>
                  </w:r>
                </w:p>
              </w:tc>
              <w:tc>
                <w:tcPr>
                  <w:tcW w:w="2029" w:type="dxa"/>
                  <w:tcBorders>
                    <w:top w:val="single" w:sz="4" w:space="0" w:color="000000"/>
                    <w:left w:val="nil"/>
                    <w:bottom w:val="single" w:sz="12" w:space="0" w:color="000000"/>
                    <w:right w:val="nil"/>
                    <w:tl2br w:val="nil"/>
                    <w:tr2bl w:val="nil"/>
                  </w:tcBorders>
                  <w:shd w:val="clear" w:color="FFFFFF" w:fill="FFFFFF"/>
                  <w:noWrap/>
                  <w:tcMar>
                    <w:left w:w="0" w:type="dxa"/>
                    <w:right w:w="0" w:type="dxa"/>
                  </w:tcMar>
                  <w:vAlign w:val="center"/>
                </w:tcPr>
                <w:p w14:paraId="16FC727D" w14:textId="77777777" w:rsidR="0085581F" w:rsidRPr="0085581F" w:rsidRDefault="0085581F" w:rsidP="0085581F">
                  <w:pPr>
                    <w:spacing w:before="0" w:after="0" w:line="240" w:lineRule="auto"/>
                    <w:jc w:val="right"/>
                    <w:rPr>
                      <w:rFonts w:asciiTheme="majorBidi" w:eastAsia="Ploni ML Medium AAA Medium" w:hAnsiTheme="majorBidi" w:cstheme="majorBidi"/>
                      <w:b/>
                      <w:color w:val="000000"/>
                      <w:sz w:val="21"/>
                    </w:rPr>
                  </w:pPr>
                </w:p>
              </w:tc>
              <w:tc>
                <w:tcPr>
                  <w:tcW w:w="1677"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6DC0F0C9"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32,603 </w:t>
                  </w:r>
                </w:p>
              </w:tc>
              <w:tc>
                <w:tcPr>
                  <w:tcW w:w="1552"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1DE244E2"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1,535 </w:t>
                  </w:r>
                </w:p>
              </w:tc>
              <w:tc>
                <w:tcPr>
                  <w:tcW w:w="1270"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0C79614E"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1,728 </w:t>
                  </w:r>
                </w:p>
              </w:tc>
              <w:tc>
                <w:tcPr>
                  <w:tcW w:w="1304"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2796A097"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35,866 </w:t>
                  </w:r>
                </w:p>
              </w:tc>
            </w:tr>
          </w:tbl>
          <w:p w14:paraId="602F2283" w14:textId="77777777" w:rsidR="0085581F" w:rsidRPr="0085581F" w:rsidRDefault="0085581F" w:rsidP="0085581F">
            <w:pPr>
              <w:rPr>
                <w:rFonts w:asciiTheme="majorBidi" w:hAnsiTheme="majorBidi" w:cstheme="majorBidi"/>
              </w:rPr>
            </w:pPr>
          </w:p>
        </w:tc>
      </w:tr>
    </w:tbl>
    <w:p w14:paraId="6614CCD9" w14:textId="77777777" w:rsidR="0085581F" w:rsidRPr="0085581F" w:rsidRDefault="0085581F" w:rsidP="0085581F">
      <w:pPr>
        <w:keepNext/>
        <w:keepLines/>
        <w:tabs>
          <w:tab w:val="left" w:pos="1133"/>
        </w:tabs>
        <w:outlineLvl w:val="3"/>
        <w:rPr>
          <w:rFonts w:asciiTheme="majorBidi" w:hAnsiTheme="majorBidi" w:cstheme="majorBidi"/>
          <w:sz w:val="21"/>
          <w:szCs w:val="21"/>
        </w:rPr>
      </w:pPr>
      <w:r w:rsidRPr="0085581F">
        <w:rPr>
          <w:rFonts w:asciiTheme="majorBidi" w:hAnsiTheme="majorBidi" w:cstheme="majorBidi"/>
          <w:sz w:val="21"/>
        </w:rPr>
        <w:t>Breakdown of the properties classified as assets held for sale included in the Group's total assets as at June 30, 2024: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85581F" w:rsidRPr="0085581F" w14:paraId="043F6666" w14:textId="77777777" w:rsidTr="00A65A6F">
        <w:trPr>
          <w:cantSplit/>
        </w:trPr>
        <w:tc>
          <w:tcPr>
            <w:tcW w:w="5000" w:type="pct"/>
          </w:tcPr>
          <w:tbl>
            <w:tblPr>
              <w:tblStyle w:val="CDMRange220"/>
              <w:tblW w:w="9870" w:type="dxa"/>
              <w:tblLook w:val="0600" w:firstRow="0" w:lastRow="0" w:firstColumn="0" w:lastColumn="0" w:noHBand="1" w:noVBand="1"/>
              <w:tblCaption w:val="Print_Area"/>
            </w:tblPr>
            <w:tblGrid>
              <w:gridCol w:w="2494"/>
              <w:gridCol w:w="2404"/>
              <w:gridCol w:w="2404"/>
              <w:gridCol w:w="2404"/>
            </w:tblGrid>
            <w:tr w:rsidR="0085581F" w:rsidRPr="0085581F" w14:paraId="509A5C5F" w14:textId="77777777" w:rsidTr="00A65A6F">
              <w:trPr>
                <w:trHeight w:val="315"/>
              </w:trPr>
              <w:tc>
                <w:tcPr>
                  <w:tcW w:w="2535" w:type="dxa"/>
                  <w:tcBorders>
                    <w:top w:val="nil"/>
                    <w:left w:val="nil"/>
                    <w:bottom w:val="nil"/>
                    <w:right w:val="nil"/>
                    <w:tl2br w:val="nil"/>
                    <w:tr2bl w:val="nil"/>
                  </w:tcBorders>
                  <w:shd w:val="clear" w:color="FFFFFF" w:fill="000031"/>
                  <w:tcMar>
                    <w:left w:w="0" w:type="dxa"/>
                    <w:right w:w="0" w:type="dxa"/>
                  </w:tcMar>
                  <w:vAlign w:val="bottom"/>
                </w:tcPr>
                <w:p w14:paraId="47037C2B"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21"/>
                    </w:rPr>
                  </w:pPr>
                </w:p>
              </w:tc>
              <w:tc>
                <w:tcPr>
                  <w:tcW w:w="2445" w:type="dxa"/>
                  <w:tcBorders>
                    <w:top w:val="nil"/>
                    <w:left w:val="nil"/>
                    <w:bottom w:val="nil"/>
                    <w:right w:val="nil"/>
                    <w:tl2br w:val="nil"/>
                    <w:tr2bl w:val="nil"/>
                  </w:tcBorders>
                  <w:shd w:val="clear" w:color="FFFFFF" w:fill="000031"/>
                  <w:tcMar>
                    <w:left w:w="40" w:type="dxa"/>
                    <w:right w:w="40" w:type="dxa"/>
                  </w:tcMar>
                  <w:vAlign w:val="bottom"/>
                </w:tcPr>
                <w:p w14:paraId="6BBF6791"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Country</w:t>
                  </w:r>
                </w:p>
              </w:tc>
              <w:tc>
                <w:tcPr>
                  <w:tcW w:w="2445" w:type="dxa"/>
                  <w:tcBorders>
                    <w:top w:val="nil"/>
                    <w:left w:val="nil"/>
                    <w:bottom w:val="nil"/>
                    <w:right w:val="nil"/>
                    <w:tl2br w:val="nil"/>
                    <w:tr2bl w:val="nil"/>
                  </w:tcBorders>
                  <w:shd w:val="clear" w:color="FFFFFF" w:fill="000031"/>
                  <w:tcMar>
                    <w:left w:w="40" w:type="dxa"/>
                    <w:right w:w="40" w:type="dxa"/>
                  </w:tcMar>
                  <w:vAlign w:val="bottom"/>
                </w:tcPr>
                <w:p w14:paraId="28F51FBC"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Number of properties</w:t>
                  </w:r>
                </w:p>
              </w:tc>
              <w:tc>
                <w:tcPr>
                  <w:tcW w:w="2445" w:type="dxa"/>
                  <w:tcBorders>
                    <w:top w:val="nil"/>
                    <w:left w:val="nil"/>
                    <w:bottom w:val="nil"/>
                    <w:right w:val="nil"/>
                    <w:tl2br w:val="nil"/>
                    <w:tr2bl w:val="nil"/>
                  </w:tcBorders>
                  <w:shd w:val="clear" w:color="FFFFFF" w:fill="000031"/>
                  <w:tcMar>
                    <w:left w:w="40" w:type="dxa"/>
                    <w:right w:w="40" w:type="dxa"/>
                  </w:tcMar>
                  <w:vAlign w:val="bottom"/>
                </w:tcPr>
                <w:p w14:paraId="5ECF4517"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Carrying amount</w:t>
                  </w:r>
                </w:p>
              </w:tc>
            </w:tr>
            <w:tr w:rsidR="0085581F" w:rsidRPr="0085581F" w14:paraId="464C145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535" w:type="dxa"/>
                  <w:tcBorders>
                    <w:top w:val="nil"/>
                    <w:left w:val="nil"/>
                    <w:bottom w:val="nil"/>
                    <w:right w:val="nil"/>
                    <w:tl2br w:val="nil"/>
                    <w:tr2bl w:val="nil"/>
                  </w:tcBorders>
                  <w:shd w:val="clear" w:color="FFFFFF" w:fill="000031"/>
                  <w:tcMar>
                    <w:left w:w="0" w:type="dxa"/>
                    <w:right w:w="0" w:type="dxa"/>
                  </w:tcMar>
                  <w:vAlign w:val="bottom"/>
                </w:tcPr>
                <w:p w14:paraId="4CD67A42"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21"/>
                    </w:rPr>
                  </w:pPr>
                </w:p>
              </w:tc>
              <w:tc>
                <w:tcPr>
                  <w:tcW w:w="2445" w:type="dxa"/>
                  <w:tcBorders>
                    <w:top w:val="nil"/>
                    <w:left w:val="nil"/>
                    <w:bottom w:val="nil"/>
                    <w:right w:val="nil"/>
                    <w:tl2br w:val="nil"/>
                    <w:tr2bl w:val="nil"/>
                  </w:tcBorders>
                  <w:shd w:val="clear" w:color="FFFFFF" w:fill="000031"/>
                  <w:tcMar>
                    <w:left w:w="0" w:type="dxa"/>
                    <w:right w:w="0" w:type="dxa"/>
                  </w:tcMar>
                  <w:vAlign w:val="bottom"/>
                </w:tcPr>
                <w:p w14:paraId="5B1D1655"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p>
              </w:tc>
              <w:tc>
                <w:tcPr>
                  <w:tcW w:w="2445" w:type="dxa"/>
                  <w:tcBorders>
                    <w:top w:val="nil"/>
                    <w:left w:val="nil"/>
                    <w:bottom w:val="nil"/>
                    <w:right w:val="nil"/>
                    <w:tl2br w:val="nil"/>
                    <w:tr2bl w:val="nil"/>
                  </w:tcBorders>
                  <w:shd w:val="clear" w:color="FFFFFF" w:fill="000031"/>
                  <w:tcMar>
                    <w:left w:w="0" w:type="dxa"/>
                    <w:right w:w="0" w:type="dxa"/>
                  </w:tcMar>
                  <w:vAlign w:val="bottom"/>
                </w:tcPr>
                <w:p w14:paraId="05EEAB5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p>
              </w:tc>
              <w:tc>
                <w:tcPr>
                  <w:tcW w:w="2445" w:type="dxa"/>
                  <w:tcBorders>
                    <w:top w:val="nil"/>
                    <w:left w:val="nil"/>
                    <w:bottom w:val="nil"/>
                    <w:right w:val="nil"/>
                    <w:tl2br w:val="nil"/>
                    <w:tr2bl w:val="nil"/>
                  </w:tcBorders>
                  <w:shd w:val="clear" w:color="FFFFFF" w:fill="000031"/>
                  <w:tcMar>
                    <w:left w:w="40" w:type="dxa"/>
                    <w:right w:w="40" w:type="dxa"/>
                  </w:tcMar>
                  <w:vAlign w:val="bottom"/>
                </w:tcPr>
                <w:p w14:paraId="30304176"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NIS million</w:t>
                  </w:r>
                </w:p>
              </w:tc>
            </w:tr>
            <w:tr w:rsidR="0085581F" w:rsidRPr="0085581F" w14:paraId="452E710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535" w:type="dxa"/>
                  <w:tcBorders>
                    <w:top w:val="nil"/>
                    <w:left w:val="nil"/>
                    <w:bottom w:val="nil"/>
                    <w:right w:val="nil"/>
                    <w:tl2br w:val="nil"/>
                    <w:tr2bl w:val="nil"/>
                  </w:tcBorders>
                  <w:shd w:val="clear" w:color="auto" w:fill="auto"/>
                  <w:tcMar>
                    <w:left w:w="40" w:type="dxa"/>
                    <w:right w:w="175" w:type="dxa"/>
                  </w:tcMar>
                  <w:vAlign w:val="center"/>
                </w:tcPr>
                <w:p w14:paraId="6FB4806D"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 Europe</w:t>
                  </w:r>
                </w:p>
              </w:tc>
              <w:tc>
                <w:tcPr>
                  <w:tcW w:w="2445" w:type="dxa"/>
                  <w:tcBorders>
                    <w:top w:val="nil"/>
                    <w:left w:val="nil"/>
                    <w:bottom w:val="nil"/>
                    <w:right w:val="nil"/>
                    <w:tl2br w:val="nil"/>
                    <w:tr2bl w:val="nil"/>
                  </w:tcBorders>
                  <w:shd w:val="clear" w:color="auto" w:fill="auto"/>
                  <w:tcMar>
                    <w:left w:w="40" w:type="dxa"/>
                    <w:right w:w="40" w:type="dxa"/>
                  </w:tcMar>
                  <w:vAlign w:val="center"/>
                </w:tcPr>
                <w:p w14:paraId="7AAFD25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Czech Republic</w:t>
                  </w:r>
                </w:p>
              </w:tc>
              <w:tc>
                <w:tcPr>
                  <w:tcW w:w="2445" w:type="dxa"/>
                  <w:tcBorders>
                    <w:top w:val="nil"/>
                    <w:left w:val="nil"/>
                    <w:bottom w:val="nil"/>
                    <w:right w:val="nil"/>
                    <w:tl2br w:val="nil"/>
                    <w:tr2bl w:val="nil"/>
                  </w:tcBorders>
                  <w:shd w:val="clear" w:color="auto" w:fill="auto"/>
                  <w:noWrap/>
                  <w:tcMar>
                    <w:left w:w="40" w:type="dxa"/>
                    <w:right w:w="40" w:type="dxa"/>
                  </w:tcMar>
                  <w:vAlign w:val="center"/>
                </w:tcPr>
                <w:p w14:paraId="4625B12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w:t>
                  </w:r>
                </w:p>
              </w:tc>
              <w:tc>
                <w:tcPr>
                  <w:tcW w:w="2445" w:type="dxa"/>
                  <w:tcBorders>
                    <w:top w:val="nil"/>
                    <w:left w:val="nil"/>
                    <w:bottom w:val="nil"/>
                    <w:right w:val="nil"/>
                    <w:tl2br w:val="nil"/>
                    <w:tr2bl w:val="nil"/>
                  </w:tcBorders>
                  <w:shd w:val="clear" w:color="auto" w:fill="auto"/>
                  <w:noWrap/>
                  <w:tcMar>
                    <w:left w:w="40" w:type="dxa"/>
                    <w:right w:w="40" w:type="dxa"/>
                  </w:tcMar>
                  <w:vAlign w:val="center"/>
                </w:tcPr>
                <w:p w14:paraId="2F0A9CC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1,020</w:t>
                  </w:r>
                  <w:r w:rsidRPr="0085581F">
                    <w:rPr>
                      <w:rFonts w:asciiTheme="majorBidi" w:hAnsiTheme="majorBidi" w:cstheme="majorBidi"/>
                      <w:color w:val="000000"/>
                      <w:sz w:val="21"/>
                      <w:vertAlign w:val="superscript"/>
                    </w:rPr>
                    <w:t xml:space="preserve"> (1)</w:t>
                  </w:r>
                </w:p>
              </w:tc>
            </w:tr>
            <w:tr w:rsidR="0085581F" w:rsidRPr="0085581F" w14:paraId="7FC0349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535" w:type="dxa"/>
                  <w:tcBorders>
                    <w:top w:val="nil"/>
                    <w:left w:val="nil"/>
                    <w:bottom w:val="nil"/>
                    <w:right w:val="nil"/>
                    <w:tl2br w:val="nil"/>
                    <w:tr2bl w:val="nil"/>
                  </w:tcBorders>
                  <w:shd w:val="clear" w:color="auto" w:fill="auto"/>
                  <w:tcMar>
                    <w:left w:w="40" w:type="dxa"/>
                    <w:right w:w="175" w:type="dxa"/>
                  </w:tcMar>
                  <w:vAlign w:val="center"/>
                </w:tcPr>
                <w:p w14:paraId="21B35D2F"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Gazit </w:t>
                  </w:r>
                  <w:proofErr w:type="spellStart"/>
                  <w:r w:rsidRPr="0085581F">
                    <w:rPr>
                      <w:rFonts w:asciiTheme="majorBidi" w:hAnsiTheme="majorBidi" w:cstheme="majorBidi"/>
                      <w:color w:val="000000"/>
                      <w:sz w:val="21"/>
                    </w:rPr>
                    <w:t>Brasil</w:t>
                  </w:r>
                  <w:proofErr w:type="spellEnd"/>
                </w:p>
              </w:tc>
              <w:tc>
                <w:tcPr>
                  <w:tcW w:w="2445" w:type="dxa"/>
                  <w:tcBorders>
                    <w:top w:val="nil"/>
                    <w:left w:val="nil"/>
                    <w:bottom w:val="nil"/>
                    <w:right w:val="nil"/>
                    <w:tl2br w:val="nil"/>
                    <w:tr2bl w:val="nil"/>
                  </w:tcBorders>
                  <w:shd w:val="clear" w:color="auto" w:fill="auto"/>
                  <w:tcMar>
                    <w:left w:w="40" w:type="dxa"/>
                    <w:right w:w="40" w:type="dxa"/>
                  </w:tcMar>
                  <w:vAlign w:val="center"/>
                </w:tcPr>
                <w:p w14:paraId="790A91A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Brazil</w:t>
                  </w:r>
                </w:p>
              </w:tc>
              <w:tc>
                <w:tcPr>
                  <w:tcW w:w="2445" w:type="dxa"/>
                  <w:tcBorders>
                    <w:top w:val="nil"/>
                    <w:left w:val="nil"/>
                    <w:bottom w:val="nil"/>
                    <w:right w:val="nil"/>
                    <w:tl2br w:val="nil"/>
                    <w:tr2bl w:val="nil"/>
                  </w:tcBorders>
                  <w:shd w:val="clear" w:color="auto" w:fill="auto"/>
                  <w:noWrap/>
                  <w:tcMar>
                    <w:left w:w="40" w:type="dxa"/>
                    <w:right w:w="40" w:type="dxa"/>
                  </w:tcMar>
                  <w:vAlign w:val="center"/>
                </w:tcPr>
                <w:p w14:paraId="25830C7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w:t>
                  </w:r>
                </w:p>
              </w:tc>
              <w:tc>
                <w:tcPr>
                  <w:tcW w:w="2445" w:type="dxa"/>
                  <w:tcBorders>
                    <w:top w:val="nil"/>
                    <w:left w:val="nil"/>
                    <w:bottom w:val="nil"/>
                    <w:right w:val="nil"/>
                    <w:tl2br w:val="nil"/>
                    <w:tr2bl w:val="nil"/>
                  </w:tcBorders>
                  <w:shd w:val="clear" w:color="auto" w:fill="auto"/>
                  <w:noWrap/>
                  <w:tcMar>
                    <w:left w:w="40" w:type="dxa"/>
                    <w:right w:w="40" w:type="dxa"/>
                  </w:tcMar>
                  <w:vAlign w:val="center"/>
                </w:tcPr>
                <w:p w14:paraId="2F80EAE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315</w:t>
                  </w:r>
                </w:p>
              </w:tc>
            </w:tr>
            <w:tr w:rsidR="0085581F" w:rsidRPr="0085581F" w14:paraId="7A6C3B2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535" w:type="dxa"/>
                  <w:tcBorders>
                    <w:top w:val="nil"/>
                    <w:left w:val="nil"/>
                    <w:bottom w:val="single" w:sz="4" w:space="0" w:color="000000"/>
                    <w:right w:val="nil"/>
                    <w:tl2br w:val="nil"/>
                    <w:tr2bl w:val="nil"/>
                  </w:tcBorders>
                  <w:shd w:val="clear" w:color="auto" w:fill="auto"/>
                  <w:tcMar>
                    <w:left w:w="40" w:type="dxa"/>
                    <w:right w:w="175" w:type="dxa"/>
                  </w:tcMar>
                  <w:vAlign w:val="center"/>
                </w:tcPr>
                <w:p w14:paraId="0BAEB085"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CTY</w:t>
                  </w:r>
                </w:p>
              </w:tc>
              <w:tc>
                <w:tcPr>
                  <w:tcW w:w="2445" w:type="dxa"/>
                  <w:tcBorders>
                    <w:top w:val="nil"/>
                    <w:left w:val="nil"/>
                    <w:bottom w:val="single" w:sz="4" w:space="0" w:color="000000"/>
                    <w:right w:val="nil"/>
                    <w:tl2br w:val="nil"/>
                    <w:tr2bl w:val="nil"/>
                  </w:tcBorders>
                  <w:shd w:val="clear" w:color="auto" w:fill="auto"/>
                  <w:tcMar>
                    <w:left w:w="40" w:type="dxa"/>
                    <w:right w:w="40" w:type="dxa"/>
                  </w:tcMar>
                  <w:vAlign w:val="center"/>
                </w:tcPr>
                <w:p w14:paraId="47B6973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Norway, Sweden, Denmark and Estonia</w:t>
                  </w:r>
                </w:p>
              </w:tc>
              <w:tc>
                <w:tcPr>
                  <w:tcW w:w="24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2D2E11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w:t>
                  </w:r>
                </w:p>
              </w:tc>
              <w:tc>
                <w:tcPr>
                  <w:tcW w:w="24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F12AC6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1,205</w:t>
                  </w:r>
                </w:p>
              </w:tc>
            </w:tr>
            <w:tr w:rsidR="0085581F" w:rsidRPr="0085581F" w14:paraId="0616D46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0"/>
              </w:trPr>
              <w:tc>
                <w:tcPr>
                  <w:tcW w:w="4980" w:type="dxa"/>
                  <w:gridSpan w:val="2"/>
                  <w:tcBorders>
                    <w:top w:val="single" w:sz="4" w:space="0" w:color="000000"/>
                    <w:left w:val="nil"/>
                    <w:bottom w:val="single" w:sz="12" w:space="0" w:color="000000"/>
                    <w:right w:val="nil"/>
                    <w:tl2br w:val="nil"/>
                    <w:tr2bl w:val="nil"/>
                  </w:tcBorders>
                  <w:shd w:val="clear" w:color="FFFFFF" w:fill="FFFFFF"/>
                  <w:noWrap/>
                  <w:tcMar>
                    <w:left w:w="40" w:type="dxa"/>
                    <w:right w:w="175" w:type="dxa"/>
                  </w:tcMar>
                  <w:vAlign w:val="center"/>
                </w:tcPr>
                <w:p w14:paraId="252694FF" w14:textId="77777777" w:rsidR="0085581F" w:rsidRPr="0085581F" w:rsidRDefault="0085581F" w:rsidP="0085581F">
                  <w:pPr>
                    <w:spacing w:before="0" w:after="0" w:line="240" w:lineRule="auto"/>
                    <w:jc w:val="left"/>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Total carrying amount</w:t>
                  </w:r>
                </w:p>
              </w:tc>
              <w:tc>
                <w:tcPr>
                  <w:tcW w:w="2445"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542ED347"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6 </w:t>
                  </w:r>
                </w:p>
              </w:tc>
              <w:tc>
                <w:tcPr>
                  <w:tcW w:w="2445"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236C2010"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r w:rsidRPr="0085581F">
                    <w:rPr>
                      <w:rFonts w:asciiTheme="majorBidi" w:hAnsiTheme="majorBidi" w:cstheme="majorBidi"/>
                      <w:b/>
                      <w:color w:val="000000"/>
                      <w:sz w:val="21"/>
                    </w:rPr>
                    <w:t xml:space="preserve">2,540 </w:t>
                  </w:r>
                </w:p>
              </w:tc>
            </w:tr>
          </w:tbl>
          <w:p w14:paraId="34DFAEBD" w14:textId="77777777" w:rsidR="0085581F" w:rsidRPr="0085581F" w:rsidRDefault="0085581F" w:rsidP="0085581F">
            <w:pPr>
              <w:rPr>
                <w:rFonts w:asciiTheme="majorBidi" w:hAnsiTheme="majorBidi" w:cstheme="majorBidi"/>
              </w:rPr>
            </w:pPr>
          </w:p>
        </w:tc>
      </w:tr>
    </w:tbl>
    <w:p w14:paraId="0F481373" w14:textId="77777777" w:rsidR="0085581F" w:rsidRPr="0085581F" w:rsidRDefault="0085581F" w:rsidP="004D7A72">
      <w:pPr>
        <w:keepLines/>
        <w:numPr>
          <w:ilvl w:val="0"/>
          <w:numId w:val="21"/>
        </w:numPr>
        <w:tabs>
          <w:tab w:val="left" w:pos="1133"/>
        </w:tabs>
        <w:contextualSpacing/>
        <w:outlineLvl w:val="3"/>
        <w:rPr>
          <w:rFonts w:asciiTheme="majorBidi" w:hAnsiTheme="majorBidi" w:cstheme="majorBidi"/>
          <w:sz w:val="14"/>
          <w:szCs w:val="14"/>
        </w:rPr>
      </w:pPr>
      <w:r w:rsidRPr="0085581F">
        <w:rPr>
          <w:rFonts w:asciiTheme="majorBidi" w:hAnsiTheme="majorBidi" w:cstheme="majorBidi"/>
          <w:sz w:val="14"/>
        </w:rPr>
        <w:t>Including land in Romania at an amount of NIS 28 million</w:t>
      </w:r>
    </w:p>
    <w:p w14:paraId="5B1EE5B0" w14:textId="77777777" w:rsidR="0085581F" w:rsidRPr="0085581F" w:rsidRDefault="0085581F" w:rsidP="0085581F">
      <w:pPr>
        <w:keepLines/>
        <w:tabs>
          <w:tab w:val="left" w:pos="1133"/>
        </w:tabs>
        <w:contextualSpacing/>
        <w:outlineLvl w:val="3"/>
        <w:rPr>
          <w:rFonts w:asciiTheme="majorBidi" w:hAnsiTheme="majorBidi" w:cstheme="majorBidi"/>
          <w:sz w:val="14"/>
          <w:szCs w:val="14"/>
        </w:rPr>
      </w:pPr>
    </w:p>
    <w:p w14:paraId="4B5E72A5" w14:textId="77777777" w:rsidR="0085581F" w:rsidRPr="0085581F" w:rsidRDefault="0085581F" w:rsidP="004D7A72">
      <w:pPr>
        <w:keepNext/>
        <w:keepLines/>
        <w:numPr>
          <w:ilvl w:val="1"/>
          <w:numId w:val="20"/>
        </w:numPr>
        <w:tabs>
          <w:tab w:val="left" w:pos="1133"/>
        </w:tabs>
        <w:spacing w:before="240"/>
        <w:ind w:left="425" w:hanging="425"/>
        <w:outlineLvl w:val="3"/>
        <w:rPr>
          <w:rFonts w:asciiTheme="majorBidi" w:hAnsiTheme="majorBidi" w:cstheme="majorBidi"/>
          <w:sz w:val="21"/>
          <w:szCs w:val="21"/>
        </w:rPr>
      </w:pPr>
      <w:r w:rsidRPr="0085581F">
        <w:rPr>
          <w:rFonts w:asciiTheme="majorBidi" w:hAnsiTheme="majorBidi" w:cstheme="majorBidi"/>
          <w:sz w:val="21"/>
        </w:rPr>
        <w:t>Breakdown of the Company’s investments in its operating regions (based on expanded separate information) as of June 30,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85581F" w:rsidRPr="0085581F" w14:paraId="42C2AEC7" w14:textId="77777777" w:rsidTr="00A65A6F">
        <w:trPr>
          <w:cantSplit/>
        </w:trPr>
        <w:tc>
          <w:tcPr>
            <w:tcW w:w="4961" w:type="dxa"/>
            <w:tcMar>
              <w:top w:w="0" w:type="dxa"/>
              <w:left w:w="0" w:type="dxa"/>
              <w:bottom w:w="0" w:type="dxa"/>
              <w:right w:w="0" w:type="dxa"/>
            </w:tcMar>
          </w:tcPr>
          <w:p w14:paraId="0160F864" w14:textId="4F92DB42" w:rsidR="0085581F" w:rsidRPr="0085581F" w:rsidRDefault="0085581F" w:rsidP="0085581F">
            <w:pPr>
              <w:keepLines/>
              <w:tabs>
                <w:tab w:val="left" w:pos="425"/>
                <w:tab w:val="left" w:pos="1133"/>
              </w:tabs>
              <w:contextualSpacing/>
              <w:outlineLvl w:val="3"/>
              <w:rPr>
                <w:rFonts w:asciiTheme="majorBidi" w:hAnsiTheme="majorBidi" w:cstheme="majorBidi"/>
                <w:sz w:val="21"/>
                <w:szCs w:val="21"/>
              </w:rPr>
            </w:pPr>
            <w:r w:rsidRPr="0085581F">
              <w:rPr>
                <w:rFonts w:asciiTheme="majorBidi" w:hAnsiTheme="majorBidi" w:cstheme="majorBidi"/>
                <w:noProof/>
              </w:rPr>
              <w:drawing>
                <wp:inline distT="0" distB="0" distL="0" distR="0" wp14:anchorId="6ED2E29F" wp14:editId="282BFF17">
                  <wp:extent cx="3095625" cy="1880235"/>
                  <wp:effectExtent l="0" t="0" r="0" b="5715"/>
                  <wp:docPr id="10000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961" w:type="dxa"/>
            <w:tcMar>
              <w:top w:w="0" w:type="dxa"/>
              <w:left w:w="0" w:type="dxa"/>
              <w:bottom w:w="0" w:type="dxa"/>
              <w:right w:w="0" w:type="dxa"/>
            </w:tcMar>
          </w:tcPr>
          <w:p w14:paraId="0025BCA5" w14:textId="79D6F833" w:rsidR="0085581F" w:rsidRPr="0085581F" w:rsidRDefault="0085581F" w:rsidP="0085581F">
            <w:pPr>
              <w:keepLines/>
              <w:tabs>
                <w:tab w:val="left" w:pos="425"/>
                <w:tab w:val="left" w:pos="1133"/>
              </w:tabs>
              <w:contextualSpacing/>
              <w:outlineLvl w:val="3"/>
              <w:rPr>
                <w:rFonts w:asciiTheme="majorBidi" w:hAnsiTheme="majorBidi" w:cstheme="majorBidi"/>
                <w:sz w:val="21"/>
                <w:szCs w:val="21"/>
              </w:rPr>
            </w:pPr>
            <w:r w:rsidRPr="0085581F">
              <w:rPr>
                <w:rFonts w:asciiTheme="majorBidi" w:hAnsiTheme="majorBidi" w:cstheme="majorBidi"/>
                <w:noProof/>
              </w:rPr>
              <w:drawing>
                <wp:inline distT="0" distB="0" distL="0" distR="0" wp14:anchorId="03EE39E0" wp14:editId="02165A00">
                  <wp:extent cx="3095625" cy="1880559"/>
                  <wp:effectExtent l="0" t="0" r="0" b="5715"/>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41B7ED68" w14:textId="77777777" w:rsidR="0085581F" w:rsidRPr="0085581F" w:rsidRDefault="0085581F" w:rsidP="004D7A72">
      <w:pPr>
        <w:keepNext/>
        <w:keepLines/>
        <w:numPr>
          <w:ilvl w:val="1"/>
          <w:numId w:val="20"/>
        </w:numPr>
        <w:tabs>
          <w:tab w:val="left" w:pos="1133"/>
        </w:tabs>
        <w:spacing w:before="240"/>
        <w:ind w:left="425" w:hanging="425"/>
        <w:outlineLvl w:val="3"/>
        <w:rPr>
          <w:rFonts w:asciiTheme="majorBidi" w:eastAsia="Calibri" w:hAnsiTheme="majorBidi" w:cstheme="majorBidi"/>
          <w:sz w:val="21"/>
          <w:szCs w:val="21"/>
          <w:bdr w:val="none" w:sz="0" w:space="0" w:color="auto" w:frame="1"/>
          <w:vertAlign w:val="subscript"/>
        </w:rPr>
      </w:pPr>
      <w:bookmarkStart w:id="15" w:name="H4_17להלן_מבנה_ההחזקות_העיקריות_של_החברה"/>
      <w:bookmarkEnd w:id="14"/>
      <w:r w:rsidRPr="0085581F">
        <w:rPr>
          <w:rFonts w:asciiTheme="majorBidi" w:hAnsiTheme="majorBidi" w:cstheme="majorBidi"/>
          <w:sz w:val="21"/>
        </w:rPr>
        <w:lastRenderedPageBreak/>
        <w:t>The Company’s Major Holdings (holding structure and interests are as of June 30, 2024):</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85581F" w:rsidRPr="0085581F" w14:paraId="63E7A6D6" w14:textId="77777777" w:rsidTr="00A65A6F">
        <w:trPr>
          <w:cantSplit/>
        </w:trPr>
        <w:tc>
          <w:tcPr>
            <w:tcW w:w="10137" w:type="dxa"/>
            <w:tcMar>
              <w:top w:w="0" w:type="dxa"/>
              <w:left w:w="0" w:type="dxa"/>
              <w:bottom w:w="0" w:type="dxa"/>
              <w:right w:w="0" w:type="dxa"/>
            </w:tcMar>
          </w:tcPr>
          <w:p w14:paraId="481B8C71" w14:textId="4D575AAE" w:rsidR="0085581F" w:rsidRPr="0085581F" w:rsidRDefault="00B76FDC" w:rsidP="0085581F">
            <w:pPr>
              <w:keepNext/>
              <w:keepLines/>
              <w:tabs>
                <w:tab w:val="left" w:pos="425"/>
                <w:tab w:val="left" w:pos="1133"/>
              </w:tabs>
              <w:contextualSpacing/>
              <w:outlineLvl w:val="3"/>
              <w:rPr>
                <w:rFonts w:asciiTheme="majorBidi" w:eastAsia="Calibri" w:hAnsiTheme="majorBidi" w:cstheme="majorBidi"/>
                <w:sz w:val="21"/>
                <w:szCs w:val="21"/>
                <w:bdr w:val="none" w:sz="0" w:space="0" w:color="auto" w:frame="1"/>
                <w:vertAlign w:val="subscript"/>
              </w:rPr>
            </w:pPr>
            <w:r w:rsidRPr="0085581F">
              <w:rPr>
                <w:rFonts w:asciiTheme="majorBidi" w:hAnsiTheme="majorBidi" w:cstheme="majorBidi"/>
                <w:noProof/>
              </w:rPr>
              <mc:AlternateContent>
                <mc:Choice Requires="wps">
                  <w:drawing>
                    <wp:anchor distT="0" distB="0" distL="114300" distR="114300" simplePos="0" relativeHeight="251685888" behindDoc="0" locked="0" layoutInCell="1" allowOverlap="1" wp14:anchorId="0EEBD309" wp14:editId="58711D23">
                      <wp:simplePos x="0" y="0"/>
                      <wp:positionH relativeFrom="column">
                        <wp:posOffset>141605</wp:posOffset>
                      </wp:positionH>
                      <wp:positionV relativeFrom="paragraph">
                        <wp:posOffset>2204085</wp:posOffset>
                      </wp:positionV>
                      <wp:extent cx="680085" cy="427355"/>
                      <wp:effectExtent l="0" t="0" r="5715" b="0"/>
                      <wp:wrapNone/>
                      <wp:docPr id="867719979" name="Text Box 3"/>
                      <wp:cNvGraphicFramePr/>
                      <a:graphic xmlns:a="http://schemas.openxmlformats.org/drawingml/2006/main">
                        <a:graphicData uri="http://schemas.microsoft.com/office/word/2010/wordprocessingShape">
                          <wps:wsp>
                            <wps:cNvSpPr txBox="1"/>
                            <wps:spPr>
                              <a:xfrm>
                                <a:off x="0" y="0"/>
                                <a:ext cx="680085" cy="427355"/>
                              </a:xfrm>
                              <a:prstGeom prst="rect">
                                <a:avLst/>
                              </a:prstGeom>
                              <a:solidFill>
                                <a:sysClr val="window" lastClr="FFFFFF"/>
                              </a:solidFill>
                              <a:ln w="6350">
                                <a:noFill/>
                              </a:ln>
                            </wps:spPr>
                            <wps:txbx>
                              <w:txbxContent>
                                <w:p w14:paraId="51D68659" w14:textId="77777777" w:rsidR="0085581F" w:rsidRPr="003E5FB9" w:rsidRDefault="0085581F" w:rsidP="0085581F">
                                  <w:pPr>
                                    <w:jc w:val="center"/>
                                    <w:rPr>
                                      <w:rFonts w:ascii="Ploni ML Medium AAA Medium" w:hAnsi="Ploni ML Medium AAA Medium" w:cs="Ploni ML Medium AAA Medium"/>
                                    </w:rPr>
                                  </w:pPr>
                                  <w:r w:rsidRPr="003E5FB9">
                                    <w:rPr>
                                      <w:rFonts w:ascii="Ploni ML Medium AAA Medium" w:hAnsi="Ploni ML Medium AAA Medium" w:cs="Ploni ML Medium AAA Medium"/>
                                    </w:rPr>
                                    <w:t>Central Europe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BD309" id="_x0000_t202" coordsize="21600,21600" o:spt="202" path="m,l,21600r21600,l21600,xe">
                      <v:stroke joinstyle="miter"/>
                      <v:path gradientshapeok="t" o:connecttype="rect"/>
                    </v:shapetype>
                    <v:shape id="Text Box 3" o:spid="_x0000_s1026" type="#_x0000_t202" style="position:absolute;left:0;text-align:left;margin-left:11.15pt;margin-top:173.55pt;width:53.55pt;height:3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" fillcolor="window" stroked="f" strokeweight=".5pt">
                      <v:textbox inset="0,0,0,0">
                        <w:txbxContent>
                          <w:p w14:paraId="51D68659" w14:textId="77777777" w:rsidR="0085581F" w:rsidRPr="003E5FB9" w:rsidRDefault="0085581F" w:rsidP="0085581F">
                            <w:pPr>
                              <w:jc w:val="center"/>
                              <w:rPr>
                                <w:rFonts w:ascii="Ploni ML Medium AAA Medium" w:hAnsi="Ploni ML Medium AAA Medium" w:cs="Ploni ML Medium AAA Medium"/>
                              </w:rPr>
                            </w:pPr>
                            <w:r w:rsidRPr="003E5FB9">
                              <w:rPr>
                                <w:rFonts w:ascii="Ploni ML Medium AAA Medium" w:hAnsi="Ploni ML Medium AAA Medium" w:cs="Ploni ML Medium AAA Medium"/>
                              </w:rPr>
                              <w:t>Central Europe</w:t>
                            </w:r>
                          </w:p>
                        </w:txbxContent>
                      </v:textbox>
                    </v:shape>
                  </w:pict>
                </mc:Fallback>
              </mc:AlternateContent>
            </w:r>
            <w:r w:rsidRPr="0085581F">
              <w:rPr>
                <w:rFonts w:asciiTheme="majorBidi" w:hAnsiTheme="majorBidi" w:cstheme="majorBidi"/>
                <w:noProof/>
              </w:rPr>
              <mc:AlternateContent>
                <mc:Choice Requires="wps">
                  <w:drawing>
                    <wp:anchor distT="0" distB="0" distL="114300" distR="114300" simplePos="0" relativeHeight="251689984" behindDoc="0" locked="0" layoutInCell="1" allowOverlap="1" wp14:anchorId="15B98C66" wp14:editId="6DE5A672">
                      <wp:simplePos x="0" y="0"/>
                      <wp:positionH relativeFrom="column">
                        <wp:posOffset>5418455</wp:posOffset>
                      </wp:positionH>
                      <wp:positionV relativeFrom="paragraph">
                        <wp:posOffset>2207895</wp:posOffset>
                      </wp:positionV>
                      <wp:extent cx="680085" cy="427355"/>
                      <wp:effectExtent l="0" t="0" r="5715" b="0"/>
                      <wp:wrapNone/>
                      <wp:docPr id="760458606" name="Text Box 3"/>
                      <wp:cNvGraphicFramePr/>
                      <a:graphic xmlns:a="http://schemas.openxmlformats.org/drawingml/2006/main">
                        <a:graphicData uri="http://schemas.microsoft.com/office/word/2010/wordprocessingShape">
                          <wps:wsp>
                            <wps:cNvSpPr txBox="1"/>
                            <wps:spPr>
                              <a:xfrm>
                                <a:off x="0" y="0"/>
                                <a:ext cx="680085" cy="427355"/>
                              </a:xfrm>
                              <a:prstGeom prst="rect">
                                <a:avLst/>
                              </a:prstGeom>
                              <a:solidFill>
                                <a:sysClr val="window" lastClr="FFFFFF"/>
                              </a:solidFill>
                              <a:ln w="6350">
                                <a:noFill/>
                              </a:ln>
                            </wps:spPr>
                            <wps:txbx>
                              <w:txbxContent>
                                <w:p w14:paraId="5F336831" w14:textId="77777777" w:rsidR="0085581F" w:rsidRPr="003E5FB9" w:rsidRDefault="0085581F" w:rsidP="0085581F">
                                  <w:pPr>
                                    <w:jc w:val="center"/>
                                    <w:rPr>
                                      <w:rFonts w:ascii="Ploni ML Medium AAA Medium" w:hAnsi="Ploni ML Medium AAA Medium" w:cs="Ploni ML Medium AAA Medium"/>
                                    </w:rPr>
                                  </w:pPr>
                                  <w:r w:rsidRPr="003E5FB9">
                                    <w:rPr>
                                      <w:rFonts w:ascii="Ploni ML Medium AAA Medium" w:hAnsi="Ploni ML Medium AAA Medium" w:cs="Ploni ML Medium AAA Medium"/>
                                    </w:rPr>
                                    <w:t>Northern Europe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98C66" id="_x0000_s1027" type="#_x0000_t202" style="position:absolute;left:0;text-align:left;margin-left:426.65pt;margin-top:173.85pt;width:53.55pt;height:3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" fillcolor="window" stroked="f" strokeweight=".5pt">
                      <v:textbox inset="0,0,0,0">
                        <w:txbxContent>
                          <w:p w14:paraId="5F336831" w14:textId="77777777" w:rsidR="0085581F" w:rsidRPr="003E5FB9" w:rsidRDefault="0085581F" w:rsidP="0085581F">
                            <w:pPr>
                              <w:jc w:val="center"/>
                              <w:rPr>
                                <w:rFonts w:ascii="Ploni ML Medium AAA Medium" w:hAnsi="Ploni ML Medium AAA Medium" w:cs="Ploni ML Medium AAA Medium"/>
                              </w:rPr>
                            </w:pPr>
                            <w:r w:rsidRPr="003E5FB9">
                              <w:rPr>
                                <w:rFonts w:ascii="Ploni ML Medium AAA Medium" w:hAnsi="Ploni ML Medium AAA Medium" w:cs="Ploni ML Medium AAA Medium"/>
                              </w:rPr>
                              <w:t>Northern Europe</w:t>
                            </w:r>
                          </w:p>
                        </w:txbxContent>
                      </v:textbox>
                    </v:shape>
                  </w:pict>
                </mc:Fallback>
              </mc:AlternateContent>
            </w:r>
            <w:r w:rsidR="0085581F" w:rsidRPr="0085581F">
              <w:rPr>
                <w:rFonts w:asciiTheme="majorBidi" w:hAnsiTheme="majorBidi" w:cstheme="majorBidi"/>
                <w:noProof/>
              </w:rPr>
              <mc:AlternateContent>
                <mc:Choice Requires="wps">
                  <w:drawing>
                    <wp:anchor distT="0" distB="0" distL="114300" distR="114300" simplePos="0" relativeHeight="251691008" behindDoc="0" locked="0" layoutInCell="1" allowOverlap="1" wp14:anchorId="5384F0C6" wp14:editId="1DBBB823">
                      <wp:simplePos x="0" y="0"/>
                      <wp:positionH relativeFrom="column">
                        <wp:posOffset>4358564</wp:posOffset>
                      </wp:positionH>
                      <wp:positionV relativeFrom="paragraph">
                        <wp:posOffset>2279675</wp:posOffset>
                      </wp:positionV>
                      <wp:extent cx="680085" cy="285293"/>
                      <wp:effectExtent l="0" t="0" r="5715" b="635"/>
                      <wp:wrapNone/>
                      <wp:docPr id="1614781627" name="Text Box 3"/>
                      <wp:cNvGraphicFramePr/>
                      <a:graphic xmlns:a="http://schemas.openxmlformats.org/drawingml/2006/main">
                        <a:graphicData uri="http://schemas.microsoft.com/office/word/2010/wordprocessingShape">
                          <wps:wsp>
                            <wps:cNvSpPr txBox="1"/>
                            <wps:spPr>
                              <a:xfrm>
                                <a:off x="0" y="0"/>
                                <a:ext cx="680085" cy="285293"/>
                              </a:xfrm>
                              <a:prstGeom prst="rect">
                                <a:avLst/>
                              </a:prstGeom>
                              <a:solidFill>
                                <a:sysClr val="window" lastClr="FFFFFF"/>
                              </a:solidFill>
                              <a:ln w="6350">
                                <a:noFill/>
                              </a:ln>
                            </wps:spPr>
                            <wps:txbx>
                              <w:txbxContent>
                                <w:p w14:paraId="6A44746D" w14:textId="77777777" w:rsidR="0085581F" w:rsidRPr="003E5FB9" w:rsidRDefault="0085581F" w:rsidP="0085581F">
                                  <w:pPr>
                                    <w:jc w:val="center"/>
                                    <w:rPr>
                                      <w:rFonts w:ascii="Ploni ML Medium AAA Medium" w:hAnsi="Ploni ML Medium AAA Medium" w:cs="Ploni ML Medium AAA Medium"/>
                                    </w:rPr>
                                  </w:pPr>
                                  <w:r w:rsidRPr="003E5FB9">
                                    <w:rPr>
                                      <w:rFonts w:ascii="Ploni ML Medium AAA Medium" w:hAnsi="Ploni ML Medium AAA Medium" w:cs="Ploni ML Medium AAA Medium"/>
                                    </w:rPr>
                                    <w:t>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4F0C6" id="_x0000_s1028" type="#_x0000_t202" style="position:absolute;left:0;text-align:left;margin-left:343.2pt;margin-top:179.5pt;width:53.55pt;height:2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" fillcolor="window" stroked="f" strokeweight=".5pt">
                      <v:textbox inset="0,0,0,0">
                        <w:txbxContent>
                          <w:p w14:paraId="6A44746D" w14:textId="77777777" w:rsidR="0085581F" w:rsidRPr="003E5FB9" w:rsidRDefault="0085581F" w:rsidP="0085581F">
                            <w:pPr>
                              <w:jc w:val="center"/>
                              <w:rPr>
                                <w:rFonts w:ascii="Ploni ML Medium AAA Medium" w:hAnsi="Ploni ML Medium AAA Medium" w:cs="Ploni ML Medium AAA Medium"/>
                              </w:rPr>
                            </w:pPr>
                            <w:r w:rsidRPr="003E5FB9">
                              <w:rPr>
                                <w:rFonts w:ascii="Ploni ML Medium AAA Medium" w:hAnsi="Ploni ML Medium AAA Medium" w:cs="Ploni ML Medium AAA Medium"/>
                              </w:rPr>
                              <w:t>Canada</w:t>
                            </w:r>
                          </w:p>
                        </w:txbxContent>
                      </v:textbox>
                    </v:shape>
                  </w:pict>
                </mc:Fallback>
              </mc:AlternateContent>
            </w:r>
            <w:r w:rsidR="0085581F" w:rsidRPr="0085581F">
              <w:rPr>
                <w:rFonts w:asciiTheme="majorBidi" w:hAnsiTheme="majorBidi" w:cstheme="majorBidi"/>
                <w:noProof/>
              </w:rPr>
              <mc:AlternateContent>
                <mc:Choice Requires="wps">
                  <w:drawing>
                    <wp:anchor distT="0" distB="0" distL="114300" distR="114300" simplePos="0" relativeHeight="251688960" behindDoc="0" locked="0" layoutInCell="1" allowOverlap="1" wp14:anchorId="1E08E530" wp14:editId="6E5E0FF5">
                      <wp:simplePos x="0" y="0"/>
                      <wp:positionH relativeFrom="column">
                        <wp:posOffset>3356203</wp:posOffset>
                      </wp:positionH>
                      <wp:positionV relativeFrom="paragraph">
                        <wp:posOffset>2308784</wp:posOffset>
                      </wp:positionV>
                      <wp:extent cx="599847" cy="248716"/>
                      <wp:effectExtent l="0" t="0" r="0" b="0"/>
                      <wp:wrapNone/>
                      <wp:docPr id="1640240875" name="Text Box 3"/>
                      <wp:cNvGraphicFramePr/>
                      <a:graphic xmlns:a="http://schemas.openxmlformats.org/drawingml/2006/main">
                        <a:graphicData uri="http://schemas.microsoft.com/office/word/2010/wordprocessingShape">
                          <wps:wsp>
                            <wps:cNvSpPr txBox="1"/>
                            <wps:spPr>
                              <a:xfrm>
                                <a:off x="0" y="0"/>
                                <a:ext cx="599847" cy="248716"/>
                              </a:xfrm>
                              <a:prstGeom prst="rect">
                                <a:avLst/>
                              </a:prstGeom>
                              <a:solidFill>
                                <a:sysClr val="window" lastClr="FFFFFF"/>
                              </a:solidFill>
                              <a:ln w="6350">
                                <a:noFill/>
                              </a:ln>
                            </wps:spPr>
                            <wps:txbx>
                              <w:txbxContent>
                                <w:p w14:paraId="5230FD89" w14:textId="77777777" w:rsidR="0085581F" w:rsidRPr="003E5FB9" w:rsidRDefault="0085581F" w:rsidP="0085581F">
                                  <w:pPr>
                                    <w:jc w:val="center"/>
                                    <w:rPr>
                                      <w:rFonts w:ascii="Ploni ML Medium AAA Medium" w:hAnsi="Ploni ML Medium AAA Medium" w:cs="Ploni ML Medium AAA Medium"/>
                                    </w:rPr>
                                  </w:pPr>
                                  <w:r w:rsidRPr="003E5FB9">
                                    <w:rPr>
                                      <w:rFonts w:ascii="Ploni ML Medium AAA Medium" w:hAnsi="Ploni ML Medium AAA Medium" w:cs="Ploni ML Medium AAA Medium"/>
                                    </w:rPr>
                                    <w:t>Brazil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8E530" id="_x0000_s1029" type="#_x0000_t202" style="position:absolute;left:0;text-align:left;margin-left:264.25pt;margin-top:181.8pt;width:47.25pt;height:1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" fillcolor="window" stroked="f" strokeweight=".5pt">
                      <v:textbox inset="0,0,0,0">
                        <w:txbxContent>
                          <w:p w14:paraId="5230FD89" w14:textId="77777777" w:rsidR="0085581F" w:rsidRPr="003E5FB9" w:rsidRDefault="0085581F" w:rsidP="0085581F">
                            <w:pPr>
                              <w:jc w:val="center"/>
                              <w:rPr>
                                <w:rFonts w:ascii="Ploni ML Medium AAA Medium" w:hAnsi="Ploni ML Medium AAA Medium" w:cs="Ploni ML Medium AAA Medium"/>
                              </w:rPr>
                            </w:pPr>
                            <w:r w:rsidRPr="003E5FB9">
                              <w:rPr>
                                <w:rFonts w:ascii="Ploni ML Medium AAA Medium" w:hAnsi="Ploni ML Medium AAA Medium" w:cs="Ploni ML Medium AAA Medium"/>
                              </w:rPr>
                              <w:t>Brazil</w:t>
                            </w:r>
                          </w:p>
                        </w:txbxContent>
                      </v:textbox>
                    </v:shape>
                  </w:pict>
                </mc:Fallback>
              </mc:AlternateContent>
            </w:r>
            <w:r w:rsidR="0085581F" w:rsidRPr="0085581F">
              <w:rPr>
                <w:rFonts w:asciiTheme="majorBidi" w:hAnsiTheme="majorBidi" w:cstheme="majorBidi"/>
                <w:noProof/>
              </w:rPr>
              <mc:AlternateContent>
                <mc:Choice Requires="wps">
                  <w:drawing>
                    <wp:anchor distT="0" distB="0" distL="114300" distR="114300" simplePos="0" relativeHeight="251686912" behindDoc="0" locked="0" layoutInCell="1" allowOverlap="1" wp14:anchorId="694281AA" wp14:editId="37754CD8">
                      <wp:simplePos x="0" y="0"/>
                      <wp:positionH relativeFrom="column">
                        <wp:posOffset>2288464</wp:posOffset>
                      </wp:positionH>
                      <wp:positionV relativeFrom="paragraph">
                        <wp:posOffset>2314499</wp:posOffset>
                      </wp:positionV>
                      <wp:extent cx="607111" cy="219075"/>
                      <wp:effectExtent l="0" t="0" r="2540" b="9525"/>
                      <wp:wrapNone/>
                      <wp:docPr id="96995625" name="Text Box 3"/>
                      <wp:cNvGraphicFramePr/>
                      <a:graphic xmlns:a="http://schemas.openxmlformats.org/drawingml/2006/main">
                        <a:graphicData uri="http://schemas.microsoft.com/office/word/2010/wordprocessingShape">
                          <wps:wsp>
                            <wps:cNvSpPr txBox="1"/>
                            <wps:spPr>
                              <a:xfrm>
                                <a:off x="0" y="0"/>
                                <a:ext cx="607111" cy="219075"/>
                              </a:xfrm>
                              <a:prstGeom prst="rect">
                                <a:avLst/>
                              </a:prstGeom>
                              <a:solidFill>
                                <a:sysClr val="window" lastClr="FFFFFF"/>
                              </a:solidFill>
                              <a:ln w="6350">
                                <a:noFill/>
                              </a:ln>
                            </wps:spPr>
                            <wps:txbx>
                              <w:txbxContent>
                                <w:p w14:paraId="3C7B5387" w14:textId="77777777" w:rsidR="0085581F" w:rsidRPr="003E5FB9" w:rsidRDefault="0085581F" w:rsidP="0085581F">
                                  <w:pPr>
                                    <w:jc w:val="center"/>
                                    <w:rPr>
                                      <w:rFonts w:ascii="Ploni ML Medium AAA Medium" w:hAnsi="Ploni ML Medium AAA Medium" w:cs="Ploni ML Medium AAA Medium"/>
                                    </w:rPr>
                                  </w:pPr>
                                  <w:r w:rsidRPr="003E5FB9">
                                    <w:rPr>
                                      <w:rFonts w:ascii="Ploni ML Medium AAA Medium" w:hAnsi="Ploni ML Medium AAA Medium" w:cs="Ploni ML Medium AAA Medium"/>
                                    </w:rPr>
                                    <w:t>USA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281AA" id="_x0000_s1030" type="#_x0000_t202" style="position:absolute;left:0;text-align:left;margin-left:180.2pt;margin-top:182.25pt;width:47.8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" fillcolor="window" stroked="f" strokeweight=".5pt">
                      <v:textbox inset="0,0,0,0">
                        <w:txbxContent>
                          <w:p w14:paraId="3C7B5387" w14:textId="77777777" w:rsidR="0085581F" w:rsidRPr="003E5FB9" w:rsidRDefault="0085581F" w:rsidP="0085581F">
                            <w:pPr>
                              <w:jc w:val="center"/>
                              <w:rPr>
                                <w:rFonts w:ascii="Ploni ML Medium AAA Medium" w:hAnsi="Ploni ML Medium AAA Medium" w:cs="Ploni ML Medium AAA Medium"/>
                              </w:rPr>
                            </w:pPr>
                            <w:r w:rsidRPr="003E5FB9">
                              <w:rPr>
                                <w:rFonts w:ascii="Ploni ML Medium AAA Medium" w:hAnsi="Ploni ML Medium AAA Medium" w:cs="Ploni ML Medium AAA Medium"/>
                              </w:rPr>
                              <w:t>USA</w:t>
                            </w:r>
                          </w:p>
                        </w:txbxContent>
                      </v:textbox>
                    </v:shape>
                  </w:pict>
                </mc:Fallback>
              </mc:AlternateContent>
            </w:r>
            <w:r w:rsidR="0085581F" w:rsidRPr="0085581F">
              <w:rPr>
                <w:rFonts w:asciiTheme="majorBidi" w:hAnsiTheme="majorBidi" w:cstheme="majorBidi"/>
                <w:noProof/>
              </w:rPr>
              <mc:AlternateContent>
                <mc:Choice Requires="wps">
                  <w:drawing>
                    <wp:anchor distT="0" distB="0" distL="114300" distR="114300" simplePos="0" relativeHeight="251687936" behindDoc="0" locked="0" layoutInCell="1" allowOverlap="1" wp14:anchorId="2A11DE80" wp14:editId="2609CC4A">
                      <wp:simplePos x="0" y="0"/>
                      <wp:positionH relativeFrom="column">
                        <wp:posOffset>1213510</wp:posOffset>
                      </wp:positionH>
                      <wp:positionV relativeFrom="paragraph">
                        <wp:posOffset>2280743</wp:posOffset>
                      </wp:positionV>
                      <wp:extent cx="585216" cy="241402"/>
                      <wp:effectExtent l="0" t="0" r="5715" b="6350"/>
                      <wp:wrapNone/>
                      <wp:docPr id="1846229662" name="Text Box 3"/>
                      <wp:cNvGraphicFramePr/>
                      <a:graphic xmlns:a="http://schemas.openxmlformats.org/drawingml/2006/main">
                        <a:graphicData uri="http://schemas.microsoft.com/office/word/2010/wordprocessingShape">
                          <wps:wsp>
                            <wps:cNvSpPr txBox="1"/>
                            <wps:spPr>
                              <a:xfrm>
                                <a:off x="0" y="0"/>
                                <a:ext cx="585216" cy="241402"/>
                              </a:xfrm>
                              <a:prstGeom prst="rect">
                                <a:avLst/>
                              </a:prstGeom>
                              <a:solidFill>
                                <a:sysClr val="window" lastClr="FFFFFF"/>
                              </a:solidFill>
                              <a:ln w="6350">
                                <a:noFill/>
                              </a:ln>
                            </wps:spPr>
                            <wps:txbx>
                              <w:txbxContent>
                                <w:p w14:paraId="624024F4" w14:textId="77777777" w:rsidR="0085581F" w:rsidRPr="003E5FB9" w:rsidRDefault="0085581F" w:rsidP="0085581F">
                                  <w:pPr>
                                    <w:jc w:val="center"/>
                                    <w:rPr>
                                      <w:rFonts w:ascii="Ploni ML Medium AAA Medium" w:hAnsi="Ploni ML Medium AAA Medium" w:cs="Ploni ML Medium AAA Medium"/>
                                    </w:rPr>
                                  </w:pPr>
                                  <w:r w:rsidRPr="003E5FB9">
                                    <w:rPr>
                                      <w:rFonts w:ascii="Ploni ML Medium AAA Medium" w:hAnsi="Ploni ML Medium AAA Medium" w:cs="Ploni ML Medium AAA Medium"/>
                                    </w:rPr>
                                    <w:t>Israel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1DE80" id="_x0000_s1031" type="#_x0000_t202" style="position:absolute;left:0;text-align:left;margin-left:95.55pt;margin-top:179.6pt;width:46.1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" fillcolor="window" stroked="f" strokeweight=".5pt">
                      <v:textbox inset="0,0,0,0">
                        <w:txbxContent>
                          <w:p w14:paraId="624024F4" w14:textId="77777777" w:rsidR="0085581F" w:rsidRPr="003E5FB9" w:rsidRDefault="0085581F" w:rsidP="0085581F">
                            <w:pPr>
                              <w:jc w:val="center"/>
                              <w:rPr>
                                <w:rFonts w:ascii="Ploni ML Medium AAA Medium" w:hAnsi="Ploni ML Medium AAA Medium" w:cs="Ploni ML Medium AAA Medium"/>
                              </w:rPr>
                            </w:pPr>
                            <w:r w:rsidRPr="003E5FB9">
                              <w:rPr>
                                <w:rFonts w:ascii="Ploni ML Medium AAA Medium" w:hAnsi="Ploni ML Medium AAA Medium" w:cs="Ploni ML Medium AAA Medium"/>
                              </w:rPr>
                              <w:t>Israel</w:t>
                            </w:r>
                          </w:p>
                        </w:txbxContent>
                      </v:textbox>
                    </v:shape>
                  </w:pict>
                </mc:Fallback>
              </mc:AlternateContent>
            </w:r>
            <w:r w:rsidR="0085581F" w:rsidRPr="0085581F">
              <w:rPr>
                <w:rFonts w:asciiTheme="majorBidi" w:hAnsiTheme="majorBidi" w:cstheme="majorBidi"/>
                <w:noProof/>
              </w:rPr>
              <w:drawing>
                <wp:inline distT="0" distB="0" distL="0" distR="0" wp14:anchorId="4420D661" wp14:editId="3ACD116B">
                  <wp:extent cx="6296025" cy="3971925"/>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3"/>
                          <a:stretch>
                            <a:fillRect/>
                          </a:stretch>
                        </pic:blipFill>
                        <pic:spPr>
                          <a:xfrm>
                            <a:off x="0" y="0"/>
                            <a:ext cx="6296025" cy="3971925"/>
                          </a:xfrm>
                          <a:prstGeom prst="rect">
                            <a:avLst/>
                          </a:prstGeom>
                        </pic:spPr>
                      </pic:pic>
                    </a:graphicData>
                  </a:graphic>
                </wp:inline>
              </w:drawing>
            </w:r>
          </w:p>
        </w:tc>
      </w:tr>
    </w:tbl>
    <w:p w14:paraId="48F84D23" w14:textId="77777777" w:rsidR="0085581F" w:rsidRPr="0085581F" w:rsidRDefault="0085581F" w:rsidP="0085581F">
      <w:pPr>
        <w:keepLines/>
        <w:tabs>
          <w:tab w:val="left" w:pos="1133"/>
        </w:tabs>
        <w:contextualSpacing/>
        <w:rPr>
          <w:rFonts w:asciiTheme="majorBidi" w:hAnsiTheme="majorBidi" w:cstheme="majorBidi"/>
          <w:noProof/>
          <w:sz w:val="21"/>
          <w:szCs w:val="21"/>
          <w:vertAlign w:val="superscript"/>
          <w:lang w:eastAsia="en-AU"/>
        </w:rPr>
      </w:pPr>
    </w:p>
    <w:p w14:paraId="78B4190B" w14:textId="77777777" w:rsidR="0085581F" w:rsidRPr="0085581F" w:rsidRDefault="0085581F" w:rsidP="0085581F">
      <w:pPr>
        <w:pageBreakBefore/>
        <w:tabs>
          <w:tab w:val="left" w:pos="425"/>
          <w:tab w:val="left" w:pos="1133"/>
        </w:tabs>
        <w:outlineLvl w:val="3"/>
        <w:rPr>
          <w:rFonts w:asciiTheme="majorBidi" w:hAnsiTheme="majorBidi" w:cstheme="majorBidi"/>
          <w:sz w:val="21"/>
          <w:szCs w:val="21"/>
        </w:rPr>
      </w:pPr>
      <w:bookmarkStart w:id="16" w:name="RG_MARKER_56698"/>
      <w:bookmarkStart w:id="17" w:name="H4_15_______דגשים_לרבעון_הDQtrNam_של_שנת"/>
      <w:bookmarkEnd w:id="16"/>
      <w:r w:rsidRPr="0085581F">
        <w:rPr>
          <w:rFonts w:asciiTheme="majorBidi" w:hAnsiTheme="majorBidi" w:cstheme="majorBidi"/>
          <w:sz w:val="21"/>
        </w:rPr>
        <w:lastRenderedPageBreak/>
        <w:t>1.7.</w:t>
      </w:r>
      <w:r w:rsidRPr="0085581F">
        <w:rPr>
          <w:rFonts w:asciiTheme="majorBidi" w:hAnsiTheme="majorBidi" w:cstheme="majorBidi"/>
          <w:sz w:val="21"/>
        </w:rPr>
        <w:tab/>
        <w:t>Highlights - Second Quarter of 2024 (the “Quarter”)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85581F" w:rsidRPr="0085581F" w14:paraId="4696F12F" w14:textId="77777777" w:rsidTr="00A65A6F">
        <w:trPr>
          <w:cantSplit/>
        </w:trPr>
        <w:tc>
          <w:tcPr>
            <w:tcW w:w="5000" w:type="pct"/>
          </w:tcPr>
          <w:tbl>
            <w:tblPr>
              <w:tblStyle w:val="CDMRange120"/>
              <w:tblW w:w="9706" w:type="dxa"/>
              <w:tblLook w:val="0600" w:firstRow="0" w:lastRow="0" w:firstColumn="0" w:lastColumn="0" w:noHBand="1" w:noVBand="1"/>
              <w:tblCaption w:val="Print_Area"/>
            </w:tblPr>
            <w:tblGrid>
              <w:gridCol w:w="569"/>
              <w:gridCol w:w="5143"/>
              <w:gridCol w:w="1331"/>
              <w:gridCol w:w="1470"/>
              <w:gridCol w:w="1193"/>
            </w:tblGrid>
            <w:tr w:rsidR="0085581F" w:rsidRPr="0085581F" w14:paraId="24090042" w14:textId="77777777" w:rsidTr="00A65A6F">
              <w:trPr>
                <w:trHeight w:val="300"/>
              </w:trPr>
              <w:tc>
                <w:tcPr>
                  <w:tcW w:w="5727" w:type="dxa"/>
                  <w:gridSpan w:val="2"/>
                  <w:tcBorders>
                    <w:top w:val="nil"/>
                    <w:left w:val="nil"/>
                    <w:bottom w:val="single" w:sz="4" w:space="0" w:color="000000"/>
                    <w:right w:val="nil"/>
                    <w:tl2br w:val="nil"/>
                    <w:tr2bl w:val="nil"/>
                  </w:tcBorders>
                  <w:shd w:val="clear" w:color="FFFFFF" w:fill="071435"/>
                  <w:tcMar>
                    <w:left w:w="40" w:type="dxa"/>
                    <w:right w:w="175" w:type="dxa"/>
                  </w:tcMar>
                  <w:vAlign w:val="center"/>
                </w:tcPr>
                <w:p w14:paraId="3031B954"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rPr>
                  </w:pPr>
                  <w:r w:rsidRPr="0085581F">
                    <w:rPr>
                      <w:rFonts w:asciiTheme="majorBidi" w:hAnsiTheme="majorBidi" w:cstheme="majorBidi"/>
                      <w:b/>
                      <w:color w:val="FFFFFF"/>
                    </w:rPr>
                    <w:t>(NIS millions, other than per share data)</w:t>
                  </w:r>
                </w:p>
              </w:tc>
              <w:tc>
                <w:tcPr>
                  <w:tcW w:w="1326" w:type="dxa"/>
                  <w:tcBorders>
                    <w:top w:val="nil"/>
                    <w:left w:val="nil"/>
                    <w:bottom w:val="single" w:sz="4" w:space="0" w:color="000000"/>
                    <w:right w:val="nil"/>
                    <w:tl2br w:val="nil"/>
                    <w:tr2bl w:val="nil"/>
                  </w:tcBorders>
                  <w:shd w:val="clear" w:color="FFFFFF" w:fill="071435"/>
                  <w:tcMar>
                    <w:left w:w="40" w:type="dxa"/>
                    <w:right w:w="40" w:type="dxa"/>
                  </w:tcMar>
                  <w:vAlign w:val="bottom"/>
                </w:tcPr>
                <w:p w14:paraId="7E9F8894"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June 30</w:t>
                  </w:r>
                </w:p>
              </w:tc>
              <w:tc>
                <w:tcPr>
                  <w:tcW w:w="1466" w:type="dxa"/>
                  <w:tcBorders>
                    <w:top w:val="nil"/>
                    <w:left w:val="nil"/>
                    <w:bottom w:val="single" w:sz="4" w:space="0" w:color="000000"/>
                    <w:right w:val="nil"/>
                    <w:tl2br w:val="nil"/>
                    <w:tr2bl w:val="nil"/>
                  </w:tcBorders>
                  <w:shd w:val="clear" w:color="FFFFFF" w:fill="071435"/>
                  <w:tcMar>
                    <w:left w:w="40" w:type="dxa"/>
                    <w:right w:w="40" w:type="dxa"/>
                  </w:tcMar>
                  <w:vAlign w:val="bottom"/>
                </w:tcPr>
                <w:p w14:paraId="49479764"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rPr>
                  </w:pPr>
                  <w:r w:rsidRPr="0085581F">
                    <w:rPr>
                      <w:rFonts w:asciiTheme="majorBidi" w:hAnsiTheme="majorBidi" w:cstheme="majorBidi"/>
                      <w:b/>
                      <w:color w:val="FFFFFF"/>
                    </w:rPr>
                    <w:t>December 31</w:t>
                  </w:r>
                </w:p>
              </w:tc>
              <w:tc>
                <w:tcPr>
                  <w:tcW w:w="1187" w:type="dxa"/>
                  <w:tcBorders>
                    <w:top w:val="nil"/>
                    <w:left w:val="nil"/>
                    <w:bottom w:val="single" w:sz="4" w:space="0" w:color="000000"/>
                    <w:right w:val="nil"/>
                    <w:tl2br w:val="nil"/>
                    <w:tr2bl w:val="nil"/>
                  </w:tcBorders>
                  <w:shd w:val="clear" w:color="FFFFFF" w:fill="071435"/>
                  <w:tcMar>
                    <w:left w:w="0" w:type="dxa"/>
                    <w:right w:w="0" w:type="dxa"/>
                  </w:tcMar>
                  <w:vAlign w:val="bottom"/>
                </w:tcPr>
                <w:p w14:paraId="5A87BA75"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rPr>
                  </w:pPr>
                </w:p>
              </w:tc>
            </w:tr>
            <w:tr w:rsidR="0085581F" w:rsidRPr="0085581F" w14:paraId="7AD5BD6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6"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85BB115"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5171"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0A52295"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A2C9190"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u w:val="single"/>
                    </w:rPr>
                  </w:pPr>
                  <w:r w:rsidRPr="0085581F">
                    <w:rPr>
                      <w:rFonts w:asciiTheme="majorBidi" w:hAnsiTheme="majorBidi" w:cstheme="majorBidi"/>
                      <w:b/>
                      <w:color w:val="000000"/>
                      <w:sz w:val="21"/>
                      <w:u w:val="single"/>
                    </w:rPr>
                    <w:t>2024</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AD8F636"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u w:val="single"/>
                    </w:rPr>
                  </w:pPr>
                  <w:r w:rsidRPr="0085581F">
                    <w:rPr>
                      <w:rFonts w:asciiTheme="majorBidi" w:hAnsiTheme="majorBidi" w:cstheme="majorBidi"/>
                      <w:b/>
                      <w:color w:val="000000"/>
                      <w:sz w:val="21"/>
                      <w:u w:val="single"/>
                    </w:rPr>
                    <w:t>2023</w:t>
                  </w:r>
                </w:p>
              </w:tc>
              <w:tc>
                <w:tcPr>
                  <w:tcW w:w="1187"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06A5899"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u w:val="single"/>
                    </w:rPr>
                  </w:pPr>
                </w:p>
              </w:tc>
            </w:tr>
            <w:tr w:rsidR="0085581F" w:rsidRPr="0085581F" w14:paraId="6403279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74CFC765"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Net debt to total assets ratio (expanded separate information)</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22169B2"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66.3%</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6E0C32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66.6%</w:t>
                  </w:r>
                </w:p>
              </w:tc>
              <w:tc>
                <w:tcPr>
                  <w:tcW w:w="1187"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7AC9CA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
              </w:tc>
            </w:tr>
            <w:tr w:rsidR="0085581F" w:rsidRPr="0085581F" w14:paraId="402481B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8135D31"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Net debt to balance sheet ratio (consolidated) </w:t>
                  </w:r>
                  <w:r w:rsidRPr="0085581F">
                    <w:rPr>
                      <w:rFonts w:asciiTheme="majorBidi" w:hAnsiTheme="majorBidi" w:cstheme="majorBidi"/>
                      <w:color w:val="000000"/>
                      <w:sz w:val="21"/>
                      <w:vertAlign w:val="superscript"/>
                    </w:rPr>
                    <w:t>1</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9EB129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61.4%</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A360DD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62.0%</w:t>
                  </w:r>
                </w:p>
              </w:tc>
              <w:tc>
                <w:tcPr>
                  <w:tcW w:w="1187"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6BEC8A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
              </w:tc>
            </w:tr>
            <w:tr w:rsidR="0085581F" w:rsidRPr="0085581F" w14:paraId="217004D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539020AB"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Equity attributable to equity holders of the Company</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B4210E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4,925</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08EF3B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4,837</w:t>
                  </w:r>
                </w:p>
              </w:tc>
              <w:tc>
                <w:tcPr>
                  <w:tcW w:w="1187"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727804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
              </w:tc>
            </w:tr>
            <w:tr w:rsidR="0085581F" w:rsidRPr="0085581F" w14:paraId="65220A9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177AEE2"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Equity per share attributable to shareholders of the Company (NIS)</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77D061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26.6</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25E9E95"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26.0</w:t>
                  </w:r>
                </w:p>
              </w:tc>
              <w:tc>
                <w:tcPr>
                  <w:tcW w:w="1187"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2F67CE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
              </w:tc>
            </w:tr>
            <w:tr w:rsidR="0085581F" w:rsidRPr="0085581F" w14:paraId="5901CBE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27" w:type="dxa"/>
                  <w:gridSpan w:val="2"/>
                  <w:tcBorders>
                    <w:top w:val="single" w:sz="4" w:space="0" w:color="000000"/>
                    <w:left w:val="nil"/>
                    <w:bottom w:val="single" w:sz="4" w:space="0" w:color="000000"/>
                    <w:right w:val="nil"/>
                    <w:tl2br w:val="nil"/>
                    <w:tr2bl w:val="nil"/>
                  </w:tcBorders>
                  <w:shd w:val="clear" w:color="FFFFFF" w:fill="071435"/>
                  <w:tcMar>
                    <w:left w:w="0" w:type="dxa"/>
                    <w:right w:w="0" w:type="dxa"/>
                  </w:tcMar>
                  <w:vAlign w:val="bottom"/>
                </w:tcPr>
                <w:p w14:paraId="65FD6C44" w14:textId="77777777" w:rsidR="0085581F" w:rsidRPr="0085581F" w:rsidRDefault="0085581F" w:rsidP="0085581F">
                  <w:pPr>
                    <w:spacing w:before="0" w:after="0" w:line="240" w:lineRule="auto"/>
                    <w:jc w:val="right"/>
                    <w:rPr>
                      <w:rFonts w:asciiTheme="majorBidi" w:eastAsia="Ploni ML Medium AAA Medium" w:hAnsiTheme="majorBidi" w:cstheme="majorBidi"/>
                      <w:b/>
                      <w:color w:val="FFFFFF"/>
                      <w:sz w:val="21"/>
                    </w:rPr>
                  </w:pPr>
                </w:p>
              </w:tc>
              <w:tc>
                <w:tcPr>
                  <w:tcW w:w="2792" w:type="dxa"/>
                  <w:gridSpan w:val="2"/>
                  <w:tcBorders>
                    <w:top w:val="single" w:sz="4" w:space="0" w:color="000000"/>
                    <w:left w:val="nil"/>
                    <w:bottom w:val="single" w:sz="4" w:space="0" w:color="000000"/>
                    <w:right w:val="nil"/>
                    <w:tl2br w:val="nil"/>
                    <w:tr2bl w:val="nil"/>
                  </w:tcBorders>
                  <w:shd w:val="clear" w:color="FFFFFF" w:fill="071435"/>
                  <w:tcMar>
                    <w:left w:w="40" w:type="dxa"/>
                    <w:right w:w="40" w:type="dxa"/>
                  </w:tcMar>
                  <w:vAlign w:val="bottom"/>
                </w:tcPr>
                <w:p w14:paraId="462F60FE"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 xml:space="preserve">For the 3 months ended </w:t>
                  </w:r>
                </w:p>
                <w:p w14:paraId="22A8C685"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rPr>
                    <w:t>June 30</w:t>
                  </w:r>
                </w:p>
              </w:tc>
              <w:tc>
                <w:tcPr>
                  <w:tcW w:w="1187" w:type="dxa"/>
                  <w:tcBorders>
                    <w:top w:val="single" w:sz="4" w:space="0" w:color="000000"/>
                    <w:left w:val="nil"/>
                    <w:bottom w:val="single" w:sz="4" w:space="0" w:color="000000"/>
                    <w:right w:val="nil"/>
                    <w:tl2br w:val="nil"/>
                    <w:tr2bl w:val="nil"/>
                  </w:tcBorders>
                  <w:shd w:val="clear" w:color="FFFFFF" w:fill="071435"/>
                  <w:tcMar>
                    <w:left w:w="0" w:type="dxa"/>
                    <w:right w:w="0" w:type="dxa"/>
                  </w:tcMar>
                  <w:vAlign w:val="bottom"/>
                </w:tcPr>
                <w:p w14:paraId="3FD4926A"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sz w:val="21"/>
                    </w:rPr>
                  </w:pPr>
                </w:p>
              </w:tc>
            </w:tr>
            <w:tr w:rsidR="0085581F" w:rsidRPr="0085581F" w14:paraId="5A64425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6"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4F7CC6F"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5171"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16A99AA"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195D259"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u w:val="single"/>
                    </w:rPr>
                  </w:pPr>
                  <w:r w:rsidRPr="0085581F">
                    <w:rPr>
                      <w:rFonts w:asciiTheme="majorBidi" w:hAnsiTheme="majorBidi" w:cstheme="majorBidi"/>
                      <w:b/>
                      <w:color w:val="000000"/>
                      <w:sz w:val="21"/>
                      <w:u w:val="single"/>
                    </w:rPr>
                    <w:t>2024</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BB34DA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u w:val="single"/>
                    </w:rPr>
                  </w:pPr>
                  <w:r w:rsidRPr="0085581F">
                    <w:rPr>
                      <w:rFonts w:asciiTheme="majorBidi" w:hAnsiTheme="majorBidi" w:cstheme="majorBidi"/>
                      <w:b/>
                      <w:color w:val="000000"/>
                      <w:sz w:val="21"/>
                      <w:u w:val="single"/>
                    </w:rPr>
                    <w:t>2023</w:t>
                  </w:r>
                </w:p>
              </w:tc>
              <w:tc>
                <w:tcPr>
                  <w:tcW w:w="118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8B74879"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u w:val="single"/>
                    </w:rPr>
                  </w:pPr>
                  <w:r w:rsidRPr="0085581F">
                    <w:rPr>
                      <w:rFonts w:asciiTheme="majorBidi" w:hAnsiTheme="majorBidi" w:cstheme="majorBidi"/>
                      <w:b/>
                      <w:color w:val="000000"/>
                      <w:sz w:val="21"/>
                      <w:u w:val="single"/>
                    </w:rPr>
                    <w:t>Change</w:t>
                  </w:r>
                </w:p>
              </w:tc>
            </w:tr>
            <w:tr w:rsidR="0085581F" w:rsidRPr="0085581F" w14:paraId="19FD8AB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5352E604"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Rental and other income</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E4F077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632</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8DD215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585</w:t>
                  </w:r>
                </w:p>
              </w:tc>
              <w:tc>
                <w:tcPr>
                  <w:tcW w:w="118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653DAC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8.0%</w:t>
                  </w:r>
                </w:p>
              </w:tc>
            </w:tr>
            <w:tr w:rsidR="0085581F" w:rsidRPr="0085581F" w14:paraId="0CA6780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EBE8630"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NOI</w:t>
                  </w:r>
                  <w:r w:rsidRPr="0085581F">
                    <w:rPr>
                      <w:rFonts w:asciiTheme="majorBidi" w:hAnsiTheme="majorBidi" w:cstheme="majorBidi"/>
                      <w:color w:val="000000"/>
                      <w:sz w:val="21"/>
                      <w:vertAlign w:val="superscript"/>
                    </w:rPr>
                    <w:t xml:space="preserve"> 2</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E2EA9C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438</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F33A53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418</w:t>
                  </w:r>
                </w:p>
              </w:tc>
              <w:tc>
                <w:tcPr>
                  <w:tcW w:w="118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B56D14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4.8%</w:t>
                  </w:r>
                </w:p>
              </w:tc>
            </w:tr>
            <w:tr w:rsidR="0085581F" w:rsidRPr="0085581F" w14:paraId="655261ED" w14:textId="77777777" w:rsidTr="00A5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7"/>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956FD47"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NOI net of operations in Russia and additional properties that were sold</w:t>
                  </w:r>
                  <w:r w:rsidRPr="0085581F">
                    <w:rPr>
                      <w:rFonts w:asciiTheme="majorBidi" w:hAnsiTheme="majorBidi" w:cstheme="majorBidi"/>
                      <w:color w:val="000000"/>
                      <w:sz w:val="21"/>
                      <w:vertAlign w:val="superscript"/>
                    </w:rPr>
                    <w:t xml:space="preserve"> 3</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93F861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438</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5087035"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391</w:t>
                  </w:r>
                </w:p>
              </w:tc>
              <w:tc>
                <w:tcPr>
                  <w:tcW w:w="118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FC5762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12.0%</w:t>
                  </w:r>
                </w:p>
              </w:tc>
            </w:tr>
            <w:tr w:rsidR="0085581F" w:rsidRPr="0085581F" w14:paraId="423E0365" w14:textId="77777777" w:rsidTr="00A5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9"/>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4839DF0"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tl/>
                    </w:rPr>
                  </w:pPr>
                  <w:r w:rsidRPr="0085581F">
                    <w:rPr>
                      <w:rFonts w:asciiTheme="majorBidi" w:hAnsiTheme="majorBidi" w:cstheme="majorBidi"/>
                      <w:color w:val="000000"/>
                      <w:sz w:val="21"/>
                    </w:rPr>
                    <w:t>Funds from operations (FFO) per share (expanded separate information) (in NIS)</w:t>
                  </w:r>
                  <w:r w:rsidRPr="0085581F">
                    <w:rPr>
                      <w:rFonts w:asciiTheme="majorBidi" w:hAnsiTheme="majorBidi" w:cstheme="majorBidi"/>
                      <w:color w:val="000000"/>
                      <w:sz w:val="21"/>
                      <w:vertAlign w:val="superscript"/>
                    </w:rPr>
                    <w:t xml:space="preserve"> 4</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84EB5A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0.48</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E9CEEF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0.64</w:t>
                  </w:r>
                </w:p>
              </w:tc>
              <w:tc>
                <w:tcPr>
                  <w:tcW w:w="118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5874A6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(25.0%)</w:t>
                  </w:r>
                </w:p>
              </w:tc>
            </w:tr>
            <w:tr w:rsidR="0085581F" w:rsidRPr="0085581F" w14:paraId="0D076EE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0151973"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FFO</w:t>
                  </w:r>
                  <w:r w:rsidRPr="0085581F">
                    <w:rPr>
                      <w:rFonts w:asciiTheme="majorBidi" w:hAnsiTheme="majorBidi" w:cstheme="majorBidi"/>
                      <w:color w:val="000000"/>
                      <w:sz w:val="21"/>
                      <w:vertAlign w:val="superscript"/>
                    </w:rPr>
                    <w:t xml:space="preserve"> 5</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47E2FD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140</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7FEF805"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131</w:t>
                  </w:r>
                </w:p>
              </w:tc>
              <w:tc>
                <w:tcPr>
                  <w:tcW w:w="118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B7D9D4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6.9%</w:t>
                  </w:r>
                </w:p>
              </w:tc>
            </w:tr>
            <w:tr w:rsidR="0085581F" w:rsidRPr="0085581F" w14:paraId="71ADB7C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71358F84"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FFO per share (in NIS)</w:t>
                  </w:r>
                  <w:r w:rsidRPr="0085581F">
                    <w:rPr>
                      <w:rFonts w:asciiTheme="majorBidi" w:hAnsiTheme="majorBidi" w:cstheme="majorBidi"/>
                      <w:color w:val="000000"/>
                      <w:sz w:val="21"/>
                      <w:vertAlign w:val="superscript"/>
                    </w:rPr>
                    <w:t xml:space="preserve"> 5</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ECFBCB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0.75</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2881C7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0.73</w:t>
                  </w:r>
                </w:p>
              </w:tc>
              <w:tc>
                <w:tcPr>
                  <w:tcW w:w="118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AB9B6F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2.7%</w:t>
                  </w:r>
                </w:p>
              </w:tc>
            </w:tr>
            <w:tr w:rsidR="0085581F" w:rsidRPr="0085581F" w14:paraId="248AF84C" w14:textId="77777777" w:rsidTr="00A5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47"/>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30709CD8"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FFO net of operations in Russia and additional properties that were sold</w:t>
                  </w:r>
                  <w:r w:rsidRPr="0085581F">
                    <w:rPr>
                      <w:rFonts w:asciiTheme="majorBidi" w:hAnsiTheme="majorBidi" w:cstheme="majorBidi"/>
                      <w:color w:val="000000"/>
                      <w:sz w:val="21"/>
                      <w:vertAlign w:val="superscript"/>
                    </w:rPr>
                    <w:t xml:space="preserve"> 7</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B3DEA0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137</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146F28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114</w:t>
                  </w:r>
                </w:p>
              </w:tc>
              <w:tc>
                <w:tcPr>
                  <w:tcW w:w="118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9D391B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20.2%</w:t>
                  </w:r>
                </w:p>
              </w:tc>
            </w:tr>
            <w:tr w:rsidR="0085581F" w:rsidRPr="0085581F" w14:paraId="3E413359" w14:textId="77777777" w:rsidTr="00A5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9"/>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02644006"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FFO per share (in NIS) net of operations in Russia and additional properties that were sold</w:t>
                  </w:r>
                  <w:r w:rsidRPr="0085581F">
                    <w:rPr>
                      <w:rFonts w:asciiTheme="majorBidi" w:hAnsiTheme="majorBidi" w:cstheme="majorBidi"/>
                      <w:color w:val="000000"/>
                      <w:sz w:val="21"/>
                      <w:vertAlign w:val="superscript"/>
                    </w:rPr>
                    <w:t xml:space="preserve"> </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AF8D36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0.74</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6D43E7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0.64</w:t>
                  </w:r>
                </w:p>
              </w:tc>
              <w:tc>
                <w:tcPr>
                  <w:tcW w:w="118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76C3BD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15.6%</w:t>
                  </w:r>
                </w:p>
              </w:tc>
            </w:tr>
            <w:tr w:rsidR="0085581F" w:rsidRPr="0085581F" w14:paraId="535D554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65BC1A9"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Number of shares used in calculating the FFO per share (thousands)</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921528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186,078</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E68C31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178,462</w:t>
                  </w:r>
                </w:p>
              </w:tc>
              <w:tc>
                <w:tcPr>
                  <w:tcW w:w="118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4120BD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4.3%</w:t>
                  </w:r>
                </w:p>
              </w:tc>
            </w:tr>
            <w:tr w:rsidR="0085581F" w:rsidRPr="0085581F" w14:paraId="45C0B7B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5727" w:type="dxa"/>
                  <w:gridSpan w:val="2"/>
                  <w:tcBorders>
                    <w:top w:val="single" w:sz="4" w:space="0" w:color="000000"/>
                    <w:left w:val="nil"/>
                    <w:right w:val="nil"/>
                    <w:tl2br w:val="nil"/>
                    <w:tr2bl w:val="nil"/>
                  </w:tcBorders>
                  <w:shd w:val="clear" w:color="auto" w:fill="auto"/>
                  <w:noWrap/>
                  <w:tcMar>
                    <w:left w:w="0" w:type="dxa"/>
                    <w:right w:w="135" w:type="dxa"/>
                  </w:tcMar>
                  <w:vAlign w:val="bottom"/>
                </w:tcPr>
                <w:p w14:paraId="3E9D6FA4"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Acquisition, construction and development of investment property</w:t>
                  </w:r>
                  <w:r w:rsidRPr="0085581F">
                    <w:rPr>
                      <w:rFonts w:asciiTheme="majorBidi" w:hAnsiTheme="majorBidi" w:cstheme="majorBidi"/>
                      <w:color w:val="000000"/>
                      <w:sz w:val="21"/>
                      <w:vertAlign w:val="superscript"/>
                    </w:rPr>
                    <w:t xml:space="preserve"> 6</w:t>
                  </w:r>
                </w:p>
              </w:tc>
              <w:tc>
                <w:tcPr>
                  <w:tcW w:w="1326" w:type="dxa"/>
                  <w:tcBorders>
                    <w:top w:val="single" w:sz="4" w:space="0" w:color="000000"/>
                    <w:left w:val="nil"/>
                    <w:right w:val="nil"/>
                    <w:tl2br w:val="nil"/>
                    <w:tr2bl w:val="nil"/>
                  </w:tcBorders>
                  <w:shd w:val="clear" w:color="auto" w:fill="auto"/>
                  <w:noWrap/>
                  <w:tcMar>
                    <w:left w:w="0" w:type="dxa"/>
                    <w:right w:w="0" w:type="dxa"/>
                  </w:tcMar>
                  <w:vAlign w:val="bottom"/>
                </w:tcPr>
                <w:p w14:paraId="38D0C12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96</w:t>
                  </w:r>
                </w:p>
              </w:tc>
              <w:tc>
                <w:tcPr>
                  <w:tcW w:w="1466" w:type="dxa"/>
                  <w:tcBorders>
                    <w:top w:val="single" w:sz="4" w:space="0" w:color="000000"/>
                    <w:left w:val="nil"/>
                    <w:right w:val="nil"/>
                    <w:tl2br w:val="nil"/>
                    <w:tr2bl w:val="nil"/>
                  </w:tcBorders>
                  <w:shd w:val="clear" w:color="auto" w:fill="auto"/>
                  <w:noWrap/>
                  <w:tcMar>
                    <w:left w:w="0" w:type="dxa"/>
                    <w:right w:w="0" w:type="dxa"/>
                  </w:tcMar>
                  <w:vAlign w:val="bottom"/>
                </w:tcPr>
                <w:p w14:paraId="3B8F594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434</w:t>
                  </w:r>
                </w:p>
              </w:tc>
              <w:tc>
                <w:tcPr>
                  <w:tcW w:w="1187" w:type="dxa"/>
                  <w:tcBorders>
                    <w:top w:val="single" w:sz="4" w:space="0" w:color="000000"/>
                    <w:left w:val="nil"/>
                    <w:right w:val="nil"/>
                    <w:tl2br w:val="nil"/>
                    <w:tr2bl w:val="nil"/>
                  </w:tcBorders>
                  <w:shd w:val="clear" w:color="auto" w:fill="auto"/>
                  <w:noWrap/>
                  <w:tcMar>
                    <w:left w:w="0" w:type="dxa"/>
                    <w:right w:w="0" w:type="dxa"/>
                  </w:tcMar>
                  <w:vAlign w:val="bottom"/>
                </w:tcPr>
                <w:p w14:paraId="055FC2C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198209B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0D54DCBF"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Disposal of investment property</w:t>
                  </w:r>
                  <w:r w:rsidRPr="0085581F">
                    <w:rPr>
                      <w:rFonts w:asciiTheme="majorBidi" w:hAnsiTheme="majorBidi" w:cstheme="majorBidi"/>
                      <w:color w:val="000000"/>
                      <w:sz w:val="21"/>
                      <w:vertAlign w:val="superscript"/>
                    </w:rPr>
                    <w:t xml:space="preserve"> 6</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BA54922"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94</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EF3443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617</w:t>
                  </w:r>
                </w:p>
              </w:tc>
              <w:tc>
                <w:tcPr>
                  <w:tcW w:w="118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58DBC6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558DBFB7" w14:textId="77777777" w:rsidTr="00A5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3"/>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CBACDAD"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Fair value gain from investment property and investment property under development, net</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57141C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344</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4F590F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138</w:t>
                  </w:r>
                </w:p>
              </w:tc>
              <w:tc>
                <w:tcPr>
                  <w:tcW w:w="118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BC8130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1659747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3A00ABB8"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Net income (loss) attributable to shareholders of the Company</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6C87C5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329</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45644C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(3)</w:t>
                  </w:r>
                </w:p>
              </w:tc>
              <w:tc>
                <w:tcPr>
                  <w:tcW w:w="118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C98A0B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68327D3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00D54AEE"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Diluted net earnings (loss) per share (NIS)</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1A8363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1.54</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D33FCA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(0.01)</w:t>
                  </w:r>
                </w:p>
              </w:tc>
              <w:tc>
                <w:tcPr>
                  <w:tcW w:w="118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E71360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11E1CE9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727"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73F981B0"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Cash flows from operating activities</w:t>
                  </w:r>
                </w:p>
              </w:tc>
              <w:tc>
                <w:tcPr>
                  <w:tcW w:w="13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5F1225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158</w:t>
                  </w:r>
                </w:p>
              </w:tc>
              <w:tc>
                <w:tcPr>
                  <w:tcW w:w="146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EBE4E1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104</w:t>
                  </w:r>
                </w:p>
              </w:tc>
              <w:tc>
                <w:tcPr>
                  <w:tcW w:w="118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5C7ED2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0D6B364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56" w:type="dxa"/>
                  <w:tcBorders>
                    <w:top w:val="single" w:sz="4" w:space="0" w:color="000000"/>
                    <w:left w:val="nil"/>
                    <w:bottom w:val="nil"/>
                    <w:right w:val="nil"/>
                    <w:tl2br w:val="nil"/>
                    <w:tr2bl w:val="nil"/>
                  </w:tcBorders>
                  <w:shd w:val="clear" w:color="auto" w:fill="auto"/>
                  <w:noWrap/>
                  <w:tcMar>
                    <w:left w:w="40" w:type="dxa"/>
                    <w:right w:w="40" w:type="dxa"/>
                  </w:tcMar>
                </w:tcPr>
                <w:p w14:paraId="1EBFD745"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7"/>
                    </w:rPr>
                  </w:pPr>
                  <w:r w:rsidRPr="0085581F">
                    <w:rPr>
                      <w:rFonts w:asciiTheme="majorBidi" w:hAnsiTheme="majorBidi" w:cstheme="majorBidi"/>
                      <w:color w:val="000000"/>
                      <w:sz w:val="17"/>
                    </w:rPr>
                    <w:t>1</w:t>
                  </w:r>
                </w:p>
              </w:tc>
              <w:tc>
                <w:tcPr>
                  <w:tcW w:w="9150" w:type="dxa"/>
                  <w:gridSpan w:val="4"/>
                  <w:tcBorders>
                    <w:top w:val="single" w:sz="4" w:space="0" w:color="000000"/>
                    <w:left w:val="nil"/>
                    <w:bottom w:val="nil"/>
                    <w:right w:val="nil"/>
                    <w:tl2br w:val="nil"/>
                    <w:tr2bl w:val="nil"/>
                  </w:tcBorders>
                  <w:shd w:val="clear" w:color="auto" w:fill="auto"/>
                  <w:tcMar>
                    <w:left w:w="40" w:type="dxa"/>
                    <w:right w:w="40" w:type="dxa"/>
                  </w:tcMar>
                </w:tcPr>
                <w:p w14:paraId="40B22611" w14:textId="77777777" w:rsidR="0085581F" w:rsidRPr="0085581F" w:rsidRDefault="0085581F" w:rsidP="0085581F">
                  <w:pPr>
                    <w:spacing w:before="0" w:after="0" w:line="240" w:lineRule="auto"/>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For further information concerning the net debt to total (consolidated) balance sheet ratio, including accrued interest for this debt, see section 7 below.</w:t>
                  </w:r>
                </w:p>
              </w:tc>
            </w:tr>
            <w:tr w:rsidR="0085581F" w:rsidRPr="0085581F" w14:paraId="4C25C5C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56" w:type="dxa"/>
                  <w:tcBorders>
                    <w:top w:val="nil"/>
                    <w:left w:val="nil"/>
                    <w:bottom w:val="nil"/>
                    <w:right w:val="nil"/>
                    <w:tl2br w:val="nil"/>
                    <w:tr2bl w:val="nil"/>
                  </w:tcBorders>
                  <w:shd w:val="clear" w:color="auto" w:fill="auto"/>
                  <w:noWrap/>
                  <w:tcMar>
                    <w:left w:w="40" w:type="dxa"/>
                    <w:right w:w="40" w:type="dxa"/>
                  </w:tcMar>
                </w:tcPr>
                <w:p w14:paraId="650D8B3E"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7"/>
                    </w:rPr>
                  </w:pPr>
                  <w:r w:rsidRPr="0085581F">
                    <w:rPr>
                      <w:rFonts w:asciiTheme="majorBidi" w:hAnsiTheme="majorBidi" w:cstheme="majorBidi"/>
                      <w:color w:val="000000"/>
                      <w:sz w:val="17"/>
                    </w:rPr>
                    <w:t>2</w:t>
                  </w:r>
                </w:p>
              </w:tc>
              <w:tc>
                <w:tcPr>
                  <w:tcW w:w="9150" w:type="dxa"/>
                  <w:gridSpan w:val="4"/>
                  <w:tcBorders>
                    <w:top w:val="nil"/>
                    <w:left w:val="nil"/>
                    <w:bottom w:val="nil"/>
                    <w:right w:val="nil"/>
                    <w:tl2br w:val="nil"/>
                    <w:tr2bl w:val="nil"/>
                  </w:tcBorders>
                  <w:shd w:val="clear" w:color="auto" w:fill="auto"/>
                  <w:tcMar>
                    <w:left w:w="40" w:type="dxa"/>
                    <w:right w:w="40" w:type="dxa"/>
                  </w:tcMar>
                </w:tcPr>
                <w:p w14:paraId="53A3C0BC"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NOI - Net Operating Income - rental and other income, net of property operating and other expenses</w:t>
                  </w:r>
                </w:p>
              </w:tc>
            </w:tr>
            <w:tr w:rsidR="0085581F" w:rsidRPr="0085581F" w14:paraId="394710F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56" w:type="dxa"/>
                  <w:tcBorders>
                    <w:top w:val="nil"/>
                    <w:left w:val="nil"/>
                    <w:bottom w:val="nil"/>
                    <w:right w:val="nil"/>
                    <w:tl2br w:val="nil"/>
                    <w:tr2bl w:val="nil"/>
                  </w:tcBorders>
                  <w:shd w:val="clear" w:color="auto" w:fill="auto"/>
                  <w:noWrap/>
                  <w:tcMar>
                    <w:left w:w="40" w:type="dxa"/>
                    <w:right w:w="40" w:type="dxa"/>
                  </w:tcMar>
                </w:tcPr>
                <w:p w14:paraId="60209F08"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7"/>
                    </w:rPr>
                  </w:pPr>
                  <w:r w:rsidRPr="0085581F">
                    <w:rPr>
                      <w:rFonts w:asciiTheme="majorBidi" w:hAnsiTheme="majorBidi" w:cstheme="majorBidi"/>
                      <w:color w:val="000000"/>
                      <w:sz w:val="17"/>
                    </w:rPr>
                    <w:t>3</w:t>
                  </w:r>
                </w:p>
              </w:tc>
              <w:tc>
                <w:tcPr>
                  <w:tcW w:w="5171" w:type="dxa"/>
                  <w:tcBorders>
                    <w:top w:val="nil"/>
                    <w:left w:val="nil"/>
                    <w:bottom w:val="nil"/>
                    <w:right w:val="nil"/>
                    <w:tl2br w:val="nil"/>
                    <w:tr2bl w:val="nil"/>
                  </w:tcBorders>
                  <w:shd w:val="clear" w:color="auto" w:fill="auto"/>
                  <w:tcMar>
                    <w:left w:w="40" w:type="dxa"/>
                    <w:right w:w="40" w:type="dxa"/>
                  </w:tcMar>
                </w:tcPr>
                <w:p w14:paraId="5E81E3E6" w14:textId="5F58882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Deducting the NOI from sold properties (see section 1.1 above)</w:t>
                  </w:r>
                  <w:r w:rsidR="00D26225">
                    <w:rPr>
                      <w:rFonts w:asciiTheme="majorBidi" w:hAnsiTheme="majorBidi" w:cstheme="majorBidi"/>
                      <w:color w:val="000000"/>
                      <w:sz w:val="18"/>
                      <w:szCs w:val="18"/>
                    </w:rPr>
                    <w:t>.</w:t>
                  </w:r>
                  <w:r w:rsidRPr="0085581F">
                    <w:rPr>
                      <w:rFonts w:asciiTheme="majorBidi" w:hAnsiTheme="majorBidi" w:cstheme="majorBidi"/>
                      <w:color w:val="000000"/>
                      <w:sz w:val="18"/>
                      <w:szCs w:val="18"/>
                    </w:rPr>
                    <w:t xml:space="preserve"> </w:t>
                  </w:r>
                </w:p>
              </w:tc>
              <w:tc>
                <w:tcPr>
                  <w:tcW w:w="1326" w:type="dxa"/>
                  <w:tcBorders>
                    <w:top w:val="nil"/>
                    <w:left w:val="nil"/>
                    <w:bottom w:val="nil"/>
                    <w:right w:val="nil"/>
                    <w:tl2br w:val="nil"/>
                    <w:tr2bl w:val="nil"/>
                  </w:tcBorders>
                  <w:shd w:val="clear" w:color="auto" w:fill="auto"/>
                  <w:tcMar>
                    <w:left w:w="0" w:type="dxa"/>
                    <w:right w:w="0" w:type="dxa"/>
                  </w:tcMar>
                </w:tcPr>
                <w:p w14:paraId="3810E145"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1466" w:type="dxa"/>
                  <w:tcBorders>
                    <w:top w:val="nil"/>
                    <w:left w:val="nil"/>
                    <w:bottom w:val="nil"/>
                    <w:right w:val="nil"/>
                    <w:tl2br w:val="nil"/>
                    <w:tr2bl w:val="nil"/>
                  </w:tcBorders>
                  <w:shd w:val="clear" w:color="auto" w:fill="auto"/>
                  <w:tcMar>
                    <w:left w:w="0" w:type="dxa"/>
                    <w:right w:w="0" w:type="dxa"/>
                  </w:tcMar>
                </w:tcPr>
                <w:p w14:paraId="7A9EF16C"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1187" w:type="dxa"/>
                  <w:tcBorders>
                    <w:top w:val="nil"/>
                    <w:left w:val="nil"/>
                    <w:bottom w:val="nil"/>
                    <w:right w:val="nil"/>
                    <w:tl2br w:val="nil"/>
                    <w:tr2bl w:val="nil"/>
                  </w:tcBorders>
                  <w:shd w:val="clear" w:color="auto" w:fill="auto"/>
                  <w:tcMar>
                    <w:left w:w="0" w:type="dxa"/>
                    <w:right w:w="0" w:type="dxa"/>
                  </w:tcMar>
                </w:tcPr>
                <w:p w14:paraId="3EA0C8E0"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r>
            <w:tr w:rsidR="0085581F" w:rsidRPr="0085581F" w14:paraId="02F72DA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56" w:type="dxa"/>
                  <w:tcBorders>
                    <w:top w:val="nil"/>
                    <w:left w:val="nil"/>
                    <w:bottom w:val="nil"/>
                    <w:right w:val="nil"/>
                    <w:tl2br w:val="nil"/>
                    <w:tr2bl w:val="nil"/>
                  </w:tcBorders>
                  <w:shd w:val="clear" w:color="auto" w:fill="auto"/>
                  <w:noWrap/>
                  <w:tcMar>
                    <w:left w:w="40" w:type="dxa"/>
                    <w:right w:w="40" w:type="dxa"/>
                  </w:tcMar>
                </w:tcPr>
                <w:p w14:paraId="7662BA87"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7"/>
                    </w:rPr>
                  </w:pPr>
                  <w:r w:rsidRPr="0085581F">
                    <w:rPr>
                      <w:rFonts w:asciiTheme="majorBidi" w:hAnsiTheme="majorBidi" w:cstheme="majorBidi"/>
                      <w:color w:val="000000"/>
                      <w:sz w:val="17"/>
                    </w:rPr>
                    <w:t>4</w:t>
                  </w:r>
                </w:p>
              </w:tc>
              <w:tc>
                <w:tcPr>
                  <w:tcW w:w="9150" w:type="dxa"/>
                  <w:gridSpan w:val="4"/>
                  <w:tcBorders>
                    <w:top w:val="nil"/>
                    <w:left w:val="nil"/>
                    <w:bottom w:val="nil"/>
                    <w:right w:val="nil"/>
                    <w:tl2br w:val="nil"/>
                    <w:tr2bl w:val="nil"/>
                  </w:tcBorders>
                  <w:shd w:val="clear" w:color="auto" w:fill="auto"/>
                  <w:tcMar>
                    <w:left w:w="40" w:type="dxa"/>
                    <w:right w:w="40" w:type="dxa"/>
                  </w:tcMar>
                </w:tcPr>
                <w:p w14:paraId="449AD556" w14:textId="77777777" w:rsidR="0085581F" w:rsidRPr="0085581F" w:rsidRDefault="0085581F" w:rsidP="0085581F">
                  <w:pPr>
                    <w:spacing w:before="0" w:after="0" w:line="240" w:lineRule="auto"/>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See section 2.2 below.</w:t>
                  </w:r>
                </w:p>
              </w:tc>
            </w:tr>
            <w:tr w:rsidR="0085581F" w:rsidRPr="0085581F" w14:paraId="69D17B3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56" w:type="dxa"/>
                  <w:tcBorders>
                    <w:top w:val="nil"/>
                    <w:left w:val="nil"/>
                    <w:bottom w:val="nil"/>
                    <w:right w:val="nil"/>
                    <w:tl2br w:val="nil"/>
                    <w:tr2bl w:val="nil"/>
                  </w:tcBorders>
                  <w:shd w:val="clear" w:color="auto" w:fill="auto"/>
                  <w:noWrap/>
                  <w:tcMar>
                    <w:left w:w="40" w:type="dxa"/>
                    <w:right w:w="40" w:type="dxa"/>
                  </w:tcMar>
                </w:tcPr>
                <w:p w14:paraId="5F9FC266"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7"/>
                    </w:rPr>
                  </w:pPr>
                  <w:r w:rsidRPr="0085581F">
                    <w:rPr>
                      <w:rFonts w:asciiTheme="majorBidi" w:hAnsiTheme="majorBidi" w:cstheme="majorBidi"/>
                      <w:color w:val="000000"/>
                      <w:sz w:val="17"/>
                    </w:rPr>
                    <w:t>5</w:t>
                  </w:r>
                </w:p>
              </w:tc>
              <w:tc>
                <w:tcPr>
                  <w:tcW w:w="9150" w:type="dxa"/>
                  <w:gridSpan w:val="4"/>
                  <w:tcBorders>
                    <w:top w:val="nil"/>
                    <w:left w:val="nil"/>
                    <w:bottom w:val="nil"/>
                    <w:right w:val="nil"/>
                    <w:tl2br w:val="nil"/>
                    <w:tr2bl w:val="nil"/>
                  </w:tcBorders>
                  <w:shd w:val="clear" w:color="auto" w:fill="auto"/>
                  <w:tcMar>
                    <w:left w:w="40" w:type="dxa"/>
                    <w:right w:w="40" w:type="dxa"/>
                  </w:tcMar>
                </w:tcPr>
                <w:p w14:paraId="0EF1B5A0" w14:textId="77777777" w:rsidR="0085581F" w:rsidRPr="0085581F" w:rsidRDefault="0085581F" w:rsidP="0085581F">
                  <w:pPr>
                    <w:spacing w:before="0" w:after="0" w:line="240" w:lineRule="auto"/>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The FFO is presented according to the management approach and in accordance with EPRA regulations. For the FFO calculation, see section 2.3 below.</w:t>
                  </w:r>
                </w:p>
              </w:tc>
            </w:tr>
            <w:tr w:rsidR="0085581F" w:rsidRPr="0085581F" w14:paraId="10AF56A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56" w:type="dxa"/>
                  <w:tcBorders>
                    <w:top w:val="nil"/>
                    <w:left w:val="nil"/>
                    <w:bottom w:val="nil"/>
                    <w:right w:val="nil"/>
                    <w:tl2br w:val="nil"/>
                    <w:tr2bl w:val="nil"/>
                  </w:tcBorders>
                  <w:shd w:val="clear" w:color="auto" w:fill="auto"/>
                  <w:noWrap/>
                  <w:tcMar>
                    <w:left w:w="40" w:type="dxa"/>
                    <w:right w:w="40" w:type="dxa"/>
                  </w:tcMar>
                </w:tcPr>
                <w:p w14:paraId="246FC5E4"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7"/>
                    </w:rPr>
                  </w:pPr>
                  <w:r w:rsidRPr="0085581F">
                    <w:rPr>
                      <w:rFonts w:asciiTheme="majorBidi" w:hAnsiTheme="majorBidi" w:cstheme="majorBidi"/>
                      <w:color w:val="000000"/>
                      <w:sz w:val="17"/>
                    </w:rPr>
                    <w:t>6</w:t>
                  </w:r>
                </w:p>
              </w:tc>
              <w:tc>
                <w:tcPr>
                  <w:tcW w:w="9150" w:type="dxa"/>
                  <w:gridSpan w:val="4"/>
                  <w:tcBorders>
                    <w:top w:val="nil"/>
                    <w:left w:val="nil"/>
                    <w:bottom w:val="nil"/>
                    <w:right w:val="nil"/>
                    <w:tl2br w:val="nil"/>
                    <w:tr2bl w:val="nil"/>
                  </w:tcBorders>
                  <w:shd w:val="clear" w:color="auto" w:fill="auto"/>
                  <w:tcMar>
                    <w:left w:w="40" w:type="dxa"/>
                    <w:right w:w="40" w:type="dxa"/>
                  </w:tcMar>
                </w:tcPr>
                <w:p w14:paraId="6F07936B" w14:textId="77777777" w:rsidR="0085581F" w:rsidRPr="0085581F" w:rsidRDefault="0085581F" w:rsidP="0085581F">
                  <w:pPr>
                    <w:spacing w:before="0" w:after="0" w:line="240" w:lineRule="auto"/>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From the consolidated statements of cash flows attributable to the Company</w:t>
                  </w:r>
                </w:p>
              </w:tc>
            </w:tr>
            <w:tr w:rsidR="0085581F" w:rsidRPr="0085581F" w14:paraId="1EC40F3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56" w:type="dxa"/>
                  <w:tcBorders>
                    <w:top w:val="nil"/>
                    <w:left w:val="nil"/>
                    <w:bottom w:val="nil"/>
                    <w:right w:val="nil"/>
                    <w:tl2br w:val="nil"/>
                    <w:tr2bl w:val="nil"/>
                  </w:tcBorders>
                  <w:shd w:val="clear" w:color="auto" w:fill="auto"/>
                  <w:noWrap/>
                  <w:tcMar>
                    <w:left w:w="40" w:type="dxa"/>
                    <w:right w:w="40" w:type="dxa"/>
                  </w:tcMar>
                </w:tcPr>
                <w:p w14:paraId="319CE66B"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7"/>
                    </w:rPr>
                  </w:pPr>
                  <w:r w:rsidRPr="0085581F">
                    <w:rPr>
                      <w:rFonts w:asciiTheme="majorBidi" w:hAnsiTheme="majorBidi" w:cstheme="majorBidi"/>
                      <w:color w:val="000000"/>
                      <w:sz w:val="17"/>
                    </w:rPr>
                    <w:t>7</w:t>
                  </w:r>
                </w:p>
              </w:tc>
              <w:tc>
                <w:tcPr>
                  <w:tcW w:w="9150" w:type="dxa"/>
                  <w:gridSpan w:val="4"/>
                  <w:tcBorders>
                    <w:top w:val="nil"/>
                    <w:left w:val="nil"/>
                    <w:bottom w:val="nil"/>
                    <w:right w:val="nil"/>
                    <w:tl2br w:val="nil"/>
                    <w:tr2bl w:val="nil"/>
                  </w:tcBorders>
                  <w:shd w:val="clear" w:color="auto" w:fill="auto"/>
                  <w:tcMar>
                    <w:left w:w="40" w:type="dxa"/>
                    <w:right w:w="40" w:type="dxa"/>
                  </w:tcMar>
                </w:tcPr>
                <w:p w14:paraId="57410B38" w14:textId="77777777" w:rsidR="0085581F" w:rsidRDefault="0085581F" w:rsidP="0085581F">
                  <w:pPr>
                    <w:spacing w:before="0" w:after="0" w:line="240" w:lineRule="auto"/>
                    <w:rPr>
                      <w:rFonts w:asciiTheme="majorBidi" w:hAnsiTheme="majorBidi" w:cstheme="majorBidi"/>
                      <w:color w:val="000000"/>
                      <w:sz w:val="18"/>
                      <w:szCs w:val="18"/>
                    </w:rPr>
                  </w:pPr>
                  <w:r w:rsidRPr="0085581F">
                    <w:rPr>
                      <w:rFonts w:asciiTheme="majorBidi" w:hAnsiTheme="majorBidi" w:cstheme="majorBidi"/>
                      <w:color w:val="000000"/>
                      <w:sz w:val="18"/>
                      <w:szCs w:val="18"/>
                    </w:rPr>
                    <w:t>Deducting the NOI from sold properties (see section 1.1 above) and decreasing interest expenses by taking into account the proceeds from the sale of properties.</w:t>
                  </w:r>
                </w:p>
                <w:p w14:paraId="6B4059DB" w14:textId="77777777" w:rsidR="003E5FB9" w:rsidRPr="0085581F" w:rsidRDefault="003E5FB9" w:rsidP="0085581F">
                  <w:pPr>
                    <w:spacing w:before="0" w:after="0" w:line="240" w:lineRule="auto"/>
                    <w:rPr>
                      <w:rFonts w:asciiTheme="majorBidi" w:eastAsia="Ploni ML Medium AAA Medium" w:hAnsiTheme="majorBidi" w:cstheme="majorBidi"/>
                      <w:color w:val="000000"/>
                      <w:sz w:val="18"/>
                      <w:szCs w:val="18"/>
                    </w:rPr>
                  </w:pPr>
                </w:p>
              </w:tc>
            </w:tr>
          </w:tbl>
          <w:p w14:paraId="62894131" w14:textId="77777777" w:rsidR="0085581F" w:rsidRPr="0085581F" w:rsidRDefault="0085581F" w:rsidP="0085581F">
            <w:pPr>
              <w:rPr>
                <w:rFonts w:asciiTheme="majorBidi" w:hAnsiTheme="majorBidi" w:cstheme="majorBidi"/>
              </w:rPr>
            </w:pPr>
          </w:p>
        </w:tc>
      </w:tr>
      <w:bookmarkEnd w:id="17"/>
    </w:tbl>
    <w:p w14:paraId="27AF5FA2" w14:textId="77777777" w:rsidR="0085581F" w:rsidRPr="0085581F" w:rsidRDefault="0085581F" w:rsidP="0085581F">
      <w:pPr>
        <w:tabs>
          <w:tab w:val="left" w:pos="425"/>
          <w:tab w:val="left" w:pos="1133"/>
        </w:tabs>
        <w:contextualSpacing/>
        <w:rPr>
          <w:rFonts w:asciiTheme="majorBidi" w:hAnsiTheme="majorBidi" w:cstheme="majorBidi"/>
          <w:sz w:val="21"/>
          <w:szCs w:val="21"/>
          <w:rtl/>
        </w:rPr>
      </w:pPr>
    </w:p>
    <w:p w14:paraId="0DF48F3D" w14:textId="77777777" w:rsidR="0085581F" w:rsidRPr="0085581F" w:rsidRDefault="0085581F" w:rsidP="0085581F">
      <w:pPr>
        <w:spacing w:before="0" w:after="200"/>
        <w:jc w:val="left"/>
        <w:rPr>
          <w:rFonts w:asciiTheme="majorBidi" w:hAnsiTheme="majorBidi" w:cstheme="majorBidi"/>
          <w:sz w:val="21"/>
          <w:szCs w:val="21"/>
        </w:rPr>
      </w:pPr>
      <w:r w:rsidRPr="0085581F">
        <w:rPr>
          <w:rFonts w:asciiTheme="majorBidi" w:hAnsiTheme="majorBidi" w:cstheme="majorBidi"/>
        </w:rPr>
        <w:br w:type="page"/>
      </w:r>
    </w:p>
    <w:p w14:paraId="7A27D246" w14:textId="77777777" w:rsidR="0085581F" w:rsidRPr="0085581F" w:rsidRDefault="0085581F" w:rsidP="0085581F">
      <w:pPr>
        <w:pageBreakBefore/>
        <w:pBdr>
          <w:top w:val="nil"/>
          <w:left w:val="nil"/>
          <w:bottom w:val="nil"/>
          <w:right w:val="nil"/>
          <w:between w:val="nil"/>
          <w:bar w:val="nil"/>
        </w:pBdr>
        <w:tabs>
          <w:tab w:val="left" w:pos="425"/>
          <w:tab w:val="left" w:pos="1133"/>
        </w:tabs>
        <w:contextualSpacing/>
        <w:outlineLvl w:val="3"/>
        <w:rPr>
          <w:rFonts w:asciiTheme="majorBidi" w:eastAsia="Calibri" w:hAnsiTheme="majorBidi" w:cstheme="majorBidi"/>
          <w:sz w:val="21"/>
          <w:szCs w:val="21"/>
        </w:rPr>
      </w:pPr>
      <w:r w:rsidRPr="0085581F">
        <w:rPr>
          <w:rFonts w:asciiTheme="majorBidi" w:hAnsiTheme="majorBidi" w:cstheme="majorBidi"/>
          <w:sz w:val="21"/>
        </w:rPr>
        <w:lastRenderedPageBreak/>
        <w:t>1.7.</w:t>
      </w:r>
      <w:r w:rsidRPr="0085581F">
        <w:rPr>
          <w:rFonts w:asciiTheme="majorBidi" w:hAnsiTheme="majorBidi" w:cstheme="majorBidi"/>
          <w:sz w:val="21"/>
        </w:rPr>
        <w:tab/>
        <w:t>Highlights - Second Quarter of 2024 (the “Quarter”) (contd.)</w:t>
      </w:r>
    </w:p>
    <w:p w14:paraId="64BAD3B2" w14:textId="77777777" w:rsidR="0085581F" w:rsidRPr="0085581F" w:rsidRDefault="0085581F" w:rsidP="004D7A72">
      <w:pPr>
        <w:numPr>
          <w:ilvl w:val="0"/>
          <w:numId w:val="22"/>
        </w:numPr>
        <w:tabs>
          <w:tab w:val="left" w:pos="425"/>
          <w:tab w:val="left" w:pos="1133"/>
        </w:tabs>
        <w:ind w:left="426" w:hanging="426"/>
        <w:rPr>
          <w:rFonts w:asciiTheme="majorBidi" w:hAnsiTheme="majorBidi" w:cstheme="majorBidi"/>
          <w:sz w:val="21"/>
          <w:szCs w:val="21"/>
        </w:rPr>
      </w:pPr>
      <w:r w:rsidRPr="0085581F">
        <w:rPr>
          <w:rFonts w:asciiTheme="majorBidi" w:hAnsiTheme="majorBidi" w:cstheme="majorBidi"/>
          <w:sz w:val="21"/>
        </w:rPr>
        <w:t>As at June 30, 2024, the Company and its subsidiaries have liquid balances and unutilized lines of credit available for immediate withdrawal amounting to NIS 3.2 billion (of which NIS 1.3 billion in the Company and its wholly owned subsidiaries, and includes cash and cash equivalents, marketable securities and short term deposits of NIS 0.7 billion). The liquid balances and unutilized lines of credit in the Company and its wholly owned subsidiaries as at date of publication of this Report amount to NIS 2.1 billion, and this in view of transactions subsequent to reporting date, including the issue of a new debenture series (Series T), which is secured by a lien on real estate properties in Poland for an amount of NIS 645 million, and the expansion of an unsecured debenture series (Series N) in an amount of NIS 192 million.</w:t>
      </w:r>
    </w:p>
    <w:p w14:paraId="6E582EB3" w14:textId="14883FB6" w:rsidR="0085581F" w:rsidRPr="0085581F" w:rsidRDefault="0085581F" w:rsidP="004D7A72">
      <w:pPr>
        <w:numPr>
          <w:ilvl w:val="0"/>
          <w:numId w:val="22"/>
        </w:numPr>
        <w:tabs>
          <w:tab w:val="left" w:pos="425"/>
          <w:tab w:val="left" w:pos="1133"/>
        </w:tabs>
        <w:ind w:left="426" w:hanging="426"/>
        <w:rPr>
          <w:rFonts w:asciiTheme="majorBidi" w:hAnsiTheme="majorBidi" w:cstheme="majorBidi"/>
          <w:sz w:val="21"/>
          <w:szCs w:val="21"/>
        </w:rPr>
      </w:pPr>
      <w:r w:rsidRPr="0085581F">
        <w:rPr>
          <w:rFonts w:asciiTheme="majorBidi" w:hAnsiTheme="majorBidi" w:cstheme="majorBidi"/>
        </w:rPr>
        <w:t xml:space="preserve">In the quarter, the Company issued a new debenture series (Series S) that is secured by a second degree lien on a real estate property in Israel for an amount of NIS 495 million. For further information see Note </w:t>
      </w:r>
      <w:r w:rsidR="00484BDE">
        <w:rPr>
          <w:rFonts w:asciiTheme="majorBidi" w:hAnsiTheme="majorBidi" w:cstheme="majorBidi"/>
        </w:rPr>
        <w:t>3A7</w:t>
      </w:r>
      <w:r w:rsidRPr="0085581F">
        <w:rPr>
          <w:rFonts w:asciiTheme="majorBidi" w:hAnsiTheme="majorBidi" w:cstheme="majorBidi"/>
        </w:rPr>
        <w:t xml:space="preserve"> to the financial statements.</w:t>
      </w:r>
    </w:p>
    <w:p w14:paraId="48047D77" w14:textId="7B05D443" w:rsidR="0085581F" w:rsidRPr="0085581F" w:rsidRDefault="0085581F" w:rsidP="004D7A72">
      <w:pPr>
        <w:numPr>
          <w:ilvl w:val="0"/>
          <w:numId w:val="22"/>
        </w:numPr>
        <w:tabs>
          <w:tab w:val="left" w:pos="425"/>
          <w:tab w:val="left" w:pos="1133"/>
        </w:tabs>
        <w:ind w:left="426" w:hanging="426"/>
        <w:rPr>
          <w:rFonts w:asciiTheme="majorBidi" w:hAnsiTheme="majorBidi" w:cstheme="majorBidi"/>
          <w:sz w:val="21"/>
          <w:szCs w:val="21"/>
        </w:rPr>
      </w:pPr>
      <w:r w:rsidRPr="0085581F">
        <w:rPr>
          <w:rFonts w:asciiTheme="majorBidi" w:hAnsiTheme="majorBidi" w:cstheme="majorBidi"/>
          <w:sz w:val="21"/>
        </w:rPr>
        <w:t xml:space="preserve">In the quarter, the Company expanded an existing debenture series (Series P) that is secured by shares of G Europe (a wholly owned subsidiary of the Company) for an amount of NIS 336 million.  For further information see Note </w:t>
      </w:r>
      <w:r w:rsidR="00484BDE">
        <w:rPr>
          <w:rFonts w:asciiTheme="majorBidi" w:hAnsiTheme="majorBidi" w:cstheme="majorBidi"/>
          <w:sz w:val="21"/>
        </w:rPr>
        <w:t>3A8</w:t>
      </w:r>
      <w:r w:rsidRPr="0085581F">
        <w:rPr>
          <w:rFonts w:asciiTheme="majorBidi" w:hAnsiTheme="majorBidi" w:cstheme="majorBidi"/>
          <w:sz w:val="21"/>
        </w:rPr>
        <w:t xml:space="preserve"> to the financial statements.</w:t>
      </w:r>
    </w:p>
    <w:p w14:paraId="6F4E228F" w14:textId="019F4A3A" w:rsidR="0085581F" w:rsidRPr="0085581F" w:rsidRDefault="0085581F" w:rsidP="004D7A72">
      <w:pPr>
        <w:numPr>
          <w:ilvl w:val="0"/>
          <w:numId w:val="22"/>
        </w:numPr>
        <w:tabs>
          <w:tab w:val="left" w:pos="425"/>
          <w:tab w:val="left" w:pos="1133"/>
        </w:tabs>
        <w:ind w:left="426" w:hanging="426"/>
        <w:rPr>
          <w:rFonts w:asciiTheme="majorBidi" w:hAnsiTheme="majorBidi" w:cstheme="majorBidi"/>
          <w:sz w:val="21"/>
          <w:szCs w:val="21"/>
        </w:rPr>
      </w:pPr>
      <w:r w:rsidRPr="0085581F">
        <w:rPr>
          <w:rFonts w:asciiTheme="majorBidi" w:hAnsiTheme="majorBidi" w:cstheme="majorBidi"/>
          <w:sz w:val="21"/>
        </w:rPr>
        <w:t xml:space="preserve">In the quarter, CTY executed proactive early redemption of all outstanding Debentures (Series 2024) for an amount of EUR 97 million. For further information see Note </w:t>
      </w:r>
      <w:r w:rsidR="00484BDE">
        <w:rPr>
          <w:rFonts w:asciiTheme="majorBidi" w:hAnsiTheme="majorBidi" w:cstheme="majorBidi"/>
          <w:sz w:val="21"/>
        </w:rPr>
        <w:t>3A9</w:t>
      </w:r>
      <w:r w:rsidRPr="0085581F">
        <w:rPr>
          <w:rFonts w:asciiTheme="majorBidi" w:hAnsiTheme="majorBidi" w:cstheme="majorBidi"/>
          <w:sz w:val="21"/>
        </w:rPr>
        <w:t xml:space="preserve"> to the financial statements.</w:t>
      </w:r>
    </w:p>
    <w:p w14:paraId="2390AA1B" w14:textId="232B1F4F" w:rsidR="0085581F" w:rsidRPr="0085581F" w:rsidRDefault="0085581F" w:rsidP="004D7A72">
      <w:pPr>
        <w:numPr>
          <w:ilvl w:val="0"/>
          <w:numId w:val="22"/>
        </w:numPr>
        <w:tabs>
          <w:tab w:val="left" w:pos="425"/>
          <w:tab w:val="left" w:pos="1133"/>
        </w:tabs>
        <w:ind w:left="426" w:hanging="426"/>
        <w:rPr>
          <w:rFonts w:asciiTheme="majorBidi" w:hAnsiTheme="majorBidi" w:cstheme="majorBidi"/>
          <w:sz w:val="21"/>
          <w:szCs w:val="21"/>
        </w:rPr>
      </w:pPr>
      <w:bookmarkStart w:id="18" w:name="_Hlk173849136"/>
      <w:r w:rsidRPr="0085581F">
        <w:rPr>
          <w:rFonts w:asciiTheme="majorBidi" w:hAnsiTheme="majorBidi" w:cstheme="majorBidi"/>
          <w:sz w:val="21"/>
        </w:rPr>
        <w:t xml:space="preserve">In the quarter, CTY executed an exchange of EUR 266 million par value </w:t>
      </w:r>
      <w:bookmarkEnd w:id="18"/>
      <w:r w:rsidRPr="0085581F">
        <w:rPr>
          <w:rFonts w:asciiTheme="majorBidi" w:hAnsiTheme="majorBidi" w:cstheme="majorBidi"/>
        </w:rPr>
        <w:t xml:space="preserve">Hybrid debentures in return for the issue of a new series of hybrid debentures and cash payment. For further information see Note </w:t>
      </w:r>
      <w:r w:rsidR="00484BDE">
        <w:rPr>
          <w:rFonts w:asciiTheme="majorBidi" w:hAnsiTheme="majorBidi" w:cstheme="majorBidi"/>
        </w:rPr>
        <w:t>3A10</w:t>
      </w:r>
      <w:r w:rsidRPr="0085581F">
        <w:rPr>
          <w:rFonts w:asciiTheme="majorBidi" w:hAnsiTheme="majorBidi" w:cstheme="majorBidi"/>
        </w:rPr>
        <w:t xml:space="preserve"> to the financial statements.</w:t>
      </w:r>
      <w:r w:rsidRPr="0085581F">
        <w:rPr>
          <w:rFonts w:asciiTheme="majorBidi" w:hAnsiTheme="majorBidi" w:cstheme="majorBidi"/>
          <w:sz w:val="21"/>
        </w:rPr>
        <w:t xml:space="preserve"> </w:t>
      </w:r>
    </w:p>
    <w:p w14:paraId="7FDAA5D9" w14:textId="77777777" w:rsidR="0085581F" w:rsidRPr="0085581F" w:rsidRDefault="0085581F" w:rsidP="0085581F">
      <w:pPr>
        <w:pageBreakBefore/>
        <w:tabs>
          <w:tab w:val="left" w:pos="425"/>
          <w:tab w:val="left" w:pos="1133"/>
        </w:tabs>
        <w:contextualSpacing/>
        <w:outlineLvl w:val="3"/>
        <w:rPr>
          <w:rFonts w:asciiTheme="majorBidi" w:hAnsiTheme="majorBidi" w:cstheme="majorBidi"/>
          <w:sz w:val="21"/>
          <w:szCs w:val="21"/>
        </w:rPr>
      </w:pPr>
      <w:bookmarkStart w:id="19" w:name="RG_MARKER_56611"/>
      <w:bookmarkEnd w:id="19"/>
      <w:r w:rsidRPr="0085581F">
        <w:rPr>
          <w:rFonts w:asciiTheme="majorBidi" w:hAnsiTheme="majorBidi" w:cstheme="majorBidi"/>
          <w:sz w:val="21"/>
        </w:rPr>
        <w:lastRenderedPageBreak/>
        <w:t>1.8.</w:t>
      </w:r>
      <w:r w:rsidRPr="0085581F">
        <w:rPr>
          <w:rFonts w:asciiTheme="majorBidi" w:hAnsiTheme="majorBidi" w:cstheme="majorBidi"/>
          <w:sz w:val="21"/>
        </w:rPr>
        <w:tab/>
      </w:r>
      <w:r w:rsidRPr="0085581F">
        <w:rPr>
          <w:rFonts w:asciiTheme="majorBidi" w:hAnsiTheme="majorBidi" w:cstheme="majorBidi"/>
        </w:rPr>
        <w:t>Highlights of the first six months of 2024</w:t>
      </w:r>
      <w:r w:rsidRPr="0085581F">
        <w:rPr>
          <w:rFonts w:asciiTheme="majorBidi" w:hAnsiTheme="majorBidi" w:cstheme="majorBidi"/>
          <w:sz w:val="21"/>
        </w:rPr>
        <w:t xml:space="preserve"> (“Reporting Period”)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85581F" w:rsidRPr="0085581F" w14:paraId="4629F2E9" w14:textId="77777777" w:rsidTr="00A65A6F">
        <w:trPr>
          <w:cantSplit/>
        </w:trPr>
        <w:tc>
          <w:tcPr>
            <w:tcW w:w="5000" w:type="pct"/>
          </w:tcPr>
          <w:tbl>
            <w:tblPr>
              <w:tblStyle w:val="CDMRange120"/>
              <w:tblW w:w="9706" w:type="dxa"/>
              <w:tblLook w:val="0600" w:firstRow="0" w:lastRow="0" w:firstColumn="0" w:lastColumn="0" w:noHBand="1" w:noVBand="1"/>
              <w:tblCaption w:val="Print_Area"/>
            </w:tblPr>
            <w:tblGrid>
              <w:gridCol w:w="516"/>
              <w:gridCol w:w="5284"/>
              <w:gridCol w:w="1302"/>
              <w:gridCol w:w="1302"/>
              <w:gridCol w:w="1302"/>
            </w:tblGrid>
            <w:tr w:rsidR="0085581F" w:rsidRPr="0085581F" w14:paraId="272FE4A2" w14:textId="77777777" w:rsidTr="00A65A6F">
              <w:trPr>
                <w:cantSplit/>
                <w:trHeight w:val="645"/>
              </w:trPr>
              <w:tc>
                <w:tcPr>
                  <w:tcW w:w="5788" w:type="dxa"/>
                  <w:gridSpan w:val="2"/>
                  <w:tcBorders>
                    <w:top w:val="nil"/>
                    <w:left w:val="nil"/>
                    <w:bottom w:val="single" w:sz="4" w:space="0" w:color="000000"/>
                    <w:right w:val="nil"/>
                    <w:tl2br w:val="nil"/>
                    <w:tr2bl w:val="nil"/>
                  </w:tcBorders>
                  <w:shd w:val="clear" w:color="FFFFFF" w:fill="071435"/>
                  <w:tcMar>
                    <w:left w:w="40" w:type="dxa"/>
                    <w:right w:w="175" w:type="dxa"/>
                  </w:tcMar>
                  <w:vAlign w:val="center"/>
                </w:tcPr>
                <w:p w14:paraId="02196016" w14:textId="77777777" w:rsidR="0085581F" w:rsidRPr="0085581F" w:rsidRDefault="0085581F" w:rsidP="0085581F">
                  <w:pPr>
                    <w:keepNext/>
                    <w:spacing w:before="0" w:after="0" w:line="240" w:lineRule="auto"/>
                    <w:jc w:val="left"/>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(NIS millions, other than per share data)</w:t>
                  </w:r>
                </w:p>
              </w:tc>
              <w:tc>
                <w:tcPr>
                  <w:tcW w:w="2612" w:type="dxa"/>
                  <w:gridSpan w:val="2"/>
                  <w:tcBorders>
                    <w:top w:val="nil"/>
                    <w:left w:val="nil"/>
                    <w:bottom w:val="single" w:sz="4" w:space="0" w:color="000000"/>
                    <w:right w:val="nil"/>
                    <w:tl2br w:val="nil"/>
                    <w:tr2bl w:val="nil"/>
                  </w:tcBorders>
                  <w:shd w:val="clear" w:color="FFFFFF" w:fill="071435"/>
                  <w:tcMar>
                    <w:left w:w="40" w:type="dxa"/>
                    <w:right w:w="40" w:type="dxa"/>
                  </w:tcMar>
                  <w:vAlign w:val="bottom"/>
                </w:tcPr>
                <w:p w14:paraId="2287CEFC"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 xml:space="preserve">For the 6 months ended </w:t>
                  </w:r>
                </w:p>
                <w:p w14:paraId="4F1C6CB8"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June 30</w:t>
                  </w:r>
                </w:p>
              </w:tc>
              <w:tc>
                <w:tcPr>
                  <w:tcW w:w="1306" w:type="dxa"/>
                  <w:tcBorders>
                    <w:top w:val="nil"/>
                    <w:left w:val="nil"/>
                    <w:bottom w:val="single" w:sz="4" w:space="0" w:color="000000"/>
                    <w:right w:val="nil"/>
                    <w:tl2br w:val="nil"/>
                    <w:tr2bl w:val="nil"/>
                  </w:tcBorders>
                  <w:shd w:val="clear" w:color="FFFFFF" w:fill="071435"/>
                  <w:tcMar>
                    <w:left w:w="0" w:type="dxa"/>
                    <w:right w:w="0" w:type="dxa"/>
                  </w:tcMar>
                  <w:vAlign w:val="bottom"/>
                </w:tcPr>
                <w:p w14:paraId="1083B127" w14:textId="77777777" w:rsidR="0085581F" w:rsidRPr="0085581F" w:rsidRDefault="0085581F" w:rsidP="0085581F">
                  <w:pPr>
                    <w:keepNext/>
                    <w:spacing w:before="0" w:after="0" w:line="240" w:lineRule="auto"/>
                    <w:jc w:val="left"/>
                    <w:rPr>
                      <w:rFonts w:asciiTheme="majorBidi" w:eastAsia="Ploni ML Medium AAA Medium" w:hAnsiTheme="majorBidi" w:cstheme="majorBidi"/>
                      <w:b/>
                      <w:color w:val="FFFFFF"/>
                      <w:sz w:val="21"/>
                    </w:rPr>
                  </w:pPr>
                </w:p>
              </w:tc>
            </w:tr>
            <w:tr w:rsidR="0085581F" w:rsidRPr="0085581F" w14:paraId="5982A94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2"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362EEEB"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p>
              </w:tc>
              <w:tc>
                <w:tcPr>
                  <w:tcW w:w="5286"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574A5EF"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70E7F57"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000000"/>
                      <w:sz w:val="21"/>
                      <w:u w:val="single"/>
                    </w:rPr>
                  </w:pPr>
                  <w:r w:rsidRPr="0085581F">
                    <w:rPr>
                      <w:rFonts w:asciiTheme="majorBidi" w:hAnsiTheme="majorBidi" w:cstheme="majorBidi"/>
                      <w:b/>
                      <w:color w:val="000000"/>
                      <w:sz w:val="21"/>
                      <w:u w:val="single"/>
                    </w:rPr>
                    <w:t>2024</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2380B50"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000000"/>
                      <w:sz w:val="21"/>
                      <w:u w:val="single"/>
                    </w:rPr>
                  </w:pPr>
                  <w:r w:rsidRPr="0085581F">
                    <w:rPr>
                      <w:rFonts w:asciiTheme="majorBidi" w:hAnsiTheme="majorBidi" w:cstheme="majorBidi"/>
                      <w:b/>
                      <w:color w:val="000000"/>
                      <w:sz w:val="21"/>
                      <w:u w:val="single"/>
                    </w:rPr>
                    <w:t>2023</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B16ECAF"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000000"/>
                      <w:sz w:val="21"/>
                      <w:u w:val="single"/>
                    </w:rPr>
                  </w:pPr>
                  <w:r w:rsidRPr="0085581F">
                    <w:rPr>
                      <w:rFonts w:asciiTheme="majorBidi" w:hAnsiTheme="majorBidi" w:cstheme="majorBidi"/>
                      <w:b/>
                      <w:color w:val="000000"/>
                      <w:sz w:val="21"/>
                      <w:u w:val="single"/>
                    </w:rPr>
                    <w:t>Change</w:t>
                  </w:r>
                </w:p>
              </w:tc>
            </w:tr>
            <w:tr w:rsidR="0085581F" w:rsidRPr="0085581F" w14:paraId="3C80CAC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88"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04A4C903"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Rental and other income</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0C01EC1"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1,253</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568A177"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1,189</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A07136B"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5.4%</w:t>
                  </w:r>
                </w:p>
              </w:tc>
            </w:tr>
            <w:tr w:rsidR="0085581F" w:rsidRPr="0085581F" w14:paraId="3A040EB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88"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33EF5AFB"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NOI</w:t>
                  </w:r>
                  <w:r w:rsidRPr="0085581F">
                    <w:rPr>
                      <w:rFonts w:asciiTheme="majorBidi" w:hAnsiTheme="majorBidi" w:cstheme="majorBidi"/>
                      <w:color w:val="000000"/>
                      <w:sz w:val="21"/>
                      <w:vertAlign w:val="superscript"/>
                    </w:rPr>
                    <w:t xml:space="preserve"> 1</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082153F"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856</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975BEFF"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828</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52CFD73"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3.4%</w:t>
                  </w:r>
                </w:p>
              </w:tc>
            </w:tr>
            <w:tr w:rsidR="0085581F" w:rsidRPr="0085581F" w14:paraId="55CD590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88"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8B4594B"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NOI net of operations in Russia and additional properties that were sold</w:t>
                  </w:r>
                  <w:r w:rsidRPr="0085581F">
                    <w:rPr>
                      <w:rFonts w:asciiTheme="majorBidi" w:hAnsiTheme="majorBidi" w:cstheme="majorBidi"/>
                      <w:color w:val="000000"/>
                      <w:sz w:val="21"/>
                      <w:vertAlign w:val="superscript"/>
                    </w:rPr>
                    <w:t xml:space="preserve"> 2</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9D2668A"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850</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7B4A33C"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737</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7E70C3D"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15.3%</w:t>
                  </w:r>
                </w:p>
              </w:tc>
            </w:tr>
            <w:tr w:rsidR="0085581F" w:rsidRPr="0085581F" w14:paraId="195EE16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88"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1DD255A"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Funds from operations (FFO) per share (expanded separate information) (in NIS)</w:t>
                  </w:r>
                  <w:r w:rsidRPr="0085581F">
                    <w:rPr>
                      <w:rFonts w:asciiTheme="majorBidi" w:hAnsiTheme="majorBidi" w:cstheme="majorBidi"/>
                      <w:color w:val="000000"/>
                      <w:sz w:val="21"/>
                      <w:vertAlign w:val="superscript"/>
                    </w:rPr>
                    <w:t xml:space="preserve"> 3</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BEED64B"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0.90</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49FEAF6"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1.26</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605D8E7"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(28.6%)</w:t>
                  </w:r>
                </w:p>
              </w:tc>
            </w:tr>
            <w:tr w:rsidR="0085581F" w:rsidRPr="0085581F" w14:paraId="7D7C359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88"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7F8CFFA"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FFO</w:t>
                  </w:r>
                  <w:r w:rsidRPr="0085581F">
                    <w:rPr>
                      <w:rFonts w:asciiTheme="majorBidi" w:hAnsiTheme="majorBidi" w:cstheme="majorBidi"/>
                      <w:color w:val="000000"/>
                      <w:sz w:val="21"/>
                      <w:vertAlign w:val="superscript"/>
                    </w:rPr>
                    <w:t xml:space="preserve"> 4</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F4F9B30"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224</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C015375"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255</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9EB933C"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(12.2%)</w:t>
                  </w:r>
                </w:p>
              </w:tc>
            </w:tr>
            <w:tr w:rsidR="0085581F" w:rsidRPr="0085581F" w14:paraId="0822566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88"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11FF48A"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FFO per share (in NIS)</w:t>
                  </w:r>
                  <w:r w:rsidRPr="0085581F">
                    <w:rPr>
                      <w:rFonts w:asciiTheme="majorBidi" w:hAnsiTheme="majorBidi" w:cstheme="majorBidi"/>
                      <w:color w:val="000000"/>
                      <w:sz w:val="21"/>
                      <w:vertAlign w:val="superscript"/>
                    </w:rPr>
                    <w:t xml:space="preserve"> 4</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1F50528"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1.20</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FD3C41F"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1.46</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A17A504"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(17.8%)</w:t>
                  </w:r>
                </w:p>
              </w:tc>
            </w:tr>
            <w:tr w:rsidR="0085581F" w:rsidRPr="0085581F" w14:paraId="0AED88C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88"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85A9AD8"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FFO net of operations in Russia and additional properties that were sold</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6F324FD"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219</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8DED38E"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187</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766B9AB"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17.1%</w:t>
                  </w:r>
                </w:p>
              </w:tc>
            </w:tr>
            <w:tr w:rsidR="0085581F" w:rsidRPr="0085581F" w14:paraId="2D5E4C7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88"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55A3E6FF"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FFO per share (in NIS) net of operations in Russia and additional properties that were sold</w:t>
                  </w:r>
                  <w:r w:rsidRPr="0085581F">
                    <w:rPr>
                      <w:rFonts w:asciiTheme="majorBidi" w:hAnsiTheme="majorBidi" w:cstheme="majorBidi"/>
                      <w:color w:val="000000"/>
                      <w:sz w:val="21"/>
                      <w:vertAlign w:val="superscript"/>
                    </w:rPr>
                    <w:t xml:space="preserve"> 6</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BE195CA"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1.18</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83C0EFE"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1.07</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3181158"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10.3%</w:t>
                  </w:r>
                </w:p>
              </w:tc>
            </w:tr>
            <w:tr w:rsidR="0085581F" w:rsidRPr="0085581F" w14:paraId="18FB1E8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88"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15A82F80"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Number of shares used in calculating the FFO per share (thousands)</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032F2CD"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186,117</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D99903D"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175,035</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73F7869"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6.3%</w:t>
                  </w:r>
                </w:p>
              </w:tc>
            </w:tr>
            <w:tr w:rsidR="0085581F" w:rsidRPr="0085581F" w14:paraId="5CEF2A77" w14:textId="77777777" w:rsidTr="0048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7"/>
              </w:trPr>
              <w:tc>
                <w:tcPr>
                  <w:tcW w:w="5788"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74CFC8DB" w14:textId="3BB8F4CF"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Acquisition, construction and development of investment property</w:t>
                  </w:r>
                  <w:r w:rsidRPr="0085581F">
                    <w:rPr>
                      <w:rFonts w:asciiTheme="majorBidi" w:hAnsiTheme="majorBidi" w:cstheme="majorBidi"/>
                      <w:color w:val="000000"/>
                      <w:sz w:val="21"/>
                      <w:vertAlign w:val="superscript"/>
                    </w:rPr>
                    <w:t>5</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2597E41"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249</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E4D77D4"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1,008</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CFACF4B"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39AD68D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88"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5E3CF63D"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Disposal of investment property</w:t>
                  </w:r>
                  <w:r w:rsidRPr="0085581F">
                    <w:rPr>
                      <w:rFonts w:asciiTheme="majorBidi" w:hAnsiTheme="majorBidi" w:cstheme="majorBidi"/>
                      <w:color w:val="000000"/>
                      <w:sz w:val="21"/>
                      <w:vertAlign w:val="superscript"/>
                    </w:rPr>
                    <w:t xml:space="preserve"> 5</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3BF6849"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569</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110A876"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956</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71B9EF2"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3686D74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88"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C9C6336"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Fair value gain from investment property and investment property under development, net</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696FDAA"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340</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98E1D95"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293</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C1180CC"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5FBB20A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88"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DFD3EA4"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Net income (loss) attributable to shareholders of the Company</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7590BD8"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252</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E283776"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(512)</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7E4631E"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20ED71B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88"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8E1A88D"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Diluted net earnings (loss) per share (NIS)</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40BEDEE"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1.22</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8B3B2F5"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(2.94)</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0E51F44"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43AAD43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88" w:type="dxa"/>
                  <w:gridSpan w:val="2"/>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503100DA"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Cash flows from operating activities</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2FA96F2"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282</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27D7D08"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339</w:t>
                  </w:r>
                </w:p>
              </w:tc>
              <w:tc>
                <w:tcPr>
                  <w:tcW w:w="130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33281D1"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2C64619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02" w:type="dxa"/>
                  <w:tcBorders>
                    <w:top w:val="single" w:sz="4" w:space="0" w:color="000000"/>
                    <w:left w:val="nil"/>
                    <w:bottom w:val="nil"/>
                    <w:right w:val="nil"/>
                    <w:tl2br w:val="nil"/>
                    <w:tr2bl w:val="nil"/>
                  </w:tcBorders>
                  <w:shd w:val="clear" w:color="auto" w:fill="auto"/>
                  <w:noWrap/>
                  <w:tcMar>
                    <w:left w:w="40" w:type="dxa"/>
                    <w:right w:w="40" w:type="dxa"/>
                  </w:tcMar>
                </w:tcPr>
                <w:p w14:paraId="0B9D138A"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17"/>
                    </w:rPr>
                  </w:pPr>
                  <w:r w:rsidRPr="0085581F">
                    <w:rPr>
                      <w:rFonts w:asciiTheme="majorBidi" w:hAnsiTheme="majorBidi" w:cstheme="majorBidi"/>
                      <w:color w:val="000000"/>
                      <w:sz w:val="17"/>
                    </w:rPr>
                    <w:t>1</w:t>
                  </w:r>
                </w:p>
              </w:tc>
              <w:tc>
                <w:tcPr>
                  <w:tcW w:w="9204" w:type="dxa"/>
                  <w:gridSpan w:val="4"/>
                  <w:tcBorders>
                    <w:top w:val="single" w:sz="4" w:space="0" w:color="000000"/>
                    <w:left w:val="nil"/>
                    <w:bottom w:val="nil"/>
                    <w:right w:val="nil"/>
                    <w:tl2br w:val="nil"/>
                    <w:tr2bl w:val="nil"/>
                  </w:tcBorders>
                  <w:shd w:val="clear" w:color="auto" w:fill="auto"/>
                  <w:tcMar>
                    <w:left w:w="40" w:type="dxa"/>
                    <w:right w:w="40" w:type="dxa"/>
                  </w:tcMar>
                </w:tcPr>
                <w:p w14:paraId="2403446A"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NOI - Net Operating Income - rental and other income, net of property operating and other expenses</w:t>
                  </w:r>
                </w:p>
              </w:tc>
            </w:tr>
            <w:tr w:rsidR="0085581F" w:rsidRPr="0085581F" w14:paraId="302F728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02" w:type="dxa"/>
                  <w:tcBorders>
                    <w:top w:val="nil"/>
                    <w:left w:val="nil"/>
                    <w:bottom w:val="nil"/>
                    <w:right w:val="nil"/>
                    <w:tl2br w:val="nil"/>
                    <w:tr2bl w:val="nil"/>
                  </w:tcBorders>
                  <w:shd w:val="clear" w:color="auto" w:fill="auto"/>
                  <w:noWrap/>
                  <w:tcMar>
                    <w:left w:w="40" w:type="dxa"/>
                    <w:right w:w="40" w:type="dxa"/>
                  </w:tcMar>
                </w:tcPr>
                <w:p w14:paraId="2200917C"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17"/>
                    </w:rPr>
                  </w:pPr>
                  <w:r w:rsidRPr="0085581F">
                    <w:rPr>
                      <w:rFonts w:asciiTheme="majorBidi" w:hAnsiTheme="majorBidi" w:cstheme="majorBidi"/>
                      <w:color w:val="000000"/>
                      <w:sz w:val="17"/>
                    </w:rPr>
                    <w:t>2</w:t>
                  </w:r>
                </w:p>
              </w:tc>
              <w:tc>
                <w:tcPr>
                  <w:tcW w:w="5286" w:type="dxa"/>
                  <w:tcBorders>
                    <w:top w:val="nil"/>
                    <w:left w:val="nil"/>
                    <w:bottom w:val="nil"/>
                    <w:right w:val="nil"/>
                    <w:tl2br w:val="nil"/>
                    <w:tr2bl w:val="nil"/>
                  </w:tcBorders>
                  <w:shd w:val="clear" w:color="auto" w:fill="auto"/>
                  <w:tcMar>
                    <w:left w:w="40" w:type="dxa"/>
                    <w:right w:w="40" w:type="dxa"/>
                  </w:tcMar>
                </w:tcPr>
                <w:p w14:paraId="0AD9FB4C" w14:textId="3D730D15"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Deducting the NOI from sold properties (see section 1.1 above)</w:t>
                  </w:r>
                  <w:r w:rsidR="00D26225">
                    <w:rPr>
                      <w:rFonts w:asciiTheme="majorBidi" w:hAnsiTheme="majorBidi" w:cstheme="majorBidi"/>
                      <w:color w:val="000000"/>
                      <w:sz w:val="18"/>
                      <w:szCs w:val="18"/>
                    </w:rPr>
                    <w:t>.</w:t>
                  </w:r>
                </w:p>
              </w:tc>
              <w:tc>
                <w:tcPr>
                  <w:tcW w:w="1306" w:type="dxa"/>
                  <w:tcBorders>
                    <w:top w:val="nil"/>
                    <w:left w:val="nil"/>
                    <w:bottom w:val="nil"/>
                    <w:right w:val="nil"/>
                    <w:tl2br w:val="nil"/>
                    <w:tr2bl w:val="nil"/>
                  </w:tcBorders>
                  <w:shd w:val="clear" w:color="auto" w:fill="auto"/>
                  <w:tcMar>
                    <w:left w:w="0" w:type="dxa"/>
                    <w:right w:w="0" w:type="dxa"/>
                  </w:tcMar>
                </w:tcPr>
                <w:p w14:paraId="678A3D64"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18"/>
                      <w:szCs w:val="18"/>
                    </w:rPr>
                  </w:pPr>
                </w:p>
              </w:tc>
              <w:tc>
                <w:tcPr>
                  <w:tcW w:w="1306" w:type="dxa"/>
                  <w:tcBorders>
                    <w:top w:val="nil"/>
                    <w:left w:val="nil"/>
                    <w:bottom w:val="nil"/>
                    <w:right w:val="nil"/>
                    <w:tl2br w:val="nil"/>
                    <w:tr2bl w:val="nil"/>
                  </w:tcBorders>
                  <w:shd w:val="clear" w:color="auto" w:fill="auto"/>
                  <w:tcMar>
                    <w:left w:w="0" w:type="dxa"/>
                    <w:right w:w="0" w:type="dxa"/>
                  </w:tcMar>
                </w:tcPr>
                <w:p w14:paraId="3D621AAB"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18"/>
                      <w:szCs w:val="18"/>
                    </w:rPr>
                  </w:pPr>
                </w:p>
              </w:tc>
              <w:tc>
                <w:tcPr>
                  <w:tcW w:w="1306" w:type="dxa"/>
                  <w:tcBorders>
                    <w:top w:val="nil"/>
                    <w:left w:val="nil"/>
                    <w:bottom w:val="nil"/>
                    <w:right w:val="nil"/>
                    <w:tl2br w:val="nil"/>
                    <w:tr2bl w:val="nil"/>
                  </w:tcBorders>
                  <w:shd w:val="clear" w:color="auto" w:fill="auto"/>
                  <w:tcMar>
                    <w:left w:w="0" w:type="dxa"/>
                    <w:right w:w="0" w:type="dxa"/>
                  </w:tcMar>
                </w:tcPr>
                <w:p w14:paraId="77A5D6D4"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18"/>
                      <w:szCs w:val="18"/>
                    </w:rPr>
                  </w:pPr>
                </w:p>
              </w:tc>
            </w:tr>
            <w:tr w:rsidR="0085581F" w:rsidRPr="0085581F" w14:paraId="4D4CAE7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02" w:type="dxa"/>
                  <w:tcBorders>
                    <w:top w:val="nil"/>
                    <w:left w:val="nil"/>
                    <w:bottom w:val="nil"/>
                    <w:right w:val="nil"/>
                    <w:tl2br w:val="nil"/>
                    <w:tr2bl w:val="nil"/>
                  </w:tcBorders>
                  <w:shd w:val="clear" w:color="auto" w:fill="auto"/>
                  <w:noWrap/>
                  <w:tcMar>
                    <w:left w:w="40" w:type="dxa"/>
                    <w:right w:w="40" w:type="dxa"/>
                  </w:tcMar>
                </w:tcPr>
                <w:p w14:paraId="2748C9DB"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17"/>
                    </w:rPr>
                  </w:pPr>
                  <w:r w:rsidRPr="0085581F">
                    <w:rPr>
                      <w:rFonts w:asciiTheme="majorBidi" w:hAnsiTheme="majorBidi" w:cstheme="majorBidi"/>
                      <w:color w:val="000000"/>
                      <w:sz w:val="17"/>
                    </w:rPr>
                    <w:t>3</w:t>
                  </w:r>
                </w:p>
              </w:tc>
              <w:tc>
                <w:tcPr>
                  <w:tcW w:w="9204" w:type="dxa"/>
                  <w:gridSpan w:val="4"/>
                  <w:tcBorders>
                    <w:top w:val="nil"/>
                    <w:left w:val="nil"/>
                    <w:bottom w:val="nil"/>
                    <w:right w:val="nil"/>
                    <w:tl2br w:val="nil"/>
                    <w:tr2bl w:val="nil"/>
                  </w:tcBorders>
                  <w:shd w:val="clear" w:color="auto" w:fill="auto"/>
                  <w:tcMar>
                    <w:left w:w="40" w:type="dxa"/>
                    <w:right w:w="40" w:type="dxa"/>
                  </w:tcMar>
                </w:tcPr>
                <w:p w14:paraId="2E74AE3A" w14:textId="77777777" w:rsidR="0085581F" w:rsidRPr="0085581F" w:rsidRDefault="0085581F" w:rsidP="0085581F">
                  <w:pPr>
                    <w:keepNext/>
                    <w:spacing w:before="0" w:after="0" w:line="240" w:lineRule="auto"/>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See section 2.2 below.</w:t>
                  </w:r>
                </w:p>
              </w:tc>
            </w:tr>
            <w:tr w:rsidR="0085581F" w:rsidRPr="0085581F" w14:paraId="1018F64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02" w:type="dxa"/>
                  <w:tcBorders>
                    <w:top w:val="nil"/>
                    <w:left w:val="nil"/>
                    <w:bottom w:val="nil"/>
                    <w:right w:val="nil"/>
                    <w:tl2br w:val="nil"/>
                    <w:tr2bl w:val="nil"/>
                  </w:tcBorders>
                  <w:shd w:val="clear" w:color="auto" w:fill="auto"/>
                  <w:noWrap/>
                  <w:tcMar>
                    <w:left w:w="40" w:type="dxa"/>
                    <w:right w:w="40" w:type="dxa"/>
                  </w:tcMar>
                </w:tcPr>
                <w:p w14:paraId="11CE5C22"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17"/>
                    </w:rPr>
                  </w:pPr>
                  <w:r w:rsidRPr="0085581F">
                    <w:rPr>
                      <w:rFonts w:asciiTheme="majorBidi" w:hAnsiTheme="majorBidi" w:cstheme="majorBidi"/>
                      <w:color w:val="000000"/>
                      <w:sz w:val="17"/>
                    </w:rPr>
                    <w:t>4</w:t>
                  </w:r>
                </w:p>
              </w:tc>
              <w:tc>
                <w:tcPr>
                  <w:tcW w:w="9204" w:type="dxa"/>
                  <w:gridSpan w:val="4"/>
                  <w:tcBorders>
                    <w:top w:val="nil"/>
                    <w:left w:val="nil"/>
                    <w:bottom w:val="nil"/>
                    <w:right w:val="nil"/>
                    <w:tl2br w:val="nil"/>
                    <w:tr2bl w:val="nil"/>
                  </w:tcBorders>
                  <w:shd w:val="clear" w:color="auto" w:fill="auto"/>
                  <w:tcMar>
                    <w:left w:w="40" w:type="dxa"/>
                    <w:right w:w="40" w:type="dxa"/>
                  </w:tcMar>
                </w:tcPr>
                <w:p w14:paraId="34B147B7" w14:textId="77777777" w:rsidR="0085581F" w:rsidRPr="0085581F" w:rsidRDefault="0085581F" w:rsidP="0085581F">
                  <w:pPr>
                    <w:keepNext/>
                    <w:spacing w:before="0" w:after="0" w:line="240" w:lineRule="auto"/>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The FFO is presented according to the management approach and in accordance with EPRA regulations. For the FFO calculation, see section 2.3 below.</w:t>
                  </w:r>
                </w:p>
              </w:tc>
            </w:tr>
            <w:tr w:rsidR="0085581F" w:rsidRPr="0085581F" w14:paraId="342B890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02" w:type="dxa"/>
                  <w:tcBorders>
                    <w:top w:val="nil"/>
                    <w:left w:val="nil"/>
                    <w:bottom w:val="nil"/>
                    <w:right w:val="nil"/>
                    <w:tl2br w:val="nil"/>
                    <w:tr2bl w:val="nil"/>
                  </w:tcBorders>
                  <w:shd w:val="clear" w:color="auto" w:fill="auto"/>
                  <w:noWrap/>
                  <w:tcMar>
                    <w:left w:w="40" w:type="dxa"/>
                    <w:right w:w="40" w:type="dxa"/>
                  </w:tcMar>
                </w:tcPr>
                <w:p w14:paraId="28AC9726"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17"/>
                    </w:rPr>
                  </w:pPr>
                  <w:r w:rsidRPr="0085581F">
                    <w:rPr>
                      <w:rFonts w:asciiTheme="majorBidi" w:hAnsiTheme="majorBidi" w:cstheme="majorBidi"/>
                      <w:color w:val="000000"/>
                      <w:sz w:val="17"/>
                    </w:rPr>
                    <w:t>5</w:t>
                  </w:r>
                </w:p>
              </w:tc>
              <w:tc>
                <w:tcPr>
                  <w:tcW w:w="9204" w:type="dxa"/>
                  <w:gridSpan w:val="4"/>
                  <w:tcBorders>
                    <w:top w:val="nil"/>
                    <w:left w:val="nil"/>
                    <w:bottom w:val="nil"/>
                    <w:right w:val="nil"/>
                    <w:tl2br w:val="nil"/>
                    <w:tr2bl w:val="nil"/>
                  </w:tcBorders>
                  <w:shd w:val="clear" w:color="auto" w:fill="auto"/>
                  <w:tcMar>
                    <w:left w:w="40" w:type="dxa"/>
                    <w:right w:w="40" w:type="dxa"/>
                  </w:tcMar>
                </w:tcPr>
                <w:p w14:paraId="002F5DBB" w14:textId="77777777" w:rsidR="0085581F" w:rsidRPr="0085581F" w:rsidRDefault="0085581F" w:rsidP="0085581F">
                  <w:pPr>
                    <w:keepNext/>
                    <w:spacing w:before="0" w:after="0" w:line="240" w:lineRule="auto"/>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From the consolidated statements of cash flows attributable to the Company</w:t>
                  </w:r>
                </w:p>
              </w:tc>
            </w:tr>
            <w:tr w:rsidR="0085581F" w:rsidRPr="0085581F" w14:paraId="65D748A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02" w:type="dxa"/>
                  <w:tcBorders>
                    <w:top w:val="nil"/>
                    <w:left w:val="nil"/>
                    <w:bottom w:val="nil"/>
                    <w:right w:val="nil"/>
                    <w:tl2br w:val="nil"/>
                    <w:tr2bl w:val="nil"/>
                  </w:tcBorders>
                  <w:shd w:val="clear" w:color="auto" w:fill="auto"/>
                  <w:noWrap/>
                  <w:tcMar>
                    <w:left w:w="40" w:type="dxa"/>
                    <w:right w:w="40" w:type="dxa"/>
                  </w:tcMar>
                </w:tcPr>
                <w:p w14:paraId="0533BC71"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17"/>
                    </w:rPr>
                  </w:pPr>
                  <w:r w:rsidRPr="0085581F">
                    <w:rPr>
                      <w:rFonts w:asciiTheme="majorBidi" w:hAnsiTheme="majorBidi" w:cstheme="majorBidi"/>
                      <w:color w:val="000000"/>
                      <w:sz w:val="17"/>
                    </w:rPr>
                    <w:t>6</w:t>
                  </w:r>
                </w:p>
              </w:tc>
              <w:tc>
                <w:tcPr>
                  <w:tcW w:w="9204" w:type="dxa"/>
                  <w:gridSpan w:val="4"/>
                  <w:tcBorders>
                    <w:top w:val="nil"/>
                    <w:left w:val="nil"/>
                    <w:bottom w:val="nil"/>
                    <w:right w:val="nil"/>
                    <w:tl2br w:val="nil"/>
                    <w:tr2bl w:val="nil"/>
                  </w:tcBorders>
                  <w:shd w:val="clear" w:color="auto" w:fill="auto"/>
                  <w:tcMar>
                    <w:left w:w="40" w:type="dxa"/>
                    <w:right w:w="40" w:type="dxa"/>
                  </w:tcMar>
                </w:tcPr>
                <w:p w14:paraId="2CD0EB15" w14:textId="77777777" w:rsidR="0085581F" w:rsidRPr="0085581F" w:rsidRDefault="0085581F" w:rsidP="0085581F">
                  <w:pPr>
                    <w:keepNext/>
                    <w:spacing w:before="0" w:after="0" w:line="240" w:lineRule="auto"/>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Deducting the NOI from sold properties (see section 1.1 above) and decreasing interest expenses by taking into account the proceeds from the sale of properties.</w:t>
                  </w:r>
                </w:p>
              </w:tc>
            </w:tr>
          </w:tbl>
          <w:p w14:paraId="0F0B78E7" w14:textId="77777777" w:rsidR="0085581F" w:rsidRPr="0085581F" w:rsidRDefault="0085581F" w:rsidP="0085581F">
            <w:pPr>
              <w:rPr>
                <w:rFonts w:asciiTheme="majorBidi" w:hAnsiTheme="majorBidi" w:cstheme="majorBidi"/>
              </w:rPr>
            </w:pPr>
          </w:p>
        </w:tc>
      </w:tr>
    </w:tbl>
    <w:p w14:paraId="5258A8F0" w14:textId="603BF8A9" w:rsidR="0085581F" w:rsidRPr="0085581F" w:rsidRDefault="0085581F" w:rsidP="004D7A72">
      <w:pPr>
        <w:keepLines/>
        <w:numPr>
          <w:ilvl w:val="0"/>
          <w:numId w:val="23"/>
        </w:numPr>
        <w:tabs>
          <w:tab w:val="left" w:pos="425"/>
          <w:tab w:val="left" w:pos="1133"/>
        </w:tabs>
        <w:spacing w:before="80" w:after="80" w:line="240" w:lineRule="auto"/>
        <w:ind w:left="284" w:hanging="284"/>
        <w:rPr>
          <w:rFonts w:asciiTheme="majorBidi" w:hAnsiTheme="majorBidi" w:cstheme="majorBidi"/>
        </w:rPr>
      </w:pPr>
      <w:r w:rsidRPr="0085581F">
        <w:rPr>
          <w:rFonts w:asciiTheme="majorBidi" w:hAnsiTheme="majorBidi" w:cstheme="majorBidi"/>
        </w:rPr>
        <w:t xml:space="preserve">In the reporting period the Company issued a new debenture series (Series R) that is secured by the shares of a special purpose company wholly owned by the Company that holds income generating real estate in the United States, for an amount of NIS 410 million. For further information see Note </w:t>
      </w:r>
      <w:r w:rsidR="000F2CC2">
        <w:rPr>
          <w:rFonts w:asciiTheme="majorBidi" w:hAnsiTheme="majorBidi" w:cstheme="majorBidi"/>
        </w:rPr>
        <w:t>3A1</w:t>
      </w:r>
      <w:r w:rsidRPr="0085581F">
        <w:rPr>
          <w:rFonts w:asciiTheme="majorBidi" w:hAnsiTheme="majorBidi" w:cstheme="majorBidi"/>
        </w:rPr>
        <w:t xml:space="preserve"> to the financial statements.</w:t>
      </w:r>
    </w:p>
    <w:p w14:paraId="2E55E64A" w14:textId="0A5E0585" w:rsidR="0085581F" w:rsidRPr="0085581F" w:rsidRDefault="0085581F" w:rsidP="004D7A72">
      <w:pPr>
        <w:keepLines/>
        <w:numPr>
          <w:ilvl w:val="0"/>
          <w:numId w:val="23"/>
        </w:numPr>
        <w:tabs>
          <w:tab w:val="left" w:pos="425"/>
          <w:tab w:val="left" w:pos="1133"/>
        </w:tabs>
        <w:spacing w:before="80" w:after="80" w:line="240" w:lineRule="auto"/>
        <w:ind w:left="284" w:hanging="284"/>
        <w:rPr>
          <w:rFonts w:asciiTheme="majorBidi" w:hAnsiTheme="majorBidi" w:cstheme="majorBidi"/>
        </w:rPr>
      </w:pPr>
      <w:r w:rsidRPr="0085581F">
        <w:rPr>
          <w:rFonts w:asciiTheme="majorBidi" w:hAnsiTheme="majorBidi" w:cstheme="majorBidi"/>
        </w:rPr>
        <w:t xml:space="preserve">In the reporting period, the Company issued a new debenture series (Series S) that is secured by a second degree lien on a real estate property in Israel for an amount of NIS 495 million. For further information see Note </w:t>
      </w:r>
      <w:r w:rsidR="000F2CC2">
        <w:rPr>
          <w:rFonts w:asciiTheme="majorBidi" w:hAnsiTheme="majorBidi" w:cstheme="majorBidi"/>
        </w:rPr>
        <w:t>3A7</w:t>
      </w:r>
      <w:r w:rsidRPr="0085581F">
        <w:rPr>
          <w:rFonts w:asciiTheme="majorBidi" w:hAnsiTheme="majorBidi" w:cstheme="majorBidi"/>
        </w:rPr>
        <w:t xml:space="preserve"> to the financial statements.</w:t>
      </w:r>
    </w:p>
    <w:p w14:paraId="30707C53" w14:textId="11AE6904" w:rsidR="0085581F" w:rsidRPr="0085581F" w:rsidRDefault="0085581F" w:rsidP="004D7A72">
      <w:pPr>
        <w:keepLines/>
        <w:numPr>
          <w:ilvl w:val="0"/>
          <w:numId w:val="23"/>
        </w:numPr>
        <w:tabs>
          <w:tab w:val="left" w:pos="425"/>
          <w:tab w:val="left" w:pos="1133"/>
        </w:tabs>
        <w:spacing w:before="80" w:after="80" w:line="240" w:lineRule="auto"/>
        <w:ind w:left="284" w:hanging="284"/>
        <w:rPr>
          <w:rFonts w:asciiTheme="majorBidi" w:hAnsiTheme="majorBidi" w:cstheme="majorBidi"/>
        </w:rPr>
      </w:pPr>
      <w:r w:rsidRPr="0085581F">
        <w:rPr>
          <w:rFonts w:asciiTheme="majorBidi" w:hAnsiTheme="majorBidi" w:cstheme="majorBidi"/>
        </w:rPr>
        <w:t xml:space="preserve">In the reporting period, the Company expanded an existing debenture series (Series P) that is secured by shares of G Europe (a wholly owned subsidiary of the Company) for an amount of NIS 336 million.  For further information see Note </w:t>
      </w:r>
      <w:r w:rsidR="000F2CC2">
        <w:rPr>
          <w:rFonts w:asciiTheme="majorBidi" w:hAnsiTheme="majorBidi" w:cstheme="majorBidi"/>
        </w:rPr>
        <w:t>3A8</w:t>
      </w:r>
      <w:r w:rsidRPr="0085581F">
        <w:rPr>
          <w:rFonts w:asciiTheme="majorBidi" w:hAnsiTheme="majorBidi" w:cstheme="majorBidi"/>
        </w:rPr>
        <w:t xml:space="preserve"> to the financial statements.</w:t>
      </w:r>
    </w:p>
    <w:p w14:paraId="665E5504" w14:textId="002AE42F" w:rsidR="0085581F" w:rsidRPr="0085581F" w:rsidRDefault="0085581F" w:rsidP="004D7A72">
      <w:pPr>
        <w:keepLines/>
        <w:numPr>
          <w:ilvl w:val="0"/>
          <w:numId w:val="23"/>
        </w:numPr>
        <w:tabs>
          <w:tab w:val="left" w:pos="425"/>
          <w:tab w:val="left" w:pos="1133"/>
        </w:tabs>
        <w:spacing w:before="80" w:after="80" w:line="240" w:lineRule="auto"/>
        <w:ind w:left="284" w:hanging="284"/>
        <w:rPr>
          <w:rFonts w:asciiTheme="majorBidi" w:hAnsiTheme="majorBidi" w:cstheme="majorBidi"/>
        </w:rPr>
      </w:pPr>
      <w:r w:rsidRPr="0085581F">
        <w:rPr>
          <w:rFonts w:asciiTheme="majorBidi" w:hAnsiTheme="majorBidi" w:cstheme="majorBidi"/>
        </w:rPr>
        <w:t xml:space="preserve">In the reporting period, CTY executed proactive early redemption of all outstanding Debentures (Series 2024) for an amount of EUR 97 million. For further information see Note </w:t>
      </w:r>
      <w:r w:rsidR="000F2CC2">
        <w:rPr>
          <w:rFonts w:asciiTheme="majorBidi" w:hAnsiTheme="majorBidi" w:cstheme="majorBidi"/>
        </w:rPr>
        <w:t>3A9</w:t>
      </w:r>
      <w:r w:rsidRPr="0085581F">
        <w:rPr>
          <w:rFonts w:asciiTheme="majorBidi" w:hAnsiTheme="majorBidi" w:cstheme="majorBidi"/>
        </w:rPr>
        <w:t xml:space="preserve"> to the financial statements.</w:t>
      </w:r>
    </w:p>
    <w:p w14:paraId="4BF064A0" w14:textId="6A4BAE0A" w:rsidR="0085581F" w:rsidRPr="0085581F" w:rsidRDefault="0085581F" w:rsidP="004D7A72">
      <w:pPr>
        <w:keepLines/>
        <w:numPr>
          <w:ilvl w:val="0"/>
          <w:numId w:val="23"/>
        </w:numPr>
        <w:tabs>
          <w:tab w:val="left" w:pos="425"/>
          <w:tab w:val="left" w:pos="1133"/>
        </w:tabs>
        <w:spacing w:before="80" w:after="80" w:line="240" w:lineRule="auto"/>
        <w:ind w:left="284" w:hanging="284"/>
        <w:rPr>
          <w:rFonts w:asciiTheme="majorBidi" w:hAnsiTheme="majorBidi" w:cstheme="majorBidi"/>
        </w:rPr>
      </w:pPr>
      <w:r w:rsidRPr="0085581F">
        <w:rPr>
          <w:rFonts w:asciiTheme="majorBidi" w:hAnsiTheme="majorBidi" w:cstheme="majorBidi"/>
        </w:rPr>
        <w:t xml:space="preserve">In the reporting period, CTY exchanged hybrid debentures in return for the issue of a new series of hybrid debentures and cash payment. For further information see Note </w:t>
      </w:r>
      <w:r w:rsidR="000F2CC2">
        <w:rPr>
          <w:rFonts w:asciiTheme="majorBidi" w:hAnsiTheme="majorBidi" w:cstheme="majorBidi"/>
        </w:rPr>
        <w:t>3A10</w:t>
      </w:r>
      <w:r w:rsidRPr="0085581F">
        <w:rPr>
          <w:rFonts w:asciiTheme="majorBidi" w:hAnsiTheme="majorBidi" w:cstheme="majorBidi"/>
        </w:rPr>
        <w:t xml:space="preserve"> to the financial statements.</w:t>
      </w:r>
    </w:p>
    <w:p w14:paraId="605136B9" w14:textId="77777777" w:rsidR="0085581F" w:rsidRPr="0085581F" w:rsidRDefault="0085581F" w:rsidP="004D7A72">
      <w:pPr>
        <w:numPr>
          <w:ilvl w:val="0"/>
          <w:numId w:val="22"/>
        </w:numPr>
        <w:tabs>
          <w:tab w:val="left" w:pos="425"/>
          <w:tab w:val="left" w:pos="1133"/>
        </w:tabs>
        <w:spacing w:before="80" w:after="80" w:line="240" w:lineRule="auto"/>
        <w:ind w:left="284" w:hanging="284"/>
        <w:rPr>
          <w:rFonts w:asciiTheme="majorBidi" w:hAnsiTheme="majorBidi" w:cstheme="majorBidi"/>
        </w:rPr>
      </w:pPr>
      <w:r w:rsidRPr="0085581F">
        <w:rPr>
          <w:rFonts w:asciiTheme="majorBidi" w:hAnsiTheme="majorBidi" w:cstheme="majorBidi"/>
        </w:rPr>
        <w:t xml:space="preserve">As a result of the exchange rate changes of the USD, EUR, BRL and CAD against the NIS, and the NOK and SEK against the EUR, the equity attributable to Company shareholders decreased in the reporting period by NIS 115 million (net of the effect of currency swap transactions). </w:t>
      </w:r>
    </w:p>
    <w:p w14:paraId="26AD46ED" w14:textId="77777777" w:rsidR="0085581F" w:rsidRPr="0085581F" w:rsidRDefault="0085581F" w:rsidP="004D7A72">
      <w:pPr>
        <w:numPr>
          <w:ilvl w:val="0"/>
          <w:numId w:val="22"/>
        </w:numPr>
        <w:tabs>
          <w:tab w:val="left" w:pos="425"/>
          <w:tab w:val="left" w:pos="1133"/>
        </w:tabs>
        <w:spacing w:before="80" w:after="80" w:line="240" w:lineRule="auto"/>
        <w:ind w:left="284" w:hanging="284"/>
        <w:rPr>
          <w:rFonts w:asciiTheme="majorBidi" w:hAnsiTheme="majorBidi" w:cstheme="majorBidi"/>
        </w:rPr>
      </w:pPr>
      <w:r w:rsidRPr="0085581F">
        <w:rPr>
          <w:rFonts w:asciiTheme="majorBidi" w:hAnsiTheme="majorBidi" w:cstheme="majorBidi"/>
        </w:rPr>
        <w:t>Generally, the exchange rate fluctuations of the USD, EUR, BRL and CAD against the NIS have the following effect:</w:t>
      </w:r>
    </w:p>
    <w:p w14:paraId="6086C544" w14:textId="0EFE8A61" w:rsidR="0085581F" w:rsidRPr="0085581F" w:rsidRDefault="0085581F" w:rsidP="004D7A72">
      <w:pPr>
        <w:numPr>
          <w:ilvl w:val="0"/>
          <w:numId w:val="43"/>
        </w:numPr>
        <w:spacing w:before="80" w:after="80"/>
        <w:ind w:left="284" w:hanging="278"/>
        <w:jc w:val="left"/>
        <w:rPr>
          <w:rFonts w:asciiTheme="majorBidi" w:hAnsiTheme="majorBidi" w:cstheme="majorBidi"/>
        </w:rPr>
      </w:pPr>
      <w:r w:rsidRPr="0085581F">
        <w:rPr>
          <w:rFonts w:asciiTheme="majorBidi" w:hAnsiTheme="majorBidi" w:cstheme="majorBidi"/>
        </w:rPr>
        <w:t xml:space="preserve">An increase in the exchange rates of these currencies against the NIS has a positive effect on the assets, equity of the Company, NOI and Economic FFO, arising from translation of the foreign currencies to NIS at higher rates. </w:t>
      </w:r>
    </w:p>
    <w:p w14:paraId="2D4AB35F" w14:textId="77777777" w:rsidR="0085581F" w:rsidRPr="0085581F" w:rsidRDefault="0085581F" w:rsidP="0085581F">
      <w:pPr>
        <w:tabs>
          <w:tab w:val="left" w:pos="425"/>
          <w:tab w:val="left" w:pos="1133"/>
        </w:tabs>
        <w:spacing w:line="240" w:lineRule="auto"/>
        <w:rPr>
          <w:rFonts w:asciiTheme="majorBidi" w:hAnsiTheme="majorBidi" w:cstheme="majorBidi"/>
        </w:rPr>
      </w:pPr>
    </w:p>
    <w:p w14:paraId="25D00C0B" w14:textId="77777777" w:rsidR="0085581F" w:rsidRPr="0085581F" w:rsidRDefault="0085581F" w:rsidP="0085581F">
      <w:pPr>
        <w:pageBreakBefore/>
        <w:tabs>
          <w:tab w:val="left" w:pos="425"/>
          <w:tab w:val="left" w:pos="1133"/>
        </w:tabs>
        <w:spacing w:before="120"/>
        <w:outlineLvl w:val="3"/>
        <w:rPr>
          <w:rFonts w:asciiTheme="majorBidi" w:hAnsiTheme="majorBidi" w:cstheme="majorBidi"/>
          <w:sz w:val="21"/>
        </w:rPr>
      </w:pPr>
      <w:r w:rsidRPr="0085581F">
        <w:rPr>
          <w:rFonts w:asciiTheme="majorBidi" w:hAnsiTheme="majorBidi" w:cstheme="majorBidi"/>
          <w:sz w:val="21"/>
        </w:rPr>
        <w:lastRenderedPageBreak/>
        <w:t>1.8</w:t>
      </w:r>
      <w:r w:rsidRPr="0085581F">
        <w:rPr>
          <w:rFonts w:asciiTheme="majorBidi" w:hAnsiTheme="majorBidi" w:cstheme="majorBidi"/>
          <w:sz w:val="21"/>
        </w:rPr>
        <w:tab/>
        <w:t>Highlights of the first six months of 2024 (“Reporting Period”) (contd.)</w:t>
      </w:r>
    </w:p>
    <w:p w14:paraId="396AD53E" w14:textId="77777777" w:rsidR="0085581F" w:rsidRPr="0085581F" w:rsidRDefault="0085581F" w:rsidP="00B31DD8">
      <w:pPr>
        <w:numPr>
          <w:ilvl w:val="0"/>
          <w:numId w:val="24"/>
        </w:numPr>
        <w:tabs>
          <w:tab w:val="left" w:pos="425"/>
          <w:tab w:val="left" w:pos="1133"/>
        </w:tabs>
        <w:spacing w:before="120"/>
        <w:ind w:left="425" w:hanging="425"/>
        <w:rPr>
          <w:rFonts w:asciiTheme="majorBidi" w:hAnsiTheme="majorBidi" w:cstheme="majorBidi"/>
          <w:sz w:val="21"/>
        </w:rPr>
      </w:pPr>
      <w:r w:rsidRPr="0085581F">
        <w:rPr>
          <w:rFonts w:asciiTheme="majorBidi" w:hAnsiTheme="majorBidi" w:cstheme="majorBidi"/>
          <w:sz w:val="21"/>
        </w:rPr>
        <w:t xml:space="preserve">Conversely, a negative effect on the Company’s net income was recorded due to a loss from revaluation of the hedging instruments (financial derivatives) as reflected in the statement of income, by way of increasing financing expenses. </w:t>
      </w:r>
    </w:p>
    <w:p w14:paraId="52837DCB" w14:textId="77777777" w:rsidR="0085581F" w:rsidRPr="0085581F" w:rsidRDefault="0085581F" w:rsidP="004D7A72">
      <w:pPr>
        <w:numPr>
          <w:ilvl w:val="0"/>
          <w:numId w:val="24"/>
        </w:numPr>
        <w:tabs>
          <w:tab w:val="left" w:pos="425"/>
          <w:tab w:val="left" w:pos="1133"/>
        </w:tabs>
        <w:spacing w:before="120"/>
        <w:ind w:left="425" w:hanging="425"/>
        <w:rPr>
          <w:rFonts w:asciiTheme="majorBidi" w:hAnsiTheme="majorBidi" w:cstheme="majorBidi"/>
          <w:sz w:val="21"/>
        </w:rPr>
      </w:pPr>
      <w:r w:rsidRPr="0085581F">
        <w:rPr>
          <w:rFonts w:asciiTheme="majorBidi" w:hAnsiTheme="majorBidi" w:cstheme="majorBidi"/>
          <w:sz w:val="21"/>
        </w:rPr>
        <w:t>A devaluation of these exchange rates against the NIS has a negative effect on the Company’s assets, equity, NOI and FFO, and a positive effect on the Company’s net income due to a positive revaluation of the hedging instruments reflected in the statement of income by reducing financing expenses.</w:t>
      </w:r>
    </w:p>
    <w:p w14:paraId="197DBF86" w14:textId="77777777" w:rsidR="0085581F" w:rsidRPr="0085581F" w:rsidRDefault="0085581F" w:rsidP="004D7A72">
      <w:pPr>
        <w:numPr>
          <w:ilvl w:val="0"/>
          <w:numId w:val="22"/>
        </w:numPr>
        <w:tabs>
          <w:tab w:val="left" w:pos="284"/>
          <w:tab w:val="left" w:pos="1133"/>
        </w:tabs>
        <w:spacing w:before="120"/>
        <w:ind w:left="284" w:hanging="284"/>
        <w:rPr>
          <w:rFonts w:asciiTheme="majorBidi" w:hAnsiTheme="majorBidi" w:cstheme="majorBidi"/>
          <w:sz w:val="21"/>
        </w:rPr>
      </w:pPr>
      <w:bookmarkStart w:id="20" w:name="_Hlk172191490"/>
      <w:r w:rsidRPr="0085581F">
        <w:rPr>
          <w:rFonts w:asciiTheme="majorBidi" w:hAnsiTheme="majorBidi" w:cstheme="majorBidi"/>
          <w:sz w:val="21"/>
        </w:rPr>
        <w:t>Exchange rate fluctuations of the NEK and SEK against the EUR have the following effects:</w:t>
      </w:r>
    </w:p>
    <w:p w14:paraId="082924F1" w14:textId="77777777" w:rsidR="0085581F" w:rsidRPr="0085581F" w:rsidRDefault="0085581F" w:rsidP="00B31DD8">
      <w:pPr>
        <w:numPr>
          <w:ilvl w:val="0"/>
          <w:numId w:val="22"/>
        </w:numPr>
        <w:tabs>
          <w:tab w:val="left" w:pos="284"/>
          <w:tab w:val="left" w:pos="1133"/>
        </w:tabs>
        <w:spacing w:before="120"/>
        <w:ind w:left="284" w:hanging="284"/>
        <w:rPr>
          <w:rFonts w:asciiTheme="majorBidi" w:hAnsiTheme="majorBidi" w:cstheme="majorBidi"/>
          <w:b/>
          <w:bCs/>
          <w:sz w:val="21"/>
          <w:szCs w:val="21"/>
        </w:rPr>
      </w:pPr>
      <w:r w:rsidRPr="0085581F">
        <w:rPr>
          <w:rFonts w:asciiTheme="majorBidi" w:hAnsiTheme="majorBidi" w:cstheme="majorBidi"/>
          <w:sz w:val="21"/>
        </w:rPr>
        <w:t>An appreciation (strengthening) of exchange rate of these currencies against the EUR has a positive effect on the Company’s assets, equity, NOI, FFO and net profit, and devaluation (weakening) of these exchange rates against the EUR has a negative effect on these items.</w:t>
      </w:r>
      <w:bookmarkEnd w:id="20"/>
    </w:p>
    <w:p w14:paraId="2D7AD9F0" w14:textId="77777777" w:rsidR="0085581F" w:rsidRPr="0085581F" w:rsidRDefault="0085581F" w:rsidP="0085581F">
      <w:pPr>
        <w:keepLines/>
        <w:tabs>
          <w:tab w:val="left" w:pos="425"/>
          <w:tab w:val="left" w:pos="1133"/>
        </w:tabs>
        <w:spacing w:before="120"/>
        <w:rPr>
          <w:rFonts w:asciiTheme="majorBidi" w:hAnsiTheme="majorBidi" w:cstheme="majorBidi"/>
          <w:b/>
          <w:bCs/>
          <w:sz w:val="21"/>
          <w:szCs w:val="21"/>
          <w:rtl/>
        </w:rPr>
      </w:pPr>
    </w:p>
    <w:p w14:paraId="5D07A25B" w14:textId="77777777" w:rsidR="0085581F" w:rsidRPr="0085581F" w:rsidRDefault="0085581F" w:rsidP="004D7A72">
      <w:pPr>
        <w:keepNext/>
        <w:pageBreakBefore/>
        <w:widowControl w:val="0"/>
        <w:numPr>
          <w:ilvl w:val="0"/>
          <w:numId w:val="25"/>
        </w:numPr>
        <w:tabs>
          <w:tab w:val="left" w:pos="425"/>
        </w:tabs>
        <w:spacing w:before="120"/>
        <w:ind w:left="425" w:hanging="425"/>
        <w:outlineLvl w:val="2"/>
        <w:rPr>
          <w:rFonts w:asciiTheme="majorBidi" w:hAnsiTheme="majorBidi" w:cstheme="majorBidi"/>
          <w:sz w:val="21"/>
          <w:szCs w:val="21"/>
        </w:rPr>
      </w:pPr>
      <w:bookmarkStart w:id="21" w:name="RG_MARKER_56576"/>
      <w:bookmarkStart w:id="22" w:name="RG_MARKER_56703"/>
      <w:bookmarkStart w:id="23" w:name="H3_החברה_ופעילותה____0"/>
      <w:r w:rsidRPr="0085581F">
        <w:rPr>
          <w:rFonts w:asciiTheme="majorBidi" w:hAnsiTheme="majorBidi" w:cstheme="majorBidi"/>
          <w:sz w:val="21"/>
        </w:rPr>
        <w:lastRenderedPageBreak/>
        <w:t xml:space="preserve">Additional Information Concerning the Company’s Assets and Liabilities  </w:t>
      </w:r>
      <w:bookmarkEnd w:id="21"/>
      <w:bookmarkEnd w:id="22"/>
    </w:p>
    <w:bookmarkEnd w:id="23"/>
    <w:p w14:paraId="08EC528E" w14:textId="77777777" w:rsidR="0085581F" w:rsidRPr="0085581F" w:rsidRDefault="0085581F" w:rsidP="004D7A72">
      <w:pPr>
        <w:keepNext/>
        <w:widowControl w:val="0"/>
        <w:numPr>
          <w:ilvl w:val="1"/>
          <w:numId w:val="25"/>
        </w:numPr>
        <w:tabs>
          <w:tab w:val="left" w:pos="425"/>
          <w:tab w:val="left" w:pos="1133"/>
        </w:tabs>
        <w:spacing w:before="120"/>
        <w:ind w:left="425" w:hanging="425"/>
        <w:outlineLvl w:val="3"/>
        <w:rPr>
          <w:rFonts w:asciiTheme="majorBidi" w:hAnsiTheme="majorBidi" w:cstheme="majorBidi"/>
          <w:sz w:val="21"/>
          <w:szCs w:val="21"/>
          <w:u w:val="single"/>
        </w:rPr>
      </w:pPr>
      <w:r w:rsidRPr="0085581F">
        <w:rPr>
          <w:rFonts w:asciiTheme="majorBidi" w:hAnsiTheme="majorBidi" w:cstheme="majorBidi"/>
          <w:sz w:val="21"/>
          <w:u w:val="single"/>
        </w:rPr>
        <w:t>Breakdown of the Company’s holdings as at June 30, 2024: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85581F" w:rsidRPr="0085581F" w14:paraId="2634AA75" w14:textId="77777777" w:rsidTr="00A65A6F">
        <w:tc>
          <w:tcPr>
            <w:tcW w:w="5000" w:type="pct"/>
            <w:vAlign w:val="center"/>
          </w:tcPr>
          <w:tbl>
            <w:tblPr>
              <w:tblStyle w:val="CDMRange120"/>
              <w:tblW w:w="9922" w:type="dxa"/>
              <w:tblLook w:val="0600" w:firstRow="0" w:lastRow="0" w:firstColumn="0" w:lastColumn="0" w:noHBand="1" w:noVBand="1"/>
              <w:tblCaption w:val="Print_Area"/>
            </w:tblPr>
            <w:tblGrid>
              <w:gridCol w:w="1697"/>
              <w:gridCol w:w="2872"/>
              <w:gridCol w:w="1327"/>
              <w:gridCol w:w="1327"/>
              <w:gridCol w:w="1327"/>
              <w:gridCol w:w="1372"/>
            </w:tblGrid>
            <w:tr w:rsidR="0085581F" w:rsidRPr="0085581F" w14:paraId="122B8512" w14:textId="77777777" w:rsidTr="00E61E73">
              <w:trPr>
                <w:trHeight w:val="816"/>
              </w:trPr>
              <w:tc>
                <w:tcPr>
                  <w:tcW w:w="1699" w:type="dxa"/>
                  <w:tcBorders>
                    <w:top w:val="nil"/>
                    <w:left w:val="nil"/>
                    <w:bottom w:val="single" w:sz="4" w:space="0" w:color="000000"/>
                    <w:right w:val="nil"/>
                    <w:tl2br w:val="nil"/>
                    <w:tr2bl w:val="nil"/>
                  </w:tcBorders>
                  <w:shd w:val="clear" w:color="FFFFFF" w:fill="000031"/>
                  <w:tcMar>
                    <w:left w:w="43" w:type="dxa"/>
                    <w:right w:w="178" w:type="dxa"/>
                  </w:tcMar>
                  <w:vAlign w:val="center"/>
                </w:tcPr>
                <w:p w14:paraId="6D27CEB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p>
                <w:p w14:paraId="2B3297CE"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r w:rsidRPr="0085581F">
                    <w:rPr>
                      <w:rFonts w:asciiTheme="majorBidi" w:hAnsiTheme="majorBidi" w:cstheme="majorBidi"/>
                      <w:b/>
                      <w:color w:val="FFFFFF"/>
                      <w:sz w:val="18"/>
                      <w:szCs w:val="18"/>
                    </w:rPr>
                    <w:t>Name of Investee</w:t>
                  </w:r>
                </w:p>
                <w:p w14:paraId="4EF6726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p>
              </w:tc>
              <w:tc>
                <w:tcPr>
                  <w:tcW w:w="2866" w:type="dxa"/>
                  <w:tcBorders>
                    <w:top w:val="nil"/>
                    <w:left w:val="nil"/>
                    <w:bottom w:val="single" w:sz="4" w:space="0" w:color="000000"/>
                    <w:right w:val="nil"/>
                    <w:tl2br w:val="nil"/>
                    <w:tr2bl w:val="nil"/>
                  </w:tcBorders>
                  <w:shd w:val="clear" w:color="FFFFFF" w:fill="000031"/>
                  <w:tcMar>
                    <w:left w:w="43" w:type="dxa"/>
                    <w:right w:w="178" w:type="dxa"/>
                  </w:tcMar>
                  <w:vAlign w:val="center"/>
                </w:tcPr>
                <w:p w14:paraId="5F8FDEF0"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p>
                <w:p w14:paraId="2D689141"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r w:rsidRPr="0085581F">
                    <w:rPr>
                      <w:rFonts w:asciiTheme="majorBidi" w:hAnsiTheme="majorBidi" w:cstheme="majorBidi"/>
                      <w:b/>
                      <w:color w:val="FFFFFF"/>
                      <w:sz w:val="18"/>
                      <w:szCs w:val="18"/>
                    </w:rPr>
                    <w:t>Type of</w:t>
                  </w:r>
                </w:p>
                <w:p w14:paraId="1F992BF4"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r w:rsidRPr="0085581F">
                    <w:rPr>
                      <w:rFonts w:asciiTheme="majorBidi" w:hAnsiTheme="majorBidi" w:cstheme="majorBidi"/>
                      <w:b/>
                      <w:color w:val="FFFFFF"/>
                      <w:sz w:val="18"/>
                      <w:szCs w:val="18"/>
                    </w:rPr>
                    <w:t>security/property</w:t>
                  </w:r>
                </w:p>
              </w:tc>
              <w:tc>
                <w:tcPr>
                  <w:tcW w:w="1328" w:type="dxa"/>
                  <w:tcBorders>
                    <w:top w:val="nil"/>
                    <w:left w:val="nil"/>
                    <w:bottom w:val="single" w:sz="4" w:space="0" w:color="000000"/>
                    <w:right w:val="nil"/>
                    <w:tl2br w:val="nil"/>
                    <w:tr2bl w:val="nil"/>
                  </w:tcBorders>
                  <w:shd w:val="clear" w:color="FFFFFF" w:fill="000031"/>
                  <w:tcMar>
                    <w:left w:w="43" w:type="dxa"/>
                    <w:right w:w="178" w:type="dxa"/>
                  </w:tcMar>
                  <w:vAlign w:val="center"/>
                </w:tcPr>
                <w:p w14:paraId="5237F21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r w:rsidRPr="0085581F">
                    <w:rPr>
                      <w:rFonts w:asciiTheme="majorBidi" w:hAnsiTheme="majorBidi" w:cstheme="majorBidi"/>
                      <w:b/>
                      <w:color w:val="FFFFFF"/>
                      <w:sz w:val="18"/>
                      <w:szCs w:val="18"/>
                    </w:rPr>
                    <w:t>Amount (millions)</w:t>
                  </w:r>
                </w:p>
              </w:tc>
              <w:tc>
                <w:tcPr>
                  <w:tcW w:w="1328" w:type="dxa"/>
                  <w:tcBorders>
                    <w:top w:val="nil"/>
                    <w:left w:val="nil"/>
                    <w:bottom w:val="single" w:sz="4" w:space="0" w:color="000000"/>
                    <w:right w:val="nil"/>
                    <w:tl2br w:val="nil"/>
                    <w:tr2bl w:val="nil"/>
                  </w:tcBorders>
                  <w:shd w:val="clear" w:color="FFFFFF" w:fill="000031"/>
                  <w:tcMar>
                    <w:left w:w="43" w:type="dxa"/>
                    <w:right w:w="178" w:type="dxa"/>
                  </w:tcMar>
                  <w:vAlign w:val="center"/>
                </w:tcPr>
                <w:p w14:paraId="474FADB4"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r w:rsidRPr="0085581F">
                    <w:rPr>
                      <w:rFonts w:asciiTheme="majorBidi" w:hAnsiTheme="majorBidi" w:cstheme="majorBidi"/>
                      <w:b/>
                      <w:color w:val="FFFFFF"/>
                      <w:sz w:val="18"/>
                      <w:szCs w:val="18"/>
                    </w:rPr>
                    <w:t>Holding interest (%)</w:t>
                  </w:r>
                </w:p>
              </w:tc>
              <w:tc>
                <w:tcPr>
                  <w:tcW w:w="1328" w:type="dxa"/>
                  <w:tcBorders>
                    <w:top w:val="nil"/>
                    <w:left w:val="nil"/>
                    <w:bottom w:val="single" w:sz="4" w:space="0" w:color="000000"/>
                    <w:right w:val="nil"/>
                    <w:tl2br w:val="nil"/>
                    <w:tr2bl w:val="nil"/>
                  </w:tcBorders>
                  <w:shd w:val="clear" w:color="FFFFFF" w:fill="000031"/>
                  <w:tcMar>
                    <w:left w:w="43" w:type="dxa"/>
                    <w:right w:w="178" w:type="dxa"/>
                  </w:tcMar>
                  <w:vAlign w:val="center"/>
                </w:tcPr>
                <w:p w14:paraId="56C7BF8F"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r w:rsidRPr="0085581F">
                    <w:rPr>
                      <w:rFonts w:asciiTheme="majorBidi" w:hAnsiTheme="majorBidi" w:cstheme="majorBidi"/>
                      <w:b/>
                      <w:color w:val="FFFFFF"/>
                      <w:sz w:val="18"/>
                      <w:szCs w:val="18"/>
                    </w:rPr>
                    <w:t>Carrying amount (NIS millions)</w:t>
                  </w:r>
                </w:p>
              </w:tc>
              <w:tc>
                <w:tcPr>
                  <w:tcW w:w="1373" w:type="dxa"/>
                  <w:tcBorders>
                    <w:top w:val="nil"/>
                    <w:left w:val="nil"/>
                    <w:bottom w:val="single" w:sz="4" w:space="0" w:color="000000"/>
                    <w:right w:val="nil"/>
                    <w:tl2br w:val="nil"/>
                    <w:tr2bl w:val="nil"/>
                  </w:tcBorders>
                  <w:shd w:val="clear" w:color="FFFFFF" w:fill="000031"/>
                  <w:tcMar>
                    <w:left w:w="43" w:type="dxa"/>
                    <w:right w:w="178" w:type="dxa"/>
                  </w:tcMar>
                  <w:vAlign w:val="center"/>
                </w:tcPr>
                <w:p w14:paraId="480CC3BD"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r w:rsidRPr="0085581F">
                    <w:rPr>
                      <w:rFonts w:asciiTheme="majorBidi" w:hAnsiTheme="majorBidi" w:cstheme="majorBidi"/>
                      <w:b/>
                      <w:color w:val="FFFFFF"/>
                      <w:sz w:val="18"/>
                      <w:szCs w:val="18"/>
                    </w:rPr>
                    <w:t>Market value at June 30, 2024</w:t>
                  </w:r>
                </w:p>
                <w:p w14:paraId="2CBE0DFE"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r w:rsidRPr="0085581F">
                    <w:rPr>
                      <w:rFonts w:asciiTheme="majorBidi" w:hAnsiTheme="majorBidi" w:cstheme="majorBidi"/>
                      <w:b/>
                      <w:color w:val="FFFFFF"/>
                      <w:sz w:val="18"/>
                      <w:szCs w:val="18"/>
                    </w:rPr>
                    <w:t>(NIS millions)</w:t>
                  </w:r>
                </w:p>
              </w:tc>
            </w:tr>
            <w:tr w:rsidR="0085581F" w:rsidRPr="0085581F" w14:paraId="4B59776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99"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2A9CB511" w14:textId="77777777" w:rsidR="0085581F" w:rsidRPr="0085581F" w:rsidRDefault="0085581F" w:rsidP="0085581F">
                  <w:pPr>
                    <w:spacing w:before="0" w:after="0" w:line="240" w:lineRule="auto"/>
                    <w:jc w:val="left"/>
                    <w:rPr>
                      <w:rFonts w:asciiTheme="majorBidi" w:eastAsia="Ploni ML Medium AAA Medium" w:hAnsiTheme="majorBidi" w:cstheme="majorBidi"/>
                      <w:b/>
                      <w:color w:val="000000"/>
                    </w:rPr>
                  </w:pPr>
                  <w:r w:rsidRPr="0085581F">
                    <w:rPr>
                      <w:rFonts w:asciiTheme="majorBidi" w:hAnsiTheme="majorBidi" w:cstheme="majorBidi"/>
                      <w:b/>
                      <w:color w:val="000000"/>
                    </w:rPr>
                    <w:t>CTY</w:t>
                  </w:r>
                </w:p>
              </w:tc>
              <w:tc>
                <w:tcPr>
                  <w:tcW w:w="2866" w:type="dxa"/>
                  <w:tcBorders>
                    <w:top w:val="single" w:sz="4" w:space="0" w:color="000000"/>
                    <w:left w:val="nil"/>
                    <w:bottom w:val="single" w:sz="4" w:space="0" w:color="000000"/>
                    <w:right w:val="nil"/>
                    <w:tl2br w:val="nil"/>
                    <w:tr2bl w:val="nil"/>
                  </w:tcBorders>
                  <w:shd w:val="clear" w:color="auto" w:fill="auto"/>
                  <w:tcMar>
                    <w:left w:w="43" w:type="dxa"/>
                    <w:right w:w="178" w:type="dxa"/>
                  </w:tcMar>
                  <w:vAlign w:val="center"/>
                </w:tcPr>
                <w:p w14:paraId="58DB297C"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Shares (OMX)</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6AD371D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91.3</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4CC3C96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49.6</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0E12758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2,873</w:t>
                  </w:r>
                </w:p>
              </w:tc>
              <w:tc>
                <w:tcPr>
                  <w:tcW w:w="1373"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753347E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1,449</w:t>
                  </w:r>
                  <w:r w:rsidRPr="0085581F">
                    <w:rPr>
                      <w:rFonts w:asciiTheme="majorBidi" w:hAnsiTheme="majorBidi" w:cstheme="majorBidi"/>
                      <w:color w:val="000000"/>
                      <w:vertAlign w:val="superscript"/>
                    </w:rPr>
                    <w:t>6</w:t>
                  </w:r>
                </w:p>
              </w:tc>
            </w:tr>
            <w:tr w:rsidR="0085581F" w:rsidRPr="0085581F" w14:paraId="0CD7042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99"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42467D37" w14:textId="77777777" w:rsidR="0085581F" w:rsidRPr="0085581F" w:rsidRDefault="0085581F" w:rsidP="0085581F">
                  <w:pPr>
                    <w:spacing w:before="0" w:after="0" w:line="240" w:lineRule="auto"/>
                    <w:jc w:val="left"/>
                    <w:rPr>
                      <w:rFonts w:asciiTheme="majorBidi" w:eastAsia="Ploni ML Medium AAA Medium" w:hAnsiTheme="majorBidi" w:cstheme="majorBidi"/>
                      <w:b/>
                      <w:color w:val="000000"/>
                    </w:rPr>
                  </w:pPr>
                  <w:r w:rsidRPr="0085581F">
                    <w:rPr>
                      <w:rFonts w:asciiTheme="majorBidi" w:hAnsiTheme="majorBidi" w:cstheme="majorBidi"/>
                      <w:b/>
                      <w:color w:val="000000"/>
                    </w:rPr>
                    <w:t>Israel</w:t>
                  </w:r>
                </w:p>
              </w:tc>
              <w:tc>
                <w:tcPr>
                  <w:tcW w:w="2866" w:type="dxa"/>
                  <w:tcBorders>
                    <w:top w:val="single" w:sz="4" w:space="0" w:color="000000"/>
                    <w:left w:val="nil"/>
                    <w:bottom w:val="single" w:sz="4" w:space="0" w:color="000000"/>
                    <w:right w:val="nil"/>
                    <w:tl2br w:val="nil"/>
                    <w:tr2bl w:val="nil"/>
                  </w:tcBorders>
                  <w:shd w:val="clear" w:color="auto" w:fill="auto"/>
                  <w:tcMar>
                    <w:left w:w="43" w:type="dxa"/>
                    <w:right w:w="178" w:type="dxa"/>
                  </w:tcMar>
                  <w:vAlign w:val="center"/>
                </w:tcPr>
                <w:p w14:paraId="253E75CF"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Income-producing property and land</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683A3CF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 </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1D41EDD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 </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054DC1E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4,947</w:t>
                  </w:r>
                </w:p>
              </w:tc>
              <w:tc>
                <w:tcPr>
                  <w:tcW w:w="1373"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13144CE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 </w:t>
                  </w:r>
                </w:p>
              </w:tc>
            </w:tr>
            <w:tr w:rsidR="0085581F" w:rsidRPr="0085581F" w14:paraId="3CF12A5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99"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2FC7E60D" w14:textId="77777777" w:rsidR="0085581F" w:rsidRPr="0085581F" w:rsidRDefault="0085581F" w:rsidP="0085581F">
                  <w:pPr>
                    <w:spacing w:before="0" w:after="0" w:line="240" w:lineRule="auto"/>
                    <w:jc w:val="left"/>
                    <w:rPr>
                      <w:rFonts w:asciiTheme="majorBidi" w:eastAsia="Ploni ML Medium AAA Medium" w:hAnsiTheme="majorBidi" w:cstheme="majorBidi"/>
                      <w:b/>
                      <w:color w:val="000000"/>
                    </w:rPr>
                  </w:pPr>
                  <w:r w:rsidRPr="0085581F">
                    <w:rPr>
                      <w:rFonts w:asciiTheme="majorBidi" w:hAnsiTheme="majorBidi" w:cstheme="majorBidi"/>
                      <w:b/>
                      <w:color w:val="000000"/>
                    </w:rPr>
                    <w:t>Brazil</w:t>
                  </w:r>
                </w:p>
              </w:tc>
              <w:tc>
                <w:tcPr>
                  <w:tcW w:w="2866" w:type="dxa"/>
                  <w:tcBorders>
                    <w:top w:val="single" w:sz="4" w:space="0" w:color="000000"/>
                    <w:left w:val="nil"/>
                    <w:bottom w:val="single" w:sz="4" w:space="0" w:color="000000"/>
                    <w:right w:val="nil"/>
                    <w:tl2br w:val="nil"/>
                    <w:tr2bl w:val="nil"/>
                  </w:tcBorders>
                  <w:shd w:val="clear" w:color="auto" w:fill="auto"/>
                  <w:tcMar>
                    <w:left w:w="43" w:type="dxa"/>
                    <w:right w:w="178" w:type="dxa"/>
                  </w:tcMar>
                  <w:vAlign w:val="center"/>
                </w:tcPr>
                <w:p w14:paraId="22D140F0"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Income-producing property and land</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50B5043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 </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4B6F815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 </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0FC15B1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1,930</w:t>
                  </w:r>
                </w:p>
              </w:tc>
              <w:tc>
                <w:tcPr>
                  <w:tcW w:w="1373"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07CF761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 </w:t>
                  </w:r>
                </w:p>
              </w:tc>
            </w:tr>
            <w:tr w:rsidR="0085581F" w:rsidRPr="0085581F" w14:paraId="61BA2CF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99"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0AF12B7D" w14:textId="77777777" w:rsidR="0085581F" w:rsidRPr="0085581F" w:rsidRDefault="0085581F" w:rsidP="0085581F">
                  <w:pPr>
                    <w:spacing w:before="0" w:after="0" w:line="240" w:lineRule="auto"/>
                    <w:jc w:val="left"/>
                    <w:rPr>
                      <w:rFonts w:asciiTheme="majorBidi" w:eastAsia="Ploni ML Medium AAA Medium" w:hAnsiTheme="majorBidi" w:cstheme="majorBidi"/>
                      <w:b/>
                      <w:color w:val="000000"/>
                    </w:rPr>
                  </w:pPr>
                  <w:r w:rsidRPr="0085581F">
                    <w:rPr>
                      <w:rFonts w:asciiTheme="majorBidi" w:hAnsiTheme="majorBidi" w:cstheme="majorBidi"/>
                      <w:b/>
                      <w:color w:val="000000"/>
                    </w:rPr>
                    <w:t xml:space="preserve">United States </w:t>
                  </w:r>
                  <w:r w:rsidRPr="0085581F">
                    <w:rPr>
                      <w:rFonts w:asciiTheme="majorBidi" w:hAnsiTheme="majorBidi" w:cstheme="majorBidi"/>
                      <w:b/>
                      <w:color w:val="000000"/>
                      <w:vertAlign w:val="superscript"/>
                    </w:rPr>
                    <w:t>1</w:t>
                  </w:r>
                </w:p>
              </w:tc>
              <w:tc>
                <w:tcPr>
                  <w:tcW w:w="2866" w:type="dxa"/>
                  <w:tcBorders>
                    <w:top w:val="single" w:sz="4" w:space="0" w:color="000000"/>
                    <w:left w:val="nil"/>
                    <w:bottom w:val="single" w:sz="4" w:space="0" w:color="000000"/>
                    <w:right w:val="nil"/>
                    <w:tl2br w:val="nil"/>
                    <w:tr2bl w:val="nil"/>
                  </w:tcBorders>
                  <w:shd w:val="clear" w:color="auto" w:fill="auto"/>
                  <w:tcMar>
                    <w:left w:w="43" w:type="dxa"/>
                    <w:right w:w="178" w:type="dxa"/>
                  </w:tcMar>
                  <w:vAlign w:val="center"/>
                </w:tcPr>
                <w:p w14:paraId="611E0784"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Income-producing property and land</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58133A2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 </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74A9E26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 </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345F37C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3,002</w:t>
                  </w:r>
                </w:p>
              </w:tc>
              <w:tc>
                <w:tcPr>
                  <w:tcW w:w="1373"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43EC77B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 </w:t>
                  </w:r>
                </w:p>
              </w:tc>
            </w:tr>
            <w:tr w:rsidR="0085581F" w:rsidRPr="0085581F" w14:paraId="28A4EE2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99"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3E5C702D" w14:textId="77777777" w:rsidR="0085581F" w:rsidRPr="0085581F" w:rsidRDefault="0085581F" w:rsidP="0085581F">
                  <w:pPr>
                    <w:spacing w:before="0" w:after="0" w:line="240" w:lineRule="auto"/>
                    <w:jc w:val="left"/>
                    <w:rPr>
                      <w:rFonts w:asciiTheme="majorBidi" w:eastAsia="Ploni ML Medium AAA Medium" w:hAnsiTheme="majorBidi" w:cstheme="majorBidi"/>
                      <w:b/>
                      <w:color w:val="000000"/>
                    </w:rPr>
                  </w:pPr>
                  <w:r w:rsidRPr="0085581F">
                    <w:rPr>
                      <w:rFonts w:asciiTheme="majorBidi" w:hAnsiTheme="majorBidi" w:cstheme="majorBidi"/>
                      <w:b/>
                      <w:color w:val="000000"/>
                    </w:rPr>
                    <w:t xml:space="preserve">Canada </w:t>
                  </w:r>
                  <w:r w:rsidRPr="0085581F">
                    <w:rPr>
                      <w:rFonts w:asciiTheme="majorBidi" w:hAnsiTheme="majorBidi" w:cstheme="majorBidi"/>
                      <w:b/>
                      <w:color w:val="000000"/>
                      <w:vertAlign w:val="superscript"/>
                    </w:rPr>
                    <w:t>1</w:t>
                  </w:r>
                </w:p>
              </w:tc>
              <w:tc>
                <w:tcPr>
                  <w:tcW w:w="2866" w:type="dxa"/>
                  <w:tcBorders>
                    <w:top w:val="single" w:sz="4" w:space="0" w:color="000000"/>
                    <w:left w:val="nil"/>
                    <w:bottom w:val="single" w:sz="4" w:space="0" w:color="000000"/>
                    <w:right w:val="nil"/>
                    <w:tl2br w:val="nil"/>
                    <w:tr2bl w:val="nil"/>
                  </w:tcBorders>
                  <w:shd w:val="clear" w:color="auto" w:fill="auto"/>
                  <w:tcMar>
                    <w:left w:w="43" w:type="dxa"/>
                    <w:right w:w="178" w:type="dxa"/>
                  </w:tcMar>
                  <w:vAlign w:val="center"/>
                </w:tcPr>
                <w:p w14:paraId="7B4843C3"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Income-producing property</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1E5C92B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 </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6076431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 </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33F8887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229</w:t>
                  </w:r>
                </w:p>
              </w:tc>
              <w:tc>
                <w:tcPr>
                  <w:tcW w:w="1373"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6097550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 </w:t>
                  </w:r>
                </w:p>
              </w:tc>
            </w:tr>
            <w:tr w:rsidR="0085581F" w:rsidRPr="0085581F" w14:paraId="388D8E5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99" w:type="dxa"/>
                  <w:tcBorders>
                    <w:top w:val="single" w:sz="4" w:space="0" w:color="000000"/>
                    <w:left w:val="nil"/>
                    <w:bottom w:val="nil"/>
                    <w:right w:val="nil"/>
                    <w:tl2br w:val="nil"/>
                    <w:tr2bl w:val="nil"/>
                  </w:tcBorders>
                  <w:shd w:val="clear" w:color="auto" w:fill="auto"/>
                  <w:noWrap/>
                  <w:tcMar>
                    <w:left w:w="43" w:type="dxa"/>
                    <w:right w:w="178" w:type="dxa"/>
                  </w:tcMar>
                  <w:vAlign w:val="center"/>
                </w:tcPr>
                <w:p w14:paraId="5A51A330" w14:textId="77777777" w:rsidR="0085581F" w:rsidRPr="0085581F" w:rsidRDefault="0085581F" w:rsidP="0085581F">
                  <w:pPr>
                    <w:spacing w:before="0" w:after="0" w:line="240" w:lineRule="auto"/>
                    <w:jc w:val="left"/>
                    <w:rPr>
                      <w:rFonts w:asciiTheme="majorBidi" w:eastAsia="Ploni ML Medium AAA Medium" w:hAnsiTheme="majorBidi" w:cstheme="majorBidi"/>
                      <w:b/>
                      <w:color w:val="000000"/>
                    </w:rPr>
                  </w:pPr>
                  <w:r w:rsidRPr="0085581F">
                    <w:rPr>
                      <w:rFonts w:asciiTheme="majorBidi" w:hAnsiTheme="majorBidi" w:cstheme="majorBidi"/>
                      <w:b/>
                      <w:color w:val="000000"/>
                    </w:rPr>
                    <w:t xml:space="preserve">Europe </w:t>
                  </w:r>
                  <w:r w:rsidRPr="0085581F">
                    <w:rPr>
                      <w:rFonts w:asciiTheme="majorBidi" w:hAnsiTheme="majorBidi" w:cstheme="majorBidi"/>
                      <w:b/>
                      <w:color w:val="000000"/>
                      <w:vertAlign w:val="superscript"/>
                    </w:rPr>
                    <w:t>1</w:t>
                  </w:r>
                </w:p>
              </w:tc>
              <w:tc>
                <w:tcPr>
                  <w:tcW w:w="2866" w:type="dxa"/>
                  <w:tcBorders>
                    <w:top w:val="single" w:sz="4" w:space="0" w:color="000000"/>
                    <w:left w:val="nil"/>
                    <w:bottom w:val="nil"/>
                    <w:right w:val="nil"/>
                    <w:tl2br w:val="nil"/>
                    <w:tr2bl w:val="nil"/>
                  </w:tcBorders>
                  <w:shd w:val="clear" w:color="auto" w:fill="auto"/>
                  <w:tcMar>
                    <w:left w:w="43" w:type="dxa"/>
                    <w:right w:w="178" w:type="dxa"/>
                  </w:tcMar>
                  <w:vAlign w:val="center"/>
                </w:tcPr>
                <w:p w14:paraId="08EE51CA"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Income-producing property and land</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39C474B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 </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40BDA0F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 </w:t>
                  </w:r>
                </w:p>
              </w:tc>
              <w:tc>
                <w:tcPr>
                  <w:tcW w:w="132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45D5D8F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7,446</w:t>
                  </w:r>
                </w:p>
              </w:tc>
              <w:tc>
                <w:tcPr>
                  <w:tcW w:w="1373"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center"/>
                </w:tcPr>
                <w:p w14:paraId="37F1210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 </w:t>
                  </w:r>
                </w:p>
              </w:tc>
            </w:tr>
            <w:tr w:rsidR="0085581F" w:rsidRPr="0085581F" w14:paraId="7465850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699" w:type="dxa"/>
                  <w:tcBorders>
                    <w:top w:val="nil"/>
                    <w:left w:val="nil"/>
                    <w:bottom w:val="nil"/>
                    <w:right w:val="nil"/>
                    <w:tl2br w:val="nil"/>
                    <w:tr2bl w:val="nil"/>
                  </w:tcBorders>
                  <w:shd w:val="clear" w:color="FFFFFF" w:fill="000031"/>
                  <w:noWrap/>
                  <w:tcMar>
                    <w:left w:w="43" w:type="dxa"/>
                    <w:right w:w="178" w:type="dxa"/>
                  </w:tcMar>
                  <w:vAlign w:val="center"/>
                </w:tcPr>
                <w:p w14:paraId="299B9127"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rPr>
                  </w:pPr>
                  <w:r w:rsidRPr="0085581F">
                    <w:rPr>
                      <w:rFonts w:asciiTheme="majorBidi" w:hAnsiTheme="majorBidi" w:cstheme="majorBidi"/>
                      <w:b/>
                      <w:color w:val="FFFFFF"/>
                    </w:rPr>
                    <w:t>Total assets</w:t>
                  </w:r>
                </w:p>
              </w:tc>
              <w:tc>
                <w:tcPr>
                  <w:tcW w:w="2866" w:type="dxa"/>
                  <w:tcBorders>
                    <w:top w:val="nil"/>
                    <w:left w:val="nil"/>
                    <w:bottom w:val="nil"/>
                    <w:right w:val="nil"/>
                    <w:tl2br w:val="nil"/>
                    <w:tr2bl w:val="nil"/>
                  </w:tcBorders>
                  <w:shd w:val="clear" w:color="FFFFFF" w:fill="000031"/>
                  <w:noWrap/>
                  <w:tcMar>
                    <w:left w:w="0" w:type="dxa"/>
                    <w:right w:w="135" w:type="dxa"/>
                  </w:tcMar>
                  <w:vAlign w:val="center"/>
                </w:tcPr>
                <w:p w14:paraId="501C5950"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rPr>
                  </w:pPr>
                </w:p>
              </w:tc>
              <w:tc>
                <w:tcPr>
                  <w:tcW w:w="1328" w:type="dxa"/>
                  <w:tcBorders>
                    <w:top w:val="single" w:sz="4" w:space="0" w:color="000000"/>
                    <w:left w:val="nil"/>
                    <w:bottom w:val="nil"/>
                    <w:right w:val="nil"/>
                    <w:tl2br w:val="nil"/>
                    <w:tr2bl w:val="nil"/>
                  </w:tcBorders>
                  <w:shd w:val="clear" w:color="FFFFFF" w:fill="000031"/>
                  <w:noWrap/>
                  <w:tcMar>
                    <w:left w:w="43" w:type="dxa"/>
                    <w:right w:w="178" w:type="dxa"/>
                  </w:tcMar>
                  <w:vAlign w:val="center"/>
                </w:tcPr>
                <w:p w14:paraId="6A9B2B3A" w14:textId="77777777" w:rsidR="0085581F" w:rsidRPr="0085581F" w:rsidRDefault="0085581F" w:rsidP="0085581F">
                  <w:pPr>
                    <w:spacing w:before="0" w:after="0" w:line="240" w:lineRule="auto"/>
                    <w:jc w:val="right"/>
                    <w:rPr>
                      <w:rFonts w:asciiTheme="majorBidi" w:eastAsia="Ploni ML Medium AAA Medium" w:hAnsiTheme="majorBidi" w:cstheme="majorBidi"/>
                      <w:color w:val="FFFFFF"/>
                    </w:rPr>
                  </w:pPr>
                  <w:r w:rsidRPr="0085581F">
                    <w:rPr>
                      <w:rFonts w:asciiTheme="majorBidi" w:hAnsiTheme="majorBidi" w:cstheme="majorBidi"/>
                      <w:color w:val="FFFFFF"/>
                    </w:rPr>
                    <w:t xml:space="preserve"> - </w:t>
                  </w:r>
                </w:p>
              </w:tc>
              <w:tc>
                <w:tcPr>
                  <w:tcW w:w="1328" w:type="dxa"/>
                  <w:tcBorders>
                    <w:top w:val="single" w:sz="4" w:space="0" w:color="000000"/>
                    <w:left w:val="nil"/>
                    <w:bottom w:val="nil"/>
                    <w:right w:val="nil"/>
                    <w:tl2br w:val="nil"/>
                    <w:tr2bl w:val="nil"/>
                  </w:tcBorders>
                  <w:shd w:val="clear" w:color="FFFFFF" w:fill="000031"/>
                  <w:noWrap/>
                  <w:tcMar>
                    <w:left w:w="43" w:type="dxa"/>
                    <w:right w:w="178" w:type="dxa"/>
                  </w:tcMar>
                  <w:vAlign w:val="center"/>
                </w:tcPr>
                <w:p w14:paraId="5DD62FC1" w14:textId="77777777" w:rsidR="0085581F" w:rsidRPr="0085581F" w:rsidRDefault="0085581F" w:rsidP="0085581F">
                  <w:pPr>
                    <w:spacing w:before="0" w:after="0" w:line="240" w:lineRule="auto"/>
                    <w:jc w:val="right"/>
                    <w:rPr>
                      <w:rFonts w:asciiTheme="majorBidi" w:eastAsia="Ploni ML Medium AAA Medium" w:hAnsiTheme="majorBidi" w:cstheme="majorBidi"/>
                      <w:color w:val="FFFFFF"/>
                    </w:rPr>
                  </w:pPr>
                  <w:r w:rsidRPr="0085581F">
                    <w:rPr>
                      <w:rFonts w:asciiTheme="majorBidi" w:hAnsiTheme="majorBidi" w:cstheme="majorBidi"/>
                      <w:color w:val="FFFFFF"/>
                    </w:rPr>
                    <w:t xml:space="preserve"> - </w:t>
                  </w:r>
                </w:p>
              </w:tc>
              <w:tc>
                <w:tcPr>
                  <w:tcW w:w="1328" w:type="dxa"/>
                  <w:tcBorders>
                    <w:top w:val="single" w:sz="4" w:space="0" w:color="000000"/>
                    <w:left w:val="nil"/>
                    <w:bottom w:val="nil"/>
                    <w:right w:val="nil"/>
                    <w:tl2br w:val="nil"/>
                    <w:tr2bl w:val="nil"/>
                  </w:tcBorders>
                  <w:shd w:val="clear" w:color="FFFFFF" w:fill="000031"/>
                  <w:noWrap/>
                  <w:tcMar>
                    <w:left w:w="43" w:type="dxa"/>
                    <w:right w:w="178" w:type="dxa"/>
                  </w:tcMar>
                  <w:vAlign w:val="center"/>
                </w:tcPr>
                <w:p w14:paraId="7CF2D73A" w14:textId="77777777" w:rsidR="0085581F" w:rsidRPr="0085581F" w:rsidRDefault="0085581F" w:rsidP="0085581F">
                  <w:pPr>
                    <w:spacing w:before="0" w:after="0" w:line="240" w:lineRule="auto"/>
                    <w:jc w:val="right"/>
                    <w:rPr>
                      <w:rFonts w:asciiTheme="majorBidi" w:eastAsia="Ploni ML Medium AAA Medium" w:hAnsiTheme="majorBidi" w:cstheme="majorBidi"/>
                      <w:b/>
                      <w:color w:val="FFFFFF"/>
                    </w:rPr>
                  </w:pPr>
                  <w:r w:rsidRPr="0085581F">
                    <w:rPr>
                      <w:rFonts w:asciiTheme="majorBidi" w:hAnsiTheme="majorBidi" w:cstheme="majorBidi"/>
                      <w:b/>
                      <w:color w:val="FFFFFF"/>
                    </w:rPr>
                    <w:t>20,427</w:t>
                  </w:r>
                </w:p>
              </w:tc>
              <w:tc>
                <w:tcPr>
                  <w:tcW w:w="1373" w:type="dxa"/>
                  <w:tcBorders>
                    <w:top w:val="single" w:sz="4" w:space="0" w:color="000000"/>
                    <w:left w:val="nil"/>
                    <w:bottom w:val="nil"/>
                    <w:right w:val="nil"/>
                    <w:tl2br w:val="nil"/>
                    <w:tr2bl w:val="nil"/>
                  </w:tcBorders>
                  <w:shd w:val="clear" w:color="FFFFFF" w:fill="000031"/>
                  <w:noWrap/>
                  <w:tcMar>
                    <w:left w:w="43" w:type="dxa"/>
                    <w:right w:w="178" w:type="dxa"/>
                  </w:tcMar>
                  <w:vAlign w:val="center"/>
                </w:tcPr>
                <w:p w14:paraId="0B37BD4A" w14:textId="77777777" w:rsidR="0085581F" w:rsidRPr="0085581F" w:rsidRDefault="0085581F" w:rsidP="0085581F">
                  <w:pPr>
                    <w:spacing w:before="0" w:after="0" w:line="240" w:lineRule="auto"/>
                    <w:jc w:val="right"/>
                    <w:rPr>
                      <w:rFonts w:asciiTheme="majorBidi" w:eastAsia="Ploni ML Medium AAA Medium" w:hAnsiTheme="majorBidi" w:cstheme="majorBidi"/>
                      <w:color w:val="FFFFFF"/>
                    </w:rPr>
                  </w:pPr>
                  <w:r w:rsidRPr="0085581F">
                    <w:rPr>
                      <w:rFonts w:asciiTheme="majorBidi" w:hAnsiTheme="majorBidi" w:cstheme="majorBidi"/>
                      <w:color w:val="FFFFFF"/>
                    </w:rPr>
                    <w:t xml:space="preserve"> - </w:t>
                  </w:r>
                </w:p>
              </w:tc>
            </w:tr>
          </w:tbl>
          <w:p w14:paraId="75ADC392" w14:textId="77777777" w:rsidR="0085581F" w:rsidRPr="0085581F" w:rsidRDefault="0085581F" w:rsidP="0085581F">
            <w:pPr>
              <w:rPr>
                <w:rFonts w:asciiTheme="majorBidi" w:hAnsiTheme="majorBidi" w:cstheme="majorBidi"/>
              </w:rPr>
            </w:pPr>
          </w:p>
        </w:tc>
      </w:tr>
    </w:tbl>
    <w:p w14:paraId="4D7C0C11" w14:textId="77777777" w:rsidR="0085581F" w:rsidRPr="0085581F" w:rsidRDefault="0085581F" w:rsidP="0085581F">
      <w:pPr>
        <w:keepNext/>
        <w:widowControl w:val="0"/>
        <w:tabs>
          <w:tab w:val="left" w:pos="425"/>
        </w:tabs>
        <w:spacing w:before="120"/>
        <w:outlineLvl w:val="4"/>
        <w:rPr>
          <w:rFonts w:asciiTheme="majorBidi" w:eastAsia="Times New Roman" w:hAnsiTheme="majorBidi" w:cstheme="majorBidi"/>
          <w:sz w:val="21"/>
          <w:szCs w:val="21"/>
        </w:rPr>
      </w:pPr>
      <w:bookmarkStart w:id="24" w:name="H4_להלן_היתרות_הכספיות_של_החברה_לרבות_ית"/>
      <w:bookmarkStart w:id="25" w:name="H5_להלן_היתרות_הכספיות_של_החברה_לרבות_ית"/>
      <w:r w:rsidRPr="0085581F">
        <w:rPr>
          <w:rFonts w:asciiTheme="majorBidi" w:hAnsiTheme="majorBidi" w:cstheme="majorBidi"/>
          <w:sz w:val="21"/>
        </w:rPr>
        <w:t>Below is a breakdown of the Company’s balances (including balances of the private subsidiaries as well as G Europe) (below: (“expanded separate information”) as at June 30, 2024 (NIS millions):</w:t>
      </w:r>
      <w:bookmarkEnd w:id="24"/>
      <w:bookmarkEnd w:id="25"/>
    </w:p>
    <w:tbl>
      <w:tblPr>
        <w:tblStyle w:val="TableGrid"/>
        <w:tblW w:w="0" w:type="auto"/>
        <w:tblCellMar>
          <w:left w:w="0" w:type="dxa"/>
          <w:right w:w="0" w:type="dxa"/>
        </w:tblCellMar>
        <w:tblLook w:val="04A0" w:firstRow="1" w:lastRow="0" w:firstColumn="1" w:lastColumn="0" w:noHBand="0" w:noVBand="1"/>
      </w:tblPr>
      <w:tblGrid>
        <w:gridCol w:w="9922"/>
      </w:tblGrid>
      <w:tr w:rsidR="0085581F" w:rsidRPr="0085581F" w14:paraId="29B137C5" w14:textId="77777777" w:rsidTr="00A65A6F">
        <w:tc>
          <w:tcPr>
            <w:tcW w:w="10137" w:type="dxa"/>
            <w:tcBorders>
              <w:top w:val="nil"/>
              <w:left w:val="nil"/>
              <w:bottom w:val="nil"/>
              <w:right w:val="nil"/>
            </w:tcBorders>
          </w:tcPr>
          <w:tbl>
            <w:tblPr>
              <w:tblStyle w:val="CDMRange220"/>
              <w:tblW w:w="9975" w:type="dxa"/>
              <w:tblLook w:val="0600" w:firstRow="0" w:lastRow="0" w:firstColumn="0" w:lastColumn="0" w:noHBand="1" w:noVBand="1"/>
              <w:tblCaption w:val="Print_Area"/>
            </w:tblPr>
            <w:tblGrid>
              <w:gridCol w:w="8593"/>
              <w:gridCol w:w="1329"/>
            </w:tblGrid>
            <w:tr w:rsidR="0085581F" w:rsidRPr="0085581F" w14:paraId="3DF12F9F" w14:textId="77777777" w:rsidTr="00A65A6F">
              <w:trPr>
                <w:trHeight w:hRule="exact" w:val="300"/>
              </w:trPr>
              <w:tc>
                <w:tcPr>
                  <w:tcW w:w="864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AE7BF8B"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Company's debentures</w:t>
                  </w:r>
                </w:p>
              </w:tc>
              <w:tc>
                <w:tcPr>
                  <w:tcW w:w="133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7AC096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8,156</w:t>
                  </w:r>
                </w:p>
              </w:tc>
            </w:tr>
            <w:tr w:rsidR="0085581F" w:rsidRPr="0085581F" w14:paraId="55EEE2C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64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8BCCEFC"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Debentures of G Europe</w:t>
                  </w:r>
                </w:p>
              </w:tc>
              <w:tc>
                <w:tcPr>
                  <w:tcW w:w="133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E5D8CC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1,862</w:t>
                  </w:r>
                </w:p>
              </w:tc>
            </w:tr>
            <w:tr w:rsidR="0085581F" w:rsidRPr="0085581F" w14:paraId="40E9899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64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87F758A"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Liabilities to financial institutions</w:t>
                  </w:r>
                </w:p>
              </w:tc>
              <w:tc>
                <w:tcPr>
                  <w:tcW w:w="133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5CCD094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6,068</w:t>
                  </w:r>
                </w:p>
              </w:tc>
            </w:tr>
            <w:tr w:rsidR="0085581F" w:rsidRPr="0085581F" w14:paraId="70782E7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640" w:type="dxa"/>
                  <w:tcBorders>
                    <w:top w:val="single" w:sz="4" w:space="0" w:color="000000"/>
                    <w:left w:val="nil"/>
                    <w:bottom w:val="single" w:sz="4" w:space="0" w:color="000000"/>
                    <w:right w:val="nil"/>
                    <w:tl2br w:val="nil"/>
                    <w:tr2bl w:val="nil"/>
                  </w:tcBorders>
                  <w:shd w:val="clear" w:color="FFFFFF" w:fill="000031"/>
                  <w:noWrap/>
                  <w:tcMar>
                    <w:left w:w="40" w:type="dxa"/>
                    <w:right w:w="175" w:type="dxa"/>
                  </w:tcMar>
                  <w:vAlign w:val="bottom"/>
                </w:tcPr>
                <w:p w14:paraId="5A5114F0"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rPr>
                  </w:pPr>
                  <w:r w:rsidRPr="0085581F">
                    <w:rPr>
                      <w:rFonts w:asciiTheme="majorBidi" w:hAnsiTheme="majorBidi" w:cstheme="majorBidi"/>
                      <w:b/>
                      <w:color w:val="FFFFFF"/>
                    </w:rPr>
                    <w:t>Total debentures and debts to financial institutions *)</w:t>
                  </w:r>
                </w:p>
              </w:tc>
              <w:tc>
                <w:tcPr>
                  <w:tcW w:w="1335" w:type="dxa"/>
                  <w:tcBorders>
                    <w:top w:val="single" w:sz="4" w:space="0" w:color="000000"/>
                    <w:left w:val="nil"/>
                    <w:bottom w:val="single" w:sz="4" w:space="0" w:color="000000"/>
                    <w:right w:val="nil"/>
                    <w:tl2br w:val="nil"/>
                    <w:tr2bl w:val="nil"/>
                  </w:tcBorders>
                  <w:shd w:val="clear" w:color="FFFFFF" w:fill="000031"/>
                  <w:noWrap/>
                  <w:tcMar>
                    <w:left w:w="40" w:type="dxa"/>
                    <w:right w:w="175" w:type="dxa"/>
                  </w:tcMar>
                  <w:vAlign w:val="bottom"/>
                </w:tcPr>
                <w:p w14:paraId="739D3146" w14:textId="77777777" w:rsidR="0085581F" w:rsidRPr="0085581F" w:rsidRDefault="0085581F" w:rsidP="0085581F">
                  <w:pPr>
                    <w:spacing w:before="0" w:after="0" w:line="240" w:lineRule="auto"/>
                    <w:jc w:val="right"/>
                    <w:rPr>
                      <w:rFonts w:asciiTheme="majorBidi" w:eastAsia="Ploni ML Medium AAA Medium" w:hAnsiTheme="majorBidi" w:cstheme="majorBidi"/>
                      <w:b/>
                      <w:color w:val="FFFFFF"/>
                    </w:rPr>
                  </w:pPr>
                  <w:r w:rsidRPr="0085581F">
                    <w:rPr>
                      <w:rFonts w:asciiTheme="majorBidi" w:hAnsiTheme="majorBidi" w:cstheme="majorBidi"/>
                      <w:b/>
                      <w:color w:val="FFFFFF"/>
                    </w:rPr>
                    <w:t>16,086</w:t>
                  </w:r>
                </w:p>
              </w:tc>
            </w:tr>
            <w:tr w:rsidR="0085581F" w:rsidRPr="0085581F" w14:paraId="348EBE4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64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D9B2B39"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Other monetary liabilities</w:t>
                  </w:r>
                </w:p>
              </w:tc>
              <w:tc>
                <w:tcPr>
                  <w:tcW w:w="133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54D6192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768</w:t>
                  </w:r>
                </w:p>
              </w:tc>
            </w:tr>
            <w:tr w:rsidR="0085581F" w:rsidRPr="0085581F" w14:paraId="4AECD24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640" w:type="dxa"/>
                  <w:tcBorders>
                    <w:top w:val="single" w:sz="4" w:space="0" w:color="000000"/>
                    <w:left w:val="nil"/>
                    <w:bottom w:val="single" w:sz="4" w:space="0" w:color="000000"/>
                    <w:right w:val="nil"/>
                    <w:tl2br w:val="nil"/>
                    <w:tr2bl w:val="nil"/>
                  </w:tcBorders>
                  <w:shd w:val="clear" w:color="FFFFFF" w:fill="000031"/>
                  <w:noWrap/>
                  <w:tcMar>
                    <w:left w:w="40" w:type="dxa"/>
                    <w:right w:w="175" w:type="dxa"/>
                  </w:tcMar>
                  <w:vAlign w:val="bottom"/>
                </w:tcPr>
                <w:p w14:paraId="6326D24E"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rPr>
                  </w:pPr>
                  <w:r w:rsidRPr="0085581F">
                    <w:rPr>
                      <w:rFonts w:asciiTheme="majorBidi" w:hAnsiTheme="majorBidi" w:cstheme="majorBidi"/>
                      <w:b/>
                      <w:color w:val="FFFFFF"/>
                    </w:rPr>
                    <w:t xml:space="preserve">Total monetary liabilities </w:t>
                  </w:r>
                </w:p>
              </w:tc>
              <w:tc>
                <w:tcPr>
                  <w:tcW w:w="1335" w:type="dxa"/>
                  <w:tcBorders>
                    <w:top w:val="single" w:sz="4" w:space="0" w:color="000000"/>
                    <w:left w:val="nil"/>
                    <w:bottom w:val="single" w:sz="4" w:space="0" w:color="000000"/>
                    <w:right w:val="nil"/>
                    <w:tl2br w:val="nil"/>
                    <w:tr2bl w:val="nil"/>
                  </w:tcBorders>
                  <w:shd w:val="clear" w:color="FFFFFF" w:fill="000031"/>
                  <w:noWrap/>
                  <w:tcMar>
                    <w:left w:w="40" w:type="dxa"/>
                    <w:right w:w="175" w:type="dxa"/>
                  </w:tcMar>
                  <w:vAlign w:val="bottom"/>
                </w:tcPr>
                <w:p w14:paraId="635EE7BB" w14:textId="77777777" w:rsidR="0085581F" w:rsidRPr="0085581F" w:rsidRDefault="0085581F" w:rsidP="0085581F">
                  <w:pPr>
                    <w:spacing w:before="0" w:after="0" w:line="240" w:lineRule="auto"/>
                    <w:jc w:val="right"/>
                    <w:rPr>
                      <w:rFonts w:asciiTheme="majorBidi" w:eastAsia="Ploni ML Medium AAA Medium" w:hAnsiTheme="majorBidi" w:cstheme="majorBidi"/>
                      <w:b/>
                      <w:color w:val="FFFFFF"/>
                    </w:rPr>
                  </w:pPr>
                  <w:r w:rsidRPr="0085581F">
                    <w:rPr>
                      <w:rFonts w:asciiTheme="majorBidi" w:hAnsiTheme="majorBidi" w:cstheme="majorBidi"/>
                      <w:b/>
                      <w:color w:val="FFFFFF"/>
                    </w:rPr>
                    <w:t>16,854</w:t>
                  </w:r>
                </w:p>
              </w:tc>
            </w:tr>
            <w:tr w:rsidR="0085581F" w:rsidRPr="0085581F" w14:paraId="7E3935D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64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7A4B52AA"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 xml:space="preserve">Less monetary assets </w:t>
                  </w:r>
                  <w:r w:rsidRPr="0085581F">
                    <w:rPr>
                      <w:rFonts w:asciiTheme="majorBidi" w:hAnsiTheme="majorBidi" w:cstheme="majorBidi"/>
                      <w:color w:val="000000"/>
                      <w:vertAlign w:val="superscript"/>
                    </w:rPr>
                    <w:t>2</w:t>
                  </w:r>
                </w:p>
              </w:tc>
              <w:tc>
                <w:tcPr>
                  <w:tcW w:w="133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36AF4D6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3,248</w:t>
                  </w:r>
                </w:p>
              </w:tc>
            </w:tr>
            <w:tr w:rsidR="0085581F" w:rsidRPr="0085581F" w14:paraId="19F9154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64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73D2851D"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 xml:space="preserve">Less other investments </w:t>
                  </w:r>
                  <w:r w:rsidRPr="0085581F">
                    <w:rPr>
                      <w:rFonts w:asciiTheme="majorBidi" w:hAnsiTheme="majorBidi" w:cstheme="majorBidi"/>
                      <w:color w:val="000000"/>
                      <w:vertAlign w:val="superscript"/>
                    </w:rPr>
                    <w:t>3</w:t>
                  </w:r>
                </w:p>
              </w:tc>
              <w:tc>
                <w:tcPr>
                  <w:tcW w:w="133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E49A2D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72</w:t>
                  </w:r>
                </w:p>
              </w:tc>
            </w:tr>
            <w:tr w:rsidR="0085581F" w:rsidRPr="0085581F" w14:paraId="2BA8412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640" w:type="dxa"/>
                  <w:tcBorders>
                    <w:top w:val="single" w:sz="4" w:space="0" w:color="000000"/>
                    <w:left w:val="nil"/>
                    <w:bottom w:val="single" w:sz="4" w:space="0" w:color="000000"/>
                    <w:right w:val="nil"/>
                    <w:tl2br w:val="nil"/>
                    <w:tr2bl w:val="nil"/>
                  </w:tcBorders>
                  <w:shd w:val="clear" w:color="FFFFFF" w:fill="000031"/>
                  <w:noWrap/>
                  <w:tcMar>
                    <w:left w:w="40" w:type="dxa"/>
                    <w:right w:w="175" w:type="dxa"/>
                  </w:tcMar>
                  <w:vAlign w:val="bottom"/>
                </w:tcPr>
                <w:p w14:paraId="03B32D47"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rPr>
                  </w:pPr>
                  <w:r w:rsidRPr="0085581F">
                    <w:rPr>
                      <w:rFonts w:asciiTheme="majorBidi" w:hAnsiTheme="majorBidi" w:cstheme="majorBidi"/>
                      <w:b/>
                      <w:color w:val="FFFFFF"/>
                    </w:rPr>
                    <w:t xml:space="preserve">Monetary liabilities, net </w:t>
                  </w:r>
                  <w:r w:rsidRPr="0085581F">
                    <w:rPr>
                      <w:rFonts w:asciiTheme="majorBidi" w:hAnsiTheme="majorBidi" w:cstheme="majorBidi"/>
                      <w:b/>
                      <w:color w:val="FFFFFF"/>
                      <w:vertAlign w:val="superscript"/>
                    </w:rPr>
                    <w:t>4</w:t>
                  </w:r>
                </w:p>
              </w:tc>
              <w:tc>
                <w:tcPr>
                  <w:tcW w:w="1335" w:type="dxa"/>
                  <w:tcBorders>
                    <w:top w:val="single" w:sz="4" w:space="0" w:color="000000"/>
                    <w:left w:val="nil"/>
                    <w:bottom w:val="single" w:sz="4" w:space="0" w:color="000000"/>
                    <w:right w:val="nil"/>
                    <w:tl2br w:val="nil"/>
                    <w:tr2bl w:val="nil"/>
                  </w:tcBorders>
                  <w:shd w:val="clear" w:color="FFFFFF" w:fill="000031"/>
                  <w:noWrap/>
                  <w:tcMar>
                    <w:left w:w="40" w:type="dxa"/>
                    <w:right w:w="175" w:type="dxa"/>
                  </w:tcMar>
                  <w:vAlign w:val="bottom"/>
                </w:tcPr>
                <w:p w14:paraId="0BDCAB67" w14:textId="77777777" w:rsidR="0085581F" w:rsidRPr="0085581F" w:rsidRDefault="0085581F" w:rsidP="0085581F">
                  <w:pPr>
                    <w:spacing w:before="0" w:after="0" w:line="240" w:lineRule="auto"/>
                    <w:jc w:val="right"/>
                    <w:rPr>
                      <w:rFonts w:asciiTheme="majorBidi" w:eastAsia="Ploni ML Medium AAA Medium" w:hAnsiTheme="majorBidi" w:cstheme="majorBidi"/>
                      <w:b/>
                      <w:color w:val="FFFFFF"/>
                    </w:rPr>
                  </w:pPr>
                  <w:r w:rsidRPr="0085581F">
                    <w:rPr>
                      <w:rFonts w:asciiTheme="majorBidi" w:hAnsiTheme="majorBidi" w:cstheme="majorBidi"/>
                      <w:b/>
                      <w:color w:val="FFFFFF"/>
                    </w:rPr>
                    <w:t>13,534</w:t>
                  </w:r>
                </w:p>
              </w:tc>
            </w:tr>
          </w:tbl>
          <w:p w14:paraId="70D80127" w14:textId="77777777" w:rsidR="0085581F" w:rsidRPr="0085581F" w:rsidRDefault="0085581F" w:rsidP="0085581F">
            <w:pPr>
              <w:rPr>
                <w:rFonts w:asciiTheme="majorBidi" w:hAnsiTheme="majorBidi" w:cstheme="majorBidi"/>
              </w:rPr>
            </w:pPr>
          </w:p>
        </w:tc>
      </w:tr>
    </w:tbl>
    <w:p w14:paraId="0EB54B20" w14:textId="77777777" w:rsidR="0085581F" w:rsidRPr="0085581F" w:rsidRDefault="0085581F" w:rsidP="0085581F">
      <w:pPr>
        <w:keepNext/>
        <w:widowControl w:val="0"/>
        <w:tabs>
          <w:tab w:val="left" w:pos="425"/>
          <w:tab w:val="left" w:pos="1133"/>
        </w:tabs>
        <w:spacing w:after="120"/>
        <w:outlineLvl w:val="3"/>
        <w:rPr>
          <w:rFonts w:asciiTheme="majorBidi" w:hAnsiTheme="majorBidi" w:cstheme="majorBidi"/>
          <w:sz w:val="21"/>
          <w:szCs w:val="21"/>
        </w:rPr>
      </w:pPr>
      <w:r w:rsidRPr="0085581F">
        <w:rPr>
          <w:rFonts w:asciiTheme="majorBidi" w:hAnsiTheme="majorBidi" w:cstheme="majorBidi"/>
          <w:sz w:val="21"/>
        </w:rPr>
        <w:t>(*)  Amortization schedule of debentures and debts to financial institutions (NIS millions):</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85581F" w:rsidRPr="0085581F" w14:paraId="35A67BD5" w14:textId="77777777" w:rsidTr="00E61E73">
        <w:trPr>
          <w:cantSplit/>
        </w:trPr>
        <w:tc>
          <w:tcPr>
            <w:tcW w:w="9923" w:type="dxa"/>
          </w:tcPr>
          <w:tbl>
            <w:tblPr>
              <w:tblStyle w:val="CDMRange120"/>
              <w:tblW w:w="9706" w:type="dxa"/>
              <w:tblLayout w:type="fixed"/>
              <w:tblLook w:val="0600" w:firstRow="0" w:lastRow="0" w:firstColumn="0" w:lastColumn="0" w:noHBand="1" w:noVBand="1"/>
              <w:tblCaption w:val="Print_Area"/>
            </w:tblPr>
            <w:tblGrid>
              <w:gridCol w:w="1457"/>
              <w:gridCol w:w="1134"/>
              <w:gridCol w:w="1536"/>
              <w:gridCol w:w="1346"/>
              <w:gridCol w:w="1346"/>
              <w:gridCol w:w="1448"/>
              <w:gridCol w:w="1439"/>
            </w:tblGrid>
            <w:tr w:rsidR="009A026B" w:rsidRPr="0085581F" w14:paraId="1138E3A1" w14:textId="77777777" w:rsidTr="00B31DD8">
              <w:trPr>
                <w:trHeight w:val="300"/>
              </w:trPr>
              <w:tc>
                <w:tcPr>
                  <w:tcW w:w="1457" w:type="dxa"/>
                  <w:tcBorders>
                    <w:top w:val="nil"/>
                    <w:left w:val="nil"/>
                    <w:bottom w:val="nil"/>
                    <w:right w:val="nil"/>
                    <w:tl2br w:val="nil"/>
                    <w:tr2bl w:val="nil"/>
                  </w:tcBorders>
                  <w:shd w:val="clear" w:color="FFFFFF" w:fill="000031"/>
                  <w:tcMar>
                    <w:left w:w="40" w:type="dxa"/>
                    <w:right w:w="175" w:type="dxa"/>
                  </w:tcMar>
                  <w:vAlign w:val="center"/>
                </w:tcPr>
                <w:p w14:paraId="5C0FB3D6"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r w:rsidRPr="0085581F">
                    <w:rPr>
                      <w:rFonts w:asciiTheme="majorBidi" w:hAnsiTheme="majorBidi" w:cstheme="majorBidi"/>
                      <w:b/>
                      <w:color w:val="FFFFFF"/>
                      <w:sz w:val="18"/>
                      <w:szCs w:val="18"/>
                    </w:rPr>
                    <w:t>Year</w:t>
                  </w:r>
                </w:p>
              </w:tc>
              <w:tc>
                <w:tcPr>
                  <w:tcW w:w="1134" w:type="dxa"/>
                  <w:tcBorders>
                    <w:top w:val="nil"/>
                    <w:left w:val="nil"/>
                    <w:bottom w:val="nil"/>
                    <w:right w:val="nil"/>
                    <w:tl2br w:val="nil"/>
                    <w:tr2bl w:val="nil"/>
                  </w:tcBorders>
                  <w:shd w:val="clear" w:color="FFFFFF" w:fill="000031"/>
                  <w:tcMar>
                    <w:left w:w="40" w:type="dxa"/>
                    <w:right w:w="175" w:type="dxa"/>
                  </w:tcMar>
                  <w:vAlign w:val="center"/>
                </w:tcPr>
                <w:p w14:paraId="6172EED5"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r w:rsidRPr="0085581F">
                    <w:rPr>
                      <w:rFonts w:asciiTheme="majorBidi" w:hAnsiTheme="majorBidi" w:cstheme="majorBidi"/>
                      <w:b/>
                      <w:color w:val="FFFFFF"/>
                      <w:sz w:val="18"/>
                      <w:szCs w:val="18"/>
                    </w:rPr>
                    <w:t>Company's debentures</w:t>
                  </w:r>
                </w:p>
              </w:tc>
              <w:tc>
                <w:tcPr>
                  <w:tcW w:w="1536" w:type="dxa"/>
                  <w:tcBorders>
                    <w:top w:val="nil"/>
                    <w:left w:val="nil"/>
                    <w:bottom w:val="nil"/>
                    <w:right w:val="nil"/>
                    <w:tl2br w:val="nil"/>
                    <w:tr2bl w:val="nil"/>
                  </w:tcBorders>
                  <w:shd w:val="clear" w:color="FFFFFF" w:fill="000031"/>
                  <w:tcMar>
                    <w:left w:w="40" w:type="dxa"/>
                    <w:right w:w="175" w:type="dxa"/>
                  </w:tcMar>
                  <w:vAlign w:val="center"/>
                </w:tcPr>
                <w:p w14:paraId="11415645"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r w:rsidRPr="0085581F">
                    <w:rPr>
                      <w:rFonts w:asciiTheme="majorBidi" w:hAnsiTheme="majorBidi" w:cstheme="majorBidi"/>
                      <w:b/>
                      <w:color w:val="FFFFFF"/>
                      <w:sz w:val="18"/>
                      <w:szCs w:val="18"/>
                    </w:rPr>
                    <w:t>Debentures of G Europe</w:t>
                  </w:r>
                </w:p>
              </w:tc>
              <w:tc>
                <w:tcPr>
                  <w:tcW w:w="2692" w:type="dxa"/>
                  <w:gridSpan w:val="2"/>
                  <w:tcBorders>
                    <w:top w:val="nil"/>
                    <w:left w:val="nil"/>
                    <w:bottom w:val="nil"/>
                    <w:right w:val="nil"/>
                    <w:tl2br w:val="nil"/>
                    <w:tr2bl w:val="nil"/>
                  </w:tcBorders>
                  <w:shd w:val="clear" w:color="FFFFFF" w:fill="000031"/>
                  <w:tcMar>
                    <w:left w:w="40" w:type="dxa"/>
                    <w:right w:w="40" w:type="dxa"/>
                  </w:tcMar>
                  <w:vAlign w:val="center"/>
                </w:tcPr>
                <w:p w14:paraId="12975655"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r w:rsidRPr="0085581F">
                    <w:rPr>
                      <w:rFonts w:asciiTheme="majorBidi" w:hAnsiTheme="majorBidi" w:cstheme="majorBidi"/>
                      <w:b/>
                      <w:color w:val="FFFFFF"/>
                      <w:sz w:val="18"/>
                      <w:szCs w:val="18"/>
                    </w:rPr>
                    <w:t>Financial Institutions</w:t>
                  </w:r>
                </w:p>
              </w:tc>
              <w:tc>
                <w:tcPr>
                  <w:tcW w:w="1448" w:type="dxa"/>
                  <w:tcBorders>
                    <w:top w:val="nil"/>
                    <w:left w:val="nil"/>
                    <w:bottom w:val="nil"/>
                    <w:right w:val="nil"/>
                    <w:tl2br w:val="nil"/>
                    <w:tr2bl w:val="nil"/>
                  </w:tcBorders>
                  <w:shd w:val="clear" w:color="FFFFFF" w:fill="000031"/>
                  <w:tcMar>
                    <w:left w:w="40" w:type="dxa"/>
                    <w:right w:w="175" w:type="dxa"/>
                  </w:tcMar>
                  <w:vAlign w:val="center"/>
                </w:tcPr>
                <w:p w14:paraId="52D7B65F"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r w:rsidRPr="0085581F">
                    <w:rPr>
                      <w:rFonts w:asciiTheme="majorBidi" w:hAnsiTheme="majorBidi" w:cstheme="majorBidi"/>
                      <w:b/>
                      <w:color w:val="FFFFFF"/>
                      <w:sz w:val="18"/>
                      <w:szCs w:val="18"/>
                    </w:rPr>
                    <w:t xml:space="preserve">Mortgages </w:t>
                  </w:r>
                  <w:r w:rsidRPr="0085581F">
                    <w:rPr>
                      <w:rFonts w:asciiTheme="majorBidi" w:hAnsiTheme="majorBidi" w:cstheme="majorBidi"/>
                      <w:b/>
                      <w:color w:val="FFFFFF"/>
                      <w:sz w:val="18"/>
                      <w:szCs w:val="18"/>
                      <w:vertAlign w:val="superscript"/>
                    </w:rPr>
                    <w:t>5</w:t>
                  </w:r>
                </w:p>
              </w:tc>
              <w:tc>
                <w:tcPr>
                  <w:tcW w:w="1439" w:type="dxa"/>
                  <w:tcBorders>
                    <w:top w:val="nil"/>
                    <w:left w:val="nil"/>
                    <w:bottom w:val="nil"/>
                    <w:right w:val="nil"/>
                    <w:tl2br w:val="nil"/>
                    <w:tr2bl w:val="nil"/>
                  </w:tcBorders>
                  <w:shd w:val="clear" w:color="FFFFFF" w:fill="000031"/>
                  <w:tcMar>
                    <w:left w:w="40" w:type="dxa"/>
                    <w:right w:w="175" w:type="dxa"/>
                  </w:tcMar>
                  <w:vAlign w:val="center"/>
                </w:tcPr>
                <w:p w14:paraId="387C3CE5"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r w:rsidRPr="0085581F">
                    <w:rPr>
                      <w:rFonts w:asciiTheme="majorBidi" w:hAnsiTheme="majorBidi" w:cstheme="majorBidi"/>
                      <w:b/>
                      <w:color w:val="FFFFFF"/>
                      <w:sz w:val="18"/>
                      <w:szCs w:val="18"/>
                    </w:rPr>
                    <w:t>Total</w:t>
                  </w:r>
                </w:p>
              </w:tc>
            </w:tr>
            <w:tr w:rsidR="009A026B" w:rsidRPr="0085581F" w14:paraId="071862D2" w14:textId="77777777" w:rsidTr="00B31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57" w:type="dxa"/>
                  <w:tcBorders>
                    <w:top w:val="nil"/>
                    <w:left w:val="nil"/>
                    <w:bottom w:val="nil"/>
                    <w:right w:val="nil"/>
                    <w:tl2br w:val="nil"/>
                    <w:tr2bl w:val="nil"/>
                  </w:tcBorders>
                  <w:shd w:val="clear" w:color="FFFFFF" w:fill="000031"/>
                  <w:tcMar>
                    <w:left w:w="0" w:type="dxa"/>
                    <w:right w:w="135" w:type="dxa"/>
                  </w:tcMar>
                  <w:vAlign w:val="center"/>
                </w:tcPr>
                <w:p w14:paraId="4E814113"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p>
              </w:tc>
              <w:tc>
                <w:tcPr>
                  <w:tcW w:w="1134" w:type="dxa"/>
                  <w:tcBorders>
                    <w:top w:val="nil"/>
                    <w:left w:val="nil"/>
                    <w:bottom w:val="nil"/>
                    <w:right w:val="nil"/>
                    <w:tl2br w:val="nil"/>
                    <w:tr2bl w:val="nil"/>
                  </w:tcBorders>
                  <w:shd w:val="clear" w:color="FFFFFF" w:fill="000031"/>
                  <w:tcMar>
                    <w:left w:w="0" w:type="dxa"/>
                    <w:right w:w="135" w:type="dxa"/>
                  </w:tcMar>
                  <w:vAlign w:val="center"/>
                </w:tcPr>
                <w:p w14:paraId="4FAA4879"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p>
              </w:tc>
              <w:tc>
                <w:tcPr>
                  <w:tcW w:w="1536" w:type="dxa"/>
                  <w:tcBorders>
                    <w:top w:val="nil"/>
                    <w:left w:val="nil"/>
                    <w:bottom w:val="nil"/>
                    <w:right w:val="nil"/>
                    <w:tl2br w:val="nil"/>
                    <w:tr2bl w:val="nil"/>
                  </w:tcBorders>
                  <w:shd w:val="clear" w:color="FFFFFF" w:fill="000031"/>
                  <w:tcMar>
                    <w:left w:w="0" w:type="dxa"/>
                    <w:right w:w="135" w:type="dxa"/>
                  </w:tcMar>
                  <w:vAlign w:val="center"/>
                </w:tcPr>
                <w:p w14:paraId="52AB2A3D"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p>
              </w:tc>
              <w:tc>
                <w:tcPr>
                  <w:tcW w:w="1346" w:type="dxa"/>
                  <w:tcBorders>
                    <w:top w:val="nil"/>
                    <w:left w:val="nil"/>
                    <w:bottom w:val="nil"/>
                    <w:right w:val="nil"/>
                    <w:tl2br w:val="nil"/>
                    <w:tr2bl w:val="nil"/>
                  </w:tcBorders>
                  <w:shd w:val="clear" w:color="FFFFFF" w:fill="000031"/>
                  <w:tcMar>
                    <w:left w:w="40" w:type="dxa"/>
                    <w:right w:w="175" w:type="dxa"/>
                  </w:tcMar>
                  <w:vAlign w:val="center"/>
                </w:tcPr>
                <w:p w14:paraId="0B804FA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r w:rsidRPr="0085581F">
                    <w:rPr>
                      <w:rFonts w:asciiTheme="majorBidi" w:hAnsiTheme="majorBidi" w:cstheme="majorBidi"/>
                      <w:b/>
                      <w:color w:val="FFFFFF"/>
                      <w:sz w:val="18"/>
                      <w:szCs w:val="18"/>
                    </w:rPr>
                    <w:t>Secured</w:t>
                  </w:r>
                </w:p>
              </w:tc>
              <w:tc>
                <w:tcPr>
                  <w:tcW w:w="1346" w:type="dxa"/>
                  <w:tcBorders>
                    <w:top w:val="nil"/>
                    <w:left w:val="nil"/>
                    <w:bottom w:val="nil"/>
                    <w:right w:val="nil"/>
                    <w:tl2br w:val="nil"/>
                    <w:tr2bl w:val="nil"/>
                  </w:tcBorders>
                  <w:shd w:val="clear" w:color="FFFFFF" w:fill="000031"/>
                  <w:noWrap/>
                  <w:tcMar>
                    <w:left w:w="40" w:type="dxa"/>
                    <w:right w:w="40" w:type="dxa"/>
                  </w:tcMar>
                  <w:vAlign w:val="center"/>
                </w:tcPr>
                <w:p w14:paraId="547CD6A4"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r w:rsidRPr="0085581F">
                    <w:rPr>
                      <w:rFonts w:asciiTheme="majorBidi" w:hAnsiTheme="majorBidi" w:cstheme="majorBidi"/>
                      <w:b/>
                      <w:color w:val="FFFFFF"/>
                      <w:sz w:val="18"/>
                      <w:szCs w:val="18"/>
                    </w:rPr>
                    <w:t>Unsecured</w:t>
                  </w:r>
                </w:p>
              </w:tc>
              <w:tc>
                <w:tcPr>
                  <w:tcW w:w="1448" w:type="dxa"/>
                  <w:tcBorders>
                    <w:top w:val="nil"/>
                    <w:left w:val="nil"/>
                    <w:bottom w:val="nil"/>
                    <w:right w:val="nil"/>
                    <w:tl2br w:val="nil"/>
                    <w:tr2bl w:val="nil"/>
                  </w:tcBorders>
                  <w:shd w:val="clear" w:color="FFFFFF" w:fill="000031"/>
                  <w:tcMar>
                    <w:left w:w="0" w:type="dxa"/>
                    <w:right w:w="135" w:type="dxa"/>
                  </w:tcMar>
                  <w:vAlign w:val="center"/>
                </w:tcPr>
                <w:p w14:paraId="54434006"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p>
              </w:tc>
              <w:tc>
                <w:tcPr>
                  <w:tcW w:w="1439" w:type="dxa"/>
                  <w:tcBorders>
                    <w:top w:val="nil"/>
                    <w:left w:val="nil"/>
                    <w:bottom w:val="nil"/>
                    <w:right w:val="nil"/>
                    <w:tl2br w:val="nil"/>
                    <w:tr2bl w:val="nil"/>
                  </w:tcBorders>
                  <w:shd w:val="clear" w:color="FFFFFF" w:fill="000031"/>
                  <w:tcMar>
                    <w:left w:w="0" w:type="dxa"/>
                    <w:right w:w="135" w:type="dxa"/>
                  </w:tcMar>
                  <w:vAlign w:val="center"/>
                </w:tcPr>
                <w:p w14:paraId="32FBF5FB"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8"/>
                      <w:szCs w:val="18"/>
                    </w:rPr>
                  </w:pPr>
                </w:p>
              </w:tc>
            </w:tr>
            <w:tr w:rsidR="0085581F" w:rsidRPr="0085581F" w14:paraId="0F1D0728" w14:textId="77777777" w:rsidTr="00B31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57" w:type="dxa"/>
                  <w:tcBorders>
                    <w:top w:val="nil"/>
                    <w:left w:val="nil"/>
                    <w:bottom w:val="single" w:sz="4" w:space="0" w:color="000000"/>
                    <w:right w:val="nil"/>
                    <w:tl2br w:val="nil"/>
                    <w:tr2bl w:val="nil"/>
                  </w:tcBorders>
                  <w:shd w:val="clear" w:color="auto" w:fill="auto"/>
                  <w:noWrap/>
                  <w:tcMar>
                    <w:left w:w="40" w:type="dxa"/>
                    <w:right w:w="175" w:type="dxa"/>
                  </w:tcMar>
                  <w:vAlign w:val="center"/>
                </w:tcPr>
                <w:p w14:paraId="4D93D473"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2024</w:t>
                  </w:r>
                </w:p>
              </w:tc>
              <w:tc>
                <w:tcPr>
                  <w:tcW w:w="1134" w:type="dxa"/>
                  <w:tcBorders>
                    <w:top w:val="nil"/>
                    <w:left w:val="nil"/>
                    <w:bottom w:val="single" w:sz="4" w:space="0" w:color="000000"/>
                    <w:right w:val="nil"/>
                    <w:tl2br w:val="nil"/>
                    <w:tr2bl w:val="nil"/>
                  </w:tcBorders>
                  <w:shd w:val="clear" w:color="auto" w:fill="auto"/>
                  <w:noWrap/>
                  <w:tcMar>
                    <w:left w:w="40" w:type="dxa"/>
                    <w:right w:w="175" w:type="dxa"/>
                  </w:tcMar>
                  <w:vAlign w:val="center"/>
                </w:tcPr>
                <w:p w14:paraId="3B4A288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562</w:t>
                  </w:r>
                </w:p>
              </w:tc>
              <w:tc>
                <w:tcPr>
                  <w:tcW w:w="1536" w:type="dxa"/>
                  <w:tcBorders>
                    <w:top w:val="nil"/>
                    <w:left w:val="nil"/>
                    <w:bottom w:val="single" w:sz="4" w:space="0" w:color="000000"/>
                    <w:right w:val="nil"/>
                    <w:tl2br w:val="nil"/>
                    <w:tr2bl w:val="nil"/>
                  </w:tcBorders>
                  <w:shd w:val="clear" w:color="auto" w:fill="auto"/>
                  <w:noWrap/>
                  <w:tcMar>
                    <w:left w:w="40" w:type="dxa"/>
                    <w:right w:w="175" w:type="dxa"/>
                  </w:tcMar>
                  <w:vAlign w:val="center"/>
                </w:tcPr>
                <w:p w14:paraId="27019A5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w:t>
                  </w:r>
                </w:p>
              </w:tc>
              <w:tc>
                <w:tcPr>
                  <w:tcW w:w="1346" w:type="dxa"/>
                  <w:tcBorders>
                    <w:top w:val="nil"/>
                    <w:left w:val="nil"/>
                    <w:bottom w:val="single" w:sz="4" w:space="0" w:color="000000"/>
                    <w:right w:val="nil"/>
                    <w:tl2br w:val="nil"/>
                    <w:tr2bl w:val="nil"/>
                  </w:tcBorders>
                  <w:shd w:val="clear" w:color="auto" w:fill="auto"/>
                  <w:noWrap/>
                  <w:tcMar>
                    <w:left w:w="40" w:type="dxa"/>
                    <w:right w:w="175" w:type="dxa"/>
                  </w:tcMar>
                  <w:vAlign w:val="center"/>
                </w:tcPr>
                <w:p w14:paraId="038AA02D" w14:textId="7B80CB01"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32</w:t>
                  </w:r>
                  <w:r w:rsidR="00E61E73">
                    <w:rPr>
                      <w:rFonts w:asciiTheme="majorBidi" w:hAnsiTheme="majorBidi" w:cstheme="majorBidi"/>
                      <w:color w:val="000000"/>
                    </w:rPr>
                    <w:t>2</w:t>
                  </w:r>
                  <w:r w:rsidRPr="0085581F">
                    <w:rPr>
                      <w:rFonts w:asciiTheme="majorBidi" w:hAnsiTheme="majorBidi" w:cstheme="majorBidi"/>
                      <w:color w:val="000000"/>
                      <w:vertAlign w:val="superscript"/>
                    </w:rPr>
                    <w:t>7</w:t>
                  </w:r>
                </w:p>
              </w:tc>
              <w:tc>
                <w:tcPr>
                  <w:tcW w:w="1346" w:type="dxa"/>
                  <w:tcBorders>
                    <w:top w:val="nil"/>
                    <w:left w:val="nil"/>
                    <w:bottom w:val="single" w:sz="4" w:space="0" w:color="000000"/>
                    <w:right w:val="nil"/>
                    <w:tl2br w:val="nil"/>
                    <w:tr2bl w:val="nil"/>
                  </w:tcBorders>
                  <w:shd w:val="clear" w:color="auto" w:fill="auto"/>
                  <w:noWrap/>
                  <w:tcMar>
                    <w:left w:w="40" w:type="dxa"/>
                    <w:right w:w="175" w:type="dxa"/>
                  </w:tcMar>
                  <w:vAlign w:val="center"/>
                </w:tcPr>
                <w:p w14:paraId="782F840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38</w:t>
                  </w:r>
                </w:p>
              </w:tc>
              <w:tc>
                <w:tcPr>
                  <w:tcW w:w="1448" w:type="dxa"/>
                  <w:tcBorders>
                    <w:top w:val="nil"/>
                    <w:left w:val="nil"/>
                    <w:bottom w:val="single" w:sz="4" w:space="0" w:color="000000"/>
                    <w:right w:val="nil"/>
                    <w:tl2br w:val="nil"/>
                    <w:tr2bl w:val="nil"/>
                  </w:tcBorders>
                  <w:shd w:val="clear" w:color="auto" w:fill="auto"/>
                  <w:noWrap/>
                  <w:tcMar>
                    <w:left w:w="40" w:type="dxa"/>
                    <w:right w:w="175" w:type="dxa"/>
                  </w:tcMar>
                  <w:vAlign w:val="center"/>
                </w:tcPr>
                <w:p w14:paraId="51E9351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87</w:t>
                  </w:r>
                </w:p>
              </w:tc>
              <w:tc>
                <w:tcPr>
                  <w:tcW w:w="1439" w:type="dxa"/>
                  <w:tcBorders>
                    <w:top w:val="nil"/>
                    <w:left w:val="nil"/>
                    <w:bottom w:val="single" w:sz="4" w:space="0" w:color="000000"/>
                    <w:right w:val="nil"/>
                    <w:tl2br w:val="nil"/>
                    <w:tr2bl w:val="nil"/>
                  </w:tcBorders>
                  <w:shd w:val="clear" w:color="auto" w:fill="auto"/>
                  <w:noWrap/>
                  <w:tcMar>
                    <w:left w:w="40" w:type="dxa"/>
                    <w:right w:w="175" w:type="dxa"/>
                  </w:tcMar>
                  <w:vAlign w:val="center"/>
                </w:tcPr>
                <w:p w14:paraId="7AA7B6CE" w14:textId="16752D79"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1,</w:t>
                  </w:r>
                  <w:r w:rsidR="00E61E73">
                    <w:rPr>
                      <w:rFonts w:asciiTheme="majorBidi" w:hAnsiTheme="majorBidi" w:cstheme="majorBidi"/>
                      <w:color w:val="000000"/>
                    </w:rPr>
                    <w:t>009</w:t>
                  </w:r>
                </w:p>
              </w:tc>
            </w:tr>
            <w:tr w:rsidR="0085581F" w:rsidRPr="0085581F" w14:paraId="025CE045" w14:textId="77777777" w:rsidTr="00B31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57"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67A848FE"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2025</w:t>
                  </w:r>
                </w:p>
              </w:tc>
              <w:tc>
                <w:tcPr>
                  <w:tcW w:w="1134"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3E0532B5" w14:textId="6C88B916"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1,</w:t>
                  </w:r>
                  <w:r w:rsidR="00E61E73">
                    <w:rPr>
                      <w:rFonts w:asciiTheme="majorBidi" w:hAnsiTheme="majorBidi" w:cstheme="majorBidi"/>
                      <w:color w:val="000000"/>
                    </w:rPr>
                    <w:t>199</w:t>
                  </w:r>
                </w:p>
              </w:tc>
              <w:tc>
                <w:tcPr>
                  <w:tcW w:w="153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68771BF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959</w:t>
                  </w:r>
                </w:p>
              </w:tc>
              <w:tc>
                <w:tcPr>
                  <w:tcW w:w="134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3C781D1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128</w:t>
                  </w:r>
                </w:p>
              </w:tc>
              <w:tc>
                <w:tcPr>
                  <w:tcW w:w="134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6700865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38</w:t>
                  </w:r>
                </w:p>
              </w:tc>
              <w:tc>
                <w:tcPr>
                  <w:tcW w:w="1448"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1A2FB8E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362</w:t>
                  </w:r>
                </w:p>
              </w:tc>
              <w:tc>
                <w:tcPr>
                  <w:tcW w:w="1439"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33D4B628" w14:textId="1ED51209"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2,</w:t>
                  </w:r>
                  <w:r w:rsidR="00E61E73">
                    <w:rPr>
                      <w:rFonts w:asciiTheme="majorBidi" w:hAnsiTheme="majorBidi" w:cstheme="majorBidi"/>
                      <w:color w:val="000000"/>
                    </w:rPr>
                    <w:t>686</w:t>
                  </w:r>
                </w:p>
              </w:tc>
            </w:tr>
            <w:tr w:rsidR="0085581F" w:rsidRPr="0085581F" w14:paraId="41FE4C17" w14:textId="77777777" w:rsidTr="00B31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57"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40147256"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2026</w:t>
                  </w:r>
                </w:p>
              </w:tc>
              <w:tc>
                <w:tcPr>
                  <w:tcW w:w="1134"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6B731AB8" w14:textId="11F8BE02"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1,22</w:t>
                  </w:r>
                  <w:r w:rsidR="00E61E73">
                    <w:rPr>
                      <w:rFonts w:asciiTheme="majorBidi" w:hAnsiTheme="majorBidi" w:cstheme="majorBidi"/>
                      <w:color w:val="000000"/>
                    </w:rPr>
                    <w:t>2</w:t>
                  </w:r>
                </w:p>
              </w:tc>
              <w:tc>
                <w:tcPr>
                  <w:tcW w:w="153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39D4EEA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w:t>
                  </w:r>
                </w:p>
              </w:tc>
              <w:tc>
                <w:tcPr>
                  <w:tcW w:w="134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38D3F5B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20</w:t>
                  </w:r>
                </w:p>
              </w:tc>
              <w:tc>
                <w:tcPr>
                  <w:tcW w:w="134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3685B1F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38</w:t>
                  </w:r>
                </w:p>
              </w:tc>
              <w:tc>
                <w:tcPr>
                  <w:tcW w:w="1448"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420A083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915</w:t>
                  </w:r>
                </w:p>
              </w:tc>
              <w:tc>
                <w:tcPr>
                  <w:tcW w:w="1439"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15E9B62B" w14:textId="7555F958"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2,19</w:t>
                  </w:r>
                  <w:r w:rsidR="00E61E73">
                    <w:rPr>
                      <w:rFonts w:asciiTheme="majorBidi" w:hAnsiTheme="majorBidi" w:cstheme="majorBidi"/>
                      <w:color w:val="000000"/>
                    </w:rPr>
                    <w:t>5</w:t>
                  </w:r>
                </w:p>
              </w:tc>
            </w:tr>
            <w:tr w:rsidR="0085581F" w:rsidRPr="0085581F" w14:paraId="3DCCC6E3" w14:textId="77777777" w:rsidTr="00B31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57"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53B9D83C"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2027</w:t>
                  </w:r>
                </w:p>
              </w:tc>
              <w:tc>
                <w:tcPr>
                  <w:tcW w:w="1134"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1BA9536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1,445</w:t>
                  </w:r>
                </w:p>
              </w:tc>
              <w:tc>
                <w:tcPr>
                  <w:tcW w:w="153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49F0AB6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903</w:t>
                  </w:r>
                </w:p>
              </w:tc>
              <w:tc>
                <w:tcPr>
                  <w:tcW w:w="134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30ED1964" w14:textId="5954F26F" w:rsidR="0085581F" w:rsidRPr="0085581F" w:rsidRDefault="00E61E73" w:rsidP="0085581F">
                  <w:pPr>
                    <w:spacing w:before="0" w:after="0" w:line="240" w:lineRule="auto"/>
                    <w:jc w:val="right"/>
                    <w:rPr>
                      <w:rFonts w:asciiTheme="majorBidi" w:eastAsia="Ploni ML Medium AAA Medium" w:hAnsiTheme="majorBidi" w:cstheme="majorBidi"/>
                      <w:color w:val="000000"/>
                    </w:rPr>
                  </w:pPr>
                  <w:r>
                    <w:rPr>
                      <w:rFonts w:asciiTheme="majorBidi" w:hAnsiTheme="majorBidi" w:cstheme="majorBidi"/>
                      <w:color w:val="000000"/>
                    </w:rPr>
                    <w:t>431</w:t>
                  </w:r>
                </w:p>
              </w:tc>
              <w:tc>
                <w:tcPr>
                  <w:tcW w:w="134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12F3CBE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224</w:t>
                  </w:r>
                </w:p>
              </w:tc>
              <w:tc>
                <w:tcPr>
                  <w:tcW w:w="1448"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2DE2F83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820</w:t>
                  </w:r>
                </w:p>
              </w:tc>
              <w:tc>
                <w:tcPr>
                  <w:tcW w:w="1439"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7759743A" w14:textId="24F5BF75"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3,</w:t>
                  </w:r>
                  <w:r w:rsidR="00E61E73">
                    <w:rPr>
                      <w:rFonts w:asciiTheme="majorBidi" w:hAnsiTheme="majorBidi" w:cstheme="majorBidi"/>
                      <w:color w:val="000000"/>
                    </w:rPr>
                    <w:t>823</w:t>
                  </w:r>
                </w:p>
              </w:tc>
            </w:tr>
            <w:tr w:rsidR="0085581F" w:rsidRPr="0085581F" w14:paraId="5555CF00" w14:textId="77777777" w:rsidTr="00B31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57"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73F6C901"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2028</w:t>
                  </w:r>
                </w:p>
              </w:tc>
              <w:tc>
                <w:tcPr>
                  <w:tcW w:w="1134"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5D8A23B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1,380</w:t>
                  </w:r>
                </w:p>
              </w:tc>
              <w:tc>
                <w:tcPr>
                  <w:tcW w:w="153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1788591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w:t>
                  </w:r>
                </w:p>
              </w:tc>
              <w:tc>
                <w:tcPr>
                  <w:tcW w:w="134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64CE1FF1" w14:textId="2845E016"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3</w:t>
                  </w:r>
                  <w:r w:rsidR="00E61E73">
                    <w:rPr>
                      <w:rFonts w:asciiTheme="majorBidi" w:hAnsiTheme="majorBidi" w:cstheme="majorBidi"/>
                      <w:color w:val="000000"/>
                    </w:rPr>
                    <w:t>5</w:t>
                  </w:r>
                </w:p>
              </w:tc>
              <w:tc>
                <w:tcPr>
                  <w:tcW w:w="134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52AC4BE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w:t>
                  </w:r>
                </w:p>
              </w:tc>
              <w:tc>
                <w:tcPr>
                  <w:tcW w:w="1448"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36E981B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1,181</w:t>
                  </w:r>
                </w:p>
              </w:tc>
              <w:tc>
                <w:tcPr>
                  <w:tcW w:w="1439"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372303CE" w14:textId="32493AC3"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2,59</w:t>
                  </w:r>
                  <w:r w:rsidR="00E61E73">
                    <w:rPr>
                      <w:rFonts w:asciiTheme="majorBidi" w:hAnsiTheme="majorBidi" w:cstheme="majorBidi"/>
                      <w:color w:val="000000"/>
                    </w:rPr>
                    <w:t>6</w:t>
                  </w:r>
                </w:p>
              </w:tc>
            </w:tr>
            <w:tr w:rsidR="0085581F" w:rsidRPr="0085581F" w14:paraId="4B1D440B" w14:textId="77777777" w:rsidTr="00B31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57"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57F312AF"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2029</w:t>
                  </w:r>
                </w:p>
              </w:tc>
              <w:tc>
                <w:tcPr>
                  <w:tcW w:w="1134"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23209BB1" w14:textId="206BD3CE"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1,3</w:t>
                  </w:r>
                  <w:r w:rsidR="00E61E73">
                    <w:rPr>
                      <w:rFonts w:asciiTheme="majorBidi" w:hAnsiTheme="majorBidi" w:cstheme="majorBidi"/>
                      <w:color w:val="000000"/>
                    </w:rPr>
                    <w:t>42</w:t>
                  </w:r>
                </w:p>
              </w:tc>
              <w:tc>
                <w:tcPr>
                  <w:tcW w:w="153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3501A02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w:t>
                  </w:r>
                </w:p>
              </w:tc>
              <w:tc>
                <w:tcPr>
                  <w:tcW w:w="134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1A69E39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34</w:t>
                  </w:r>
                </w:p>
              </w:tc>
              <w:tc>
                <w:tcPr>
                  <w:tcW w:w="134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6B4DEA0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w:t>
                  </w:r>
                </w:p>
              </w:tc>
              <w:tc>
                <w:tcPr>
                  <w:tcW w:w="1448"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27171EC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154</w:t>
                  </w:r>
                </w:p>
              </w:tc>
              <w:tc>
                <w:tcPr>
                  <w:tcW w:w="1439"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3D03854A" w14:textId="073C8E4B"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1,5</w:t>
                  </w:r>
                  <w:r w:rsidR="00E61E73">
                    <w:rPr>
                      <w:rFonts w:asciiTheme="majorBidi" w:hAnsiTheme="majorBidi" w:cstheme="majorBidi"/>
                      <w:color w:val="000000"/>
                    </w:rPr>
                    <w:t>30</w:t>
                  </w:r>
                </w:p>
              </w:tc>
            </w:tr>
            <w:tr w:rsidR="0085581F" w:rsidRPr="0085581F" w14:paraId="7CBC6F64" w14:textId="77777777" w:rsidTr="00B31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57"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3CC843DF"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2030</w:t>
                  </w:r>
                </w:p>
              </w:tc>
              <w:tc>
                <w:tcPr>
                  <w:tcW w:w="1134"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69E08EB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131</w:t>
                  </w:r>
                </w:p>
              </w:tc>
              <w:tc>
                <w:tcPr>
                  <w:tcW w:w="153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66D0C27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w:t>
                  </w:r>
                </w:p>
              </w:tc>
              <w:tc>
                <w:tcPr>
                  <w:tcW w:w="134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71C27A2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41</w:t>
                  </w:r>
                </w:p>
              </w:tc>
              <w:tc>
                <w:tcPr>
                  <w:tcW w:w="134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4CD5C36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w:t>
                  </w:r>
                </w:p>
              </w:tc>
              <w:tc>
                <w:tcPr>
                  <w:tcW w:w="1448"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3FB5082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851</w:t>
                  </w:r>
                </w:p>
              </w:tc>
              <w:tc>
                <w:tcPr>
                  <w:tcW w:w="1439"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1F07791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1,023</w:t>
                  </w:r>
                </w:p>
              </w:tc>
            </w:tr>
            <w:tr w:rsidR="0085581F" w:rsidRPr="0085581F" w14:paraId="53D199DE" w14:textId="77777777" w:rsidTr="00B31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57"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640A56F2"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2031</w:t>
                  </w:r>
                </w:p>
              </w:tc>
              <w:tc>
                <w:tcPr>
                  <w:tcW w:w="1134"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7BB6796C" w14:textId="3B4CA60F"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87</w:t>
                  </w:r>
                  <w:r w:rsidR="00E61E73">
                    <w:rPr>
                      <w:rFonts w:asciiTheme="majorBidi" w:hAnsiTheme="majorBidi" w:cstheme="majorBidi"/>
                      <w:color w:val="000000"/>
                    </w:rPr>
                    <w:t>5</w:t>
                  </w:r>
                </w:p>
              </w:tc>
              <w:tc>
                <w:tcPr>
                  <w:tcW w:w="153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225D199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w:t>
                  </w:r>
                </w:p>
              </w:tc>
              <w:tc>
                <w:tcPr>
                  <w:tcW w:w="134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68AAE142" w14:textId="6504B92C"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4</w:t>
                  </w:r>
                  <w:r w:rsidR="00E61E73">
                    <w:rPr>
                      <w:rFonts w:asciiTheme="majorBidi" w:hAnsiTheme="majorBidi" w:cstheme="majorBidi"/>
                      <w:color w:val="000000"/>
                    </w:rPr>
                    <w:t>7</w:t>
                  </w:r>
                </w:p>
              </w:tc>
              <w:tc>
                <w:tcPr>
                  <w:tcW w:w="134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7E909E6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w:t>
                  </w:r>
                </w:p>
              </w:tc>
              <w:tc>
                <w:tcPr>
                  <w:tcW w:w="1448"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0D19D82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w:t>
                  </w:r>
                </w:p>
              </w:tc>
              <w:tc>
                <w:tcPr>
                  <w:tcW w:w="1439"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3386C21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922</w:t>
                  </w:r>
                </w:p>
              </w:tc>
            </w:tr>
            <w:tr w:rsidR="0085581F" w:rsidRPr="0085581F" w14:paraId="1A1774BD" w14:textId="77777777" w:rsidTr="00B31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57"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2B08B07E"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2032 onwards</w:t>
                  </w:r>
                </w:p>
              </w:tc>
              <w:tc>
                <w:tcPr>
                  <w:tcW w:w="1134"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0767994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w:t>
                  </w:r>
                </w:p>
              </w:tc>
              <w:tc>
                <w:tcPr>
                  <w:tcW w:w="153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2C6F376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w:t>
                  </w:r>
                </w:p>
              </w:tc>
              <w:tc>
                <w:tcPr>
                  <w:tcW w:w="134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41ACDCEE" w14:textId="04F0D27A" w:rsidR="0085581F" w:rsidRPr="0085581F" w:rsidRDefault="00E61E73" w:rsidP="0085581F">
                  <w:pPr>
                    <w:spacing w:before="0" w:after="0" w:line="240" w:lineRule="auto"/>
                    <w:jc w:val="right"/>
                    <w:rPr>
                      <w:rFonts w:asciiTheme="majorBidi" w:eastAsia="Ploni ML Medium AAA Medium" w:hAnsiTheme="majorBidi" w:cstheme="majorBidi"/>
                      <w:color w:val="000000"/>
                    </w:rPr>
                  </w:pPr>
                  <w:r>
                    <w:rPr>
                      <w:rFonts w:asciiTheme="majorBidi" w:hAnsiTheme="majorBidi" w:cstheme="majorBidi"/>
                      <w:color w:val="000000"/>
                    </w:rPr>
                    <w:t>302</w:t>
                  </w:r>
                </w:p>
              </w:tc>
              <w:tc>
                <w:tcPr>
                  <w:tcW w:w="134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1FA47BF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w:t>
                  </w:r>
                </w:p>
              </w:tc>
              <w:tc>
                <w:tcPr>
                  <w:tcW w:w="1448"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0435777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rPr>
                  </w:pPr>
                  <w:r w:rsidRPr="0085581F">
                    <w:rPr>
                      <w:rFonts w:asciiTheme="majorBidi" w:hAnsiTheme="majorBidi" w:cstheme="majorBidi"/>
                      <w:color w:val="000000"/>
                    </w:rPr>
                    <w:t xml:space="preserve">  -</w:t>
                  </w:r>
                </w:p>
              </w:tc>
              <w:tc>
                <w:tcPr>
                  <w:tcW w:w="1439"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center"/>
                </w:tcPr>
                <w:p w14:paraId="12351947" w14:textId="1E14E64E" w:rsidR="0085581F" w:rsidRPr="0085581F" w:rsidRDefault="00E61E73" w:rsidP="0085581F">
                  <w:pPr>
                    <w:spacing w:before="0" w:after="0" w:line="240" w:lineRule="auto"/>
                    <w:jc w:val="right"/>
                    <w:rPr>
                      <w:rFonts w:asciiTheme="majorBidi" w:eastAsia="Ploni ML Medium AAA Medium" w:hAnsiTheme="majorBidi" w:cstheme="majorBidi"/>
                      <w:color w:val="000000"/>
                    </w:rPr>
                  </w:pPr>
                  <w:r>
                    <w:rPr>
                      <w:rFonts w:asciiTheme="majorBidi" w:hAnsiTheme="majorBidi" w:cstheme="majorBidi"/>
                      <w:color w:val="000000"/>
                    </w:rPr>
                    <w:t>302</w:t>
                  </w:r>
                </w:p>
              </w:tc>
            </w:tr>
            <w:tr w:rsidR="009A026B" w:rsidRPr="0085581F" w14:paraId="5A1E82F9" w14:textId="77777777" w:rsidTr="00B31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57" w:type="dxa"/>
                  <w:tcBorders>
                    <w:top w:val="single" w:sz="4" w:space="0" w:color="000000"/>
                    <w:left w:val="nil"/>
                    <w:bottom w:val="nil"/>
                    <w:right w:val="nil"/>
                    <w:tl2br w:val="nil"/>
                    <w:tr2bl w:val="nil"/>
                  </w:tcBorders>
                  <w:shd w:val="clear" w:color="FFFFFF" w:fill="000031"/>
                  <w:tcMar>
                    <w:left w:w="40" w:type="dxa"/>
                    <w:right w:w="175" w:type="dxa"/>
                  </w:tcMar>
                  <w:vAlign w:val="center"/>
                </w:tcPr>
                <w:p w14:paraId="10E63621"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rPr>
                  </w:pPr>
                  <w:r w:rsidRPr="0085581F">
                    <w:rPr>
                      <w:rFonts w:asciiTheme="majorBidi" w:hAnsiTheme="majorBidi" w:cstheme="majorBidi"/>
                      <w:b/>
                      <w:color w:val="FFFFFF"/>
                    </w:rPr>
                    <w:t>Total</w:t>
                  </w:r>
                </w:p>
              </w:tc>
              <w:tc>
                <w:tcPr>
                  <w:tcW w:w="1134" w:type="dxa"/>
                  <w:tcBorders>
                    <w:top w:val="single" w:sz="4" w:space="0" w:color="000000"/>
                    <w:left w:val="nil"/>
                    <w:bottom w:val="nil"/>
                    <w:right w:val="nil"/>
                    <w:tl2br w:val="nil"/>
                    <w:tr2bl w:val="nil"/>
                  </w:tcBorders>
                  <w:shd w:val="clear" w:color="FFFFFF" w:fill="000031"/>
                  <w:noWrap/>
                  <w:tcMar>
                    <w:left w:w="40" w:type="dxa"/>
                    <w:right w:w="175" w:type="dxa"/>
                  </w:tcMar>
                  <w:vAlign w:val="center"/>
                </w:tcPr>
                <w:p w14:paraId="6AB73DB1" w14:textId="77777777" w:rsidR="0085581F" w:rsidRPr="0085581F" w:rsidRDefault="0085581F" w:rsidP="0085581F">
                  <w:pPr>
                    <w:spacing w:before="0" w:after="0" w:line="240" w:lineRule="auto"/>
                    <w:jc w:val="right"/>
                    <w:rPr>
                      <w:rFonts w:asciiTheme="majorBidi" w:eastAsia="Ploni ML Medium AAA Medium" w:hAnsiTheme="majorBidi" w:cstheme="majorBidi"/>
                      <w:b/>
                      <w:color w:val="FFFFFF"/>
                    </w:rPr>
                  </w:pPr>
                  <w:r w:rsidRPr="0085581F">
                    <w:rPr>
                      <w:rFonts w:asciiTheme="majorBidi" w:hAnsiTheme="majorBidi" w:cstheme="majorBidi"/>
                      <w:b/>
                      <w:color w:val="FFFFFF"/>
                    </w:rPr>
                    <w:t>8,156</w:t>
                  </w:r>
                </w:p>
              </w:tc>
              <w:tc>
                <w:tcPr>
                  <w:tcW w:w="1536" w:type="dxa"/>
                  <w:tcBorders>
                    <w:top w:val="single" w:sz="4" w:space="0" w:color="000000"/>
                    <w:left w:val="nil"/>
                    <w:bottom w:val="nil"/>
                    <w:right w:val="nil"/>
                    <w:tl2br w:val="nil"/>
                    <w:tr2bl w:val="nil"/>
                  </w:tcBorders>
                  <w:shd w:val="clear" w:color="FFFFFF" w:fill="000031"/>
                  <w:noWrap/>
                  <w:tcMar>
                    <w:left w:w="40" w:type="dxa"/>
                    <w:right w:w="175" w:type="dxa"/>
                  </w:tcMar>
                  <w:vAlign w:val="center"/>
                </w:tcPr>
                <w:p w14:paraId="12C6A7DD" w14:textId="77777777" w:rsidR="0085581F" w:rsidRPr="0085581F" w:rsidRDefault="0085581F" w:rsidP="0085581F">
                  <w:pPr>
                    <w:spacing w:before="0" w:after="0" w:line="240" w:lineRule="auto"/>
                    <w:jc w:val="right"/>
                    <w:rPr>
                      <w:rFonts w:asciiTheme="majorBidi" w:eastAsia="Ploni ML Medium AAA Medium" w:hAnsiTheme="majorBidi" w:cstheme="majorBidi"/>
                      <w:b/>
                      <w:color w:val="FFFFFF"/>
                    </w:rPr>
                  </w:pPr>
                  <w:r w:rsidRPr="0085581F">
                    <w:rPr>
                      <w:rFonts w:asciiTheme="majorBidi" w:hAnsiTheme="majorBidi" w:cstheme="majorBidi"/>
                      <w:b/>
                      <w:color w:val="FFFFFF"/>
                    </w:rPr>
                    <w:t>1,862</w:t>
                  </w:r>
                </w:p>
              </w:tc>
              <w:tc>
                <w:tcPr>
                  <w:tcW w:w="1346" w:type="dxa"/>
                  <w:tcBorders>
                    <w:top w:val="single" w:sz="4" w:space="0" w:color="000000"/>
                    <w:left w:val="nil"/>
                    <w:bottom w:val="nil"/>
                    <w:right w:val="nil"/>
                    <w:tl2br w:val="nil"/>
                    <w:tr2bl w:val="nil"/>
                  </w:tcBorders>
                  <w:shd w:val="clear" w:color="FFFFFF" w:fill="000031"/>
                  <w:noWrap/>
                  <w:tcMar>
                    <w:left w:w="40" w:type="dxa"/>
                    <w:right w:w="175" w:type="dxa"/>
                  </w:tcMar>
                  <w:vAlign w:val="center"/>
                </w:tcPr>
                <w:p w14:paraId="6A2286B9" w14:textId="77777777" w:rsidR="0085581F" w:rsidRPr="0085581F" w:rsidRDefault="0085581F" w:rsidP="0085581F">
                  <w:pPr>
                    <w:spacing w:before="0" w:after="0" w:line="240" w:lineRule="auto"/>
                    <w:jc w:val="right"/>
                    <w:rPr>
                      <w:rFonts w:asciiTheme="majorBidi" w:eastAsia="Ploni ML Medium AAA Medium" w:hAnsiTheme="majorBidi" w:cstheme="majorBidi"/>
                      <w:b/>
                      <w:color w:val="FFFFFF"/>
                    </w:rPr>
                  </w:pPr>
                  <w:r w:rsidRPr="0085581F">
                    <w:rPr>
                      <w:rFonts w:asciiTheme="majorBidi" w:hAnsiTheme="majorBidi" w:cstheme="majorBidi"/>
                      <w:b/>
                      <w:color w:val="FFFFFF"/>
                    </w:rPr>
                    <w:t>1,360</w:t>
                  </w:r>
                </w:p>
              </w:tc>
              <w:tc>
                <w:tcPr>
                  <w:tcW w:w="1346" w:type="dxa"/>
                  <w:tcBorders>
                    <w:top w:val="single" w:sz="4" w:space="0" w:color="000000"/>
                    <w:left w:val="nil"/>
                    <w:bottom w:val="nil"/>
                    <w:right w:val="nil"/>
                    <w:tl2br w:val="nil"/>
                    <w:tr2bl w:val="nil"/>
                  </w:tcBorders>
                  <w:shd w:val="clear" w:color="FFFFFF" w:fill="000031"/>
                  <w:noWrap/>
                  <w:tcMar>
                    <w:left w:w="40" w:type="dxa"/>
                    <w:right w:w="175" w:type="dxa"/>
                  </w:tcMar>
                  <w:vAlign w:val="center"/>
                </w:tcPr>
                <w:p w14:paraId="49976550" w14:textId="77777777" w:rsidR="0085581F" w:rsidRPr="0085581F" w:rsidRDefault="0085581F" w:rsidP="0085581F">
                  <w:pPr>
                    <w:spacing w:before="0" w:after="0" w:line="240" w:lineRule="auto"/>
                    <w:jc w:val="right"/>
                    <w:rPr>
                      <w:rFonts w:asciiTheme="majorBidi" w:eastAsia="Ploni ML Medium AAA Medium" w:hAnsiTheme="majorBidi" w:cstheme="majorBidi"/>
                      <w:b/>
                      <w:color w:val="FFFFFF"/>
                    </w:rPr>
                  </w:pPr>
                  <w:r w:rsidRPr="0085581F">
                    <w:rPr>
                      <w:rFonts w:asciiTheme="majorBidi" w:hAnsiTheme="majorBidi" w:cstheme="majorBidi"/>
                      <w:b/>
                      <w:color w:val="FFFFFF"/>
                    </w:rPr>
                    <w:t>338</w:t>
                  </w:r>
                </w:p>
              </w:tc>
              <w:tc>
                <w:tcPr>
                  <w:tcW w:w="1448" w:type="dxa"/>
                  <w:tcBorders>
                    <w:top w:val="single" w:sz="4" w:space="0" w:color="000000"/>
                    <w:left w:val="nil"/>
                    <w:bottom w:val="nil"/>
                    <w:right w:val="nil"/>
                    <w:tl2br w:val="nil"/>
                    <w:tr2bl w:val="nil"/>
                  </w:tcBorders>
                  <w:shd w:val="clear" w:color="FFFFFF" w:fill="000031"/>
                  <w:noWrap/>
                  <w:tcMar>
                    <w:left w:w="40" w:type="dxa"/>
                    <w:right w:w="175" w:type="dxa"/>
                  </w:tcMar>
                  <w:vAlign w:val="center"/>
                </w:tcPr>
                <w:p w14:paraId="50167C70" w14:textId="77777777" w:rsidR="0085581F" w:rsidRPr="0085581F" w:rsidRDefault="0085581F" w:rsidP="0085581F">
                  <w:pPr>
                    <w:spacing w:before="0" w:after="0" w:line="240" w:lineRule="auto"/>
                    <w:jc w:val="right"/>
                    <w:rPr>
                      <w:rFonts w:asciiTheme="majorBidi" w:eastAsia="Ploni ML Medium AAA Medium" w:hAnsiTheme="majorBidi" w:cstheme="majorBidi"/>
                      <w:b/>
                      <w:color w:val="FFFFFF"/>
                    </w:rPr>
                  </w:pPr>
                  <w:r w:rsidRPr="0085581F">
                    <w:rPr>
                      <w:rFonts w:asciiTheme="majorBidi" w:hAnsiTheme="majorBidi" w:cstheme="majorBidi"/>
                      <w:b/>
                      <w:color w:val="FFFFFF"/>
                    </w:rPr>
                    <w:t>4,370</w:t>
                  </w:r>
                </w:p>
              </w:tc>
              <w:tc>
                <w:tcPr>
                  <w:tcW w:w="1439" w:type="dxa"/>
                  <w:tcBorders>
                    <w:top w:val="single" w:sz="4" w:space="0" w:color="000000"/>
                    <w:left w:val="nil"/>
                    <w:bottom w:val="nil"/>
                    <w:right w:val="nil"/>
                    <w:tl2br w:val="nil"/>
                    <w:tr2bl w:val="nil"/>
                  </w:tcBorders>
                  <w:shd w:val="clear" w:color="FFFFFF" w:fill="000031"/>
                  <w:noWrap/>
                  <w:tcMar>
                    <w:left w:w="40" w:type="dxa"/>
                    <w:right w:w="175" w:type="dxa"/>
                  </w:tcMar>
                  <w:vAlign w:val="center"/>
                </w:tcPr>
                <w:p w14:paraId="09B0AE61" w14:textId="77777777" w:rsidR="0085581F" w:rsidRPr="0085581F" w:rsidRDefault="0085581F" w:rsidP="0085581F">
                  <w:pPr>
                    <w:spacing w:before="0" w:after="0" w:line="240" w:lineRule="auto"/>
                    <w:jc w:val="right"/>
                    <w:rPr>
                      <w:rFonts w:asciiTheme="majorBidi" w:eastAsia="Ploni ML Medium AAA Medium" w:hAnsiTheme="majorBidi" w:cstheme="majorBidi"/>
                      <w:b/>
                      <w:color w:val="FFFFFF"/>
                    </w:rPr>
                  </w:pPr>
                  <w:r w:rsidRPr="0085581F">
                    <w:rPr>
                      <w:rFonts w:asciiTheme="majorBidi" w:hAnsiTheme="majorBidi" w:cstheme="majorBidi"/>
                      <w:b/>
                      <w:color w:val="FFFFFF"/>
                    </w:rPr>
                    <w:t>16,086</w:t>
                  </w:r>
                </w:p>
              </w:tc>
            </w:tr>
          </w:tbl>
          <w:p w14:paraId="5F936C16" w14:textId="77777777" w:rsidR="0085581F" w:rsidRPr="0085581F" w:rsidRDefault="0085581F" w:rsidP="0085581F">
            <w:pPr>
              <w:rPr>
                <w:rFonts w:asciiTheme="majorBidi" w:hAnsiTheme="majorBidi" w:cstheme="majorBidi"/>
              </w:rPr>
            </w:pPr>
          </w:p>
        </w:tc>
      </w:tr>
    </w:tbl>
    <w:p w14:paraId="4EE96D2D" w14:textId="77777777" w:rsidR="0085581F" w:rsidRPr="0085581F" w:rsidRDefault="0085581F" w:rsidP="00E61E73">
      <w:pPr>
        <w:widowControl w:val="0"/>
        <w:tabs>
          <w:tab w:val="left" w:pos="284"/>
          <w:tab w:val="left" w:pos="425"/>
          <w:tab w:val="left" w:pos="1133"/>
        </w:tabs>
        <w:spacing w:line="240" w:lineRule="auto"/>
        <w:outlineLvl w:val="3"/>
        <w:rPr>
          <w:rFonts w:asciiTheme="majorBidi" w:hAnsiTheme="majorBidi" w:cstheme="majorBidi"/>
          <w:sz w:val="18"/>
          <w:szCs w:val="18"/>
          <w:vertAlign w:val="subscript"/>
        </w:rPr>
      </w:pPr>
      <w:r w:rsidRPr="0085581F">
        <w:rPr>
          <w:rFonts w:asciiTheme="majorBidi" w:hAnsiTheme="majorBidi" w:cstheme="majorBidi"/>
          <w:sz w:val="18"/>
          <w:szCs w:val="18"/>
          <w:vertAlign w:val="subscript"/>
        </w:rPr>
        <w:t xml:space="preserve">1 </w:t>
      </w:r>
      <w:r w:rsidRPr="0085581F">
        <w:rPr>
          <w:rFonts w:asciiTheme="majorBidi" w:hAnsiTheme="majorBidi" w:cstheme="majorBidi"/>
          <w:sz w:val="18"/>
          <w:szCs w:val="18"/>
          <w:vertAlign w:val="subscript"/>
        </w:rPr>
        <w:tab/>
        <w:t>Including an investment in assets through joint transactions presented in the financial statements according to the equity method.</w:t>
      </w:r>
    </w:p>
    <w:p w14:paraId="6C0E262B" w14:textId="46A1950F" w:rsidR="0085581F" w:rsidRPr="0085581F" w:rsidRDefault="0085581F" w:rsidP="00E61E73">
      <w:pPr>
        <w:widowControl w:val="0"/>
        <w:tabs>
          <w:tab w:val="left" w:pos="284"/>
          <w:tab w:val="left" w:pos="425"/>
          <w:tab w:val="left" w:pos="1133"/>
        </w:tabs>
        <w:spacing w:line="240" w:lineRule="auto"/>
        <w:outlineLvl w:val="3"/>
        <w:rPr>
          <w:rFonts w:asciiTheme="majorBidi" w:hAnsiTheme="majorBidi" w:cstheme="majorBidi"/>
          <w:sz w:val="18"/>
          <w:szCs w:val="18"/>
          <w:vertAlign w:val="subscript"/>
        </w:rPr>
      </w:pPr>
      <w:r w:rsidRPr="0085581F">
        <w:rPr>
          <w:rFonts w:asciiTheme="majorBidi" w:hAnsiTheme="majorBidi" w:cstheme="majorBidi"/>
          <w:sz w:val="18"/>
          <w:szCs w:val="18"/>
          <w:vertAlign w:val="subscript"/>
        </w:rPr>
        <w:t xml:space="preserve">2 </w:t>
      </w:r>
      <w:r w:rsidRPr="0085581F">
        <w:rPr>
          <w:rFonts w:asciiTheme="majorBidi" w:hAnsiTheme="majorBidi" w:cstheme="majorBidi"/>
          <w:sz w:val="18"/>
          <w:szCs w:val="18"/>
          <w:vertAlign w:val="subscript"/>
        </w:rPr>
        <w:tab/>
        <w:t xml:space="preserve">Includes mainly cash and cash equivalents, marketable securities and short-term deposits in the amount of NIS 0.7 billion, assets held for sale in the amount of NIS 1.3 billion, loans and receivables in the amount of NIS </w:t>
      </w:r>
      <w:r w:rsidR="00E61E73">
        <w:rPr>
          <w:rFonts w:asciiTheme="majorBidi" w:hAnsiTheme="majorBidi" w:cstheme="majorBidi"/>
          <w:sz w:val="18"/>
          <w:szCs w:val="18"/>
          <w:vertAlign w:val="subscript"/>
        </w:rPr>
        <w:t>1.1</w:t>
      </w:r>
      <w:r w:rsidRPr="0085581F">
        <w:rPr>
          <w:rFonts w:asciiTheme="majorBidi" w:hAnsiTheme="majorBidi" w:cstheme="majorBidi"/>
          <w:sz w:val="18"/>
          <w:szCs w:val="18"/>
          <w:vertAlign w:val="subscript"/>
        </w:rPr>
        <w:t xml:space="preserve"> billion and derivative financial instruments in the amount of NIS 0.1 billion.</w:t>
      </w:r>
    </w:p>
    <w:p w14:paraId="75DB431E" w14:textId="77777777" w:rsidR="0085581F" w:rsidRPr="0085581F" w:rsidRDefault="0085581F" w:rsidP="00E61E73">
      <w:pPr>
        <w:widowControl w:val="0"/>
        <w:tabs>
          <w:tab w:val="left" w:pos="284"/>
          <w:tab w:val="left" w:pos="425"/>
          <w:tab w:val="left" w:pos="1133"/>
        </w:tabs>
        <w:spacing w:line="240" w:lineRule="auto"/>
        <w:outlineLvl w:val="3"/>
        <w:rPr>
          <w:rFonts w:asciiTheme="majorBidi" w:hAnsiTheme="majorBidi" w:cstheme="majorBidi"/>
          <w:sz w:val="18"/>
          <w:szCs w:val="18"/>
          <w:vertAlign w:val="subscript"/>
        </w:rPr>
      </w:pPr>
      <w:r w:rsidRPr="0085581F">
        <w:rPr>
          <w:rFonts w:asciiTheme="majorBidi" w:hAnsiTheme="majorBidi" w:cstheme="majorBidi"/>
          <w:sz w:val="18"/>
          <w:szCs w:val="18"/>
          <w:vertAlign w:val="subscript"/>
        </w:rPr>
        <w:t>3</w:t>
      </w:r>
      <w:r w:rsidRPr="0085581F">
        <w:rPr>
          <w:rFonts w:asciiTheme="majorBidi" w:hAnsiTheme="majorBidi" w:cstheme="majorBidi"/>
          <w:sz w:val="18"/>
          <w:szCs w:val="18"/>
          <w:vertAlign w:val="subscript"/>
        </w:rPr>
        <w:tab/>
        <w:t>Includes primarily an investment in participation units in private equity funds and other investments.</w:t>
      </w:r>
    </w:p>
    <w:p w14:paraId="77AACDB5" w14:textId="77777777" w:rsidR="0085581F" w:rsidRPr="0085581F" w:rsidRDefault="0085581F" w:rsidP="00E61E73">
      <w:pPr>
        <w:widowControl w:val="0"/>
        <w:tabs>
          <w:tab w:val="left" w:pos="284"/>
          <w:tab w:val="left" w:pos="425"/>
          <w:tab w:val="left" w:pos="1133"/>
        </w:tabs>
        <w:spacing w:line="240" w:lineRule="auto"/>
        <w:outlineLvl w:val="3"/>
        <w:rPr>
          <w:rFonts w:asciiTheme="majorBidi" w:hAnsiTheme="majorBidi" w:cstheme="majorBidi"/>
          <w:sz w:val="18"/>
          <w:szCs w:val="18"/>
          <w:vertAlign w:val="subscript"/>
        </w:rPr>
      </w:pPr>
      <w:r w:rsidRPr="0085581F">
        <w:rPr>
          <w:rFonts w:asciiTheme="majorBidi" w:hAnsiTheme="majorBidi" w:cstheme="majorBidi"/>
          <w:sz w:val="18"/>
          <w:szCs w:val="18"/>
          <w:vertAlign w:val="subscript"/>
        </w:rPr>
        <w:t xml:space="preserve">4 </w:t>
      </w:r>
      <w:r w:rsidRPr="0085581F">
        <w:rPr>
          <w:rFonts w:asciiTheme="majorBidi" w:hAnsiTheme="majorBidi" w:cstheme="majorBidi"/>
          <w:sz w:val="18"/>
          <w:szCs w:val="18"/>
          <w:vertAlign w:val="subscript"/>
        </w:rPr>
        <w:tab/>
        <w:t>Does not include G Europe hybrid debentures in an amount of NIS 953 million, a deferred taxes reserve in the amount of NIS 526 million with regard to investment real estate and other investments and NIS 489 million for non-controlling interests in part of the Company's assets.</w:t>
      </w:r>
    </w:p>
    <w:p w14:paraId="6EA283AD" w14:textId="77777777" w:rsidR="0085581F" w:rsidRPr="0085581F" w:rsidRDefault="0085581F" w:rsidP="00E61E73">
      <w:pPr>
        <w:widowControl w:val="0"/>
        <w:tabs>
          <w:tab w:val="left" w:pos="284"/>
          <w:tab w:val="left" w:pos="425"/>
          <w:tab w:val="left" w:pos="1133"/>
        </w:tabs>
        <w:spacing w:line="240" w:lineRule="auto"/>
        <w:outlineLvl w:val="3"/>
        <w:rPr>
          <w:rFonts w:asciiTheme="majorBidi" w:hAnsiTheme="majorBidi" w:cstheme="majorBidi"/>
          <w:sz w:val="18"/>
          <w:szCs w:val="18"/>
          <w:vertAlign w:val="subscript"/>
        </w:rPr>
      </w:pPr>
      <w:r w:rsidRPr="0085581F">
        <w:rPr>
          <w:rFonts w:asciiTheme="majorBidi" w:hAnsiTheme="majorBidi" w:cstheme="majorBidi"/>
          <w:sz w:val="18"/>
          <w:szCs w:val="18"/>
          <w:vertAlign w:val="subscript"/>
        </w:rPr>
        <w:t>5</w:t>
      </w:r>
      <w:r w:rsidRPr="0085581F">
        <w:rPr>
          <w:rFonts w:asciiTheme="majorBidi" w:hAnsiTheme="majorBidi" w:cstheme="majorBidi"/>
          <w:sz w:val="18"/>
          <w:szCs w:val="18"/>
          <w:vertAlign w:val="subscript"/>
        </w:rPr>
        <w:tab/>
        <w:t>The repayment dates of mortgages include the mortgage attributed to properties held for sale in 2027 in an amount of NIS 499 million.</w:t>
      </w:r>
    </w:p>
    <w:p w14:paraId="6BA2657A" w14:textId="77777777" w:rsidR="0085581F" w:rsidRPr="0085581F" w:rsidRDefault="0085581F" w:rsidP="00E61E73">
      <w:pPr>
        <w:widowControl w:val="0"/>
        <w:tabs>
          <w:tab w:val="left" w:pos="284"/>
          <w:tab w:val="left" w:pos="425"/>
          <w:tab w:val="left" w:pos="1133"/>
        </w:tabs>
        <w:spacing w:line="240" w:lineRule="auto"/>
        <w:outlineLvl w:val="3"/>
        <w:rPr>
          <w:rFonts w:asciiTheme="majorBidi" w:hAnsiTheme="majorBidi" w:cstheme="majorBidi"/>
          <w:sz w:val="18"/>
          <w:szCs w:val="18"/>
          <w:vertAlign w:val="subscript"/>
        </w:rPr>
      </w:pPr>
      <w:bookmarkStart w:id="26" w:name="_Hlk167214636"/>
      <w:r w:rsidRPr="0085581F">
        <w:rPr>
          <w:rFonts w:asciiTheme="majorBidi" w:hAnsiTheme="majorBidi" w:cstheme="majorBidi"/>
          <w:sz w:val="18"/>
          <w:szCs w:val="18"/>
          <w:vertAlign w:val="subscript"/>
        </w:rPr>
        <w:t>6</w:t>
      </w:r>
      <w:r w:rsidRPr="0085581F">
        <w:rPr>
          <w:rFonts w:asciiTheme="majorBidi" w:hAnsiTheme="majorBidi" w:cstheme="majorBidi"/>
          <w:sz w:val="18"/>
          <w:szCs w:val="18"/>
          <w:vertAlign w:val="subscript"/>
        </w:rPr>
        <w:tab/>
        <w:t>CTY share price at June 30, 2024 is EUR4.0 per share.</w:t>
      </w:r>
    </w:p>
    <w:p w14:paraId="501BED3C" w14:textId="77777777" w:rsidR="0085581F" w:rsidRPr="0085581F" w:rsidRDefault="0085581F" w:rsidP="00E61E73">
      <w:pPr>
        <w:widowControl w:val="0"/>
        <w:tabs>
          <w:tab w:val="left" w:pos="284"/>
          <w:tab w:val="left" w:pos="425"/>
          <w:tab w:val="left" w:pos="1133"/>
        </w:tabs>
        <w:spacing w:line="240" w:lineRule="auto"/>
        <w:outlineLvl w:val="3"/>
        <w:rPr>
          <w:rFonts w:asciiTheme="majorBidi" w:hAnsiTheme="majorBidi" w:cstheme="majorBidi"/>
          <w:sz w:val="18"/>
          <w:szCs w:val="18"/>
          <w:vertAlign w:val="subscript"/>
        </w:rPr>
      </w:pPr>
      <w:bookmarkStart w:id="27" w:name="_Hlk167214641"/>
      <w:bookmarkEnd w:id="26"/>
      <w:r w:rsidRPr="0085581F">
        <w:rPr>
          <w:rFonts w:asciiTheme="majorBidi" w:hAnsiTheme="majorBidi" w:cstheme="majorBidi"/>
          <w:sz w:val="18"/>
          <w:szCs w:val="18"/>
          <w:vertAlign w:val="subscript"/>
        </w:rPr>
        <w:t>7</w:t>
      </w:r>
      <w:r w:rsidRPr="0085581F">
        <w:rPr>
          <w:rFonts w:asciiTheme="majorBidi" w:hAnsiTheme="majorBidi" w:cstheme="majorBidi"/>
          <w:sz w:val="18"/>
          <w:szCs w:val="18"/>
          <w:vertAlign w:val="subscript"/>
        </w:rPr>
        <w:tab/>
        <w:t>The Company is acting to extend the line of credit with the financier.</w:t>
      </w:r>
    </w:p>
    <w:p w14:paraId="06E46EE4" w14:textId="77777777" w:rsidR="0085581F" w:rsidRPr="0085581F" w:rsidRDefault="0085581F" w:rsidP="004D7A72">
      <w:pPr>
        <w:pageBreakBefore/>
        <w:numPr>
          <w:ilvl w:val="0"/>
          <w:numId w:val="26"/>
        </w:numPr>
        <w:tabs>
          <w:tab w:val="left" w:pos="1133"/>
        </w:tabs>
        <w:spacing w:after="360"/>
        <w:contextualSpacing/>
        <w:outlineLvl w:val="3"/>
        <w:rPr>
          <w:rFonts w:asciiTheme="majorBidi" w:hAnsiTheme="majorBidi" w:cstheme="majorBidi"/>
          <w:b/>
          <w:bCs/>
          <w:vanish/>
          <w:color w:val="222A35"/>
          <w:u w:val="single"/>
        </w:rPr>
      </w:pPr>
      <w:bookmarkStart w:id="28" w:name="RG_MARKER_56705"/>
      <w:bookmarkEnd w:id="27"/>
      <w:bookmarkEnd w:id="28"/>
    </w:p>
    <w:p w14:paraId="047ED3DC" w14:textId="77777777" w:rsidR="0085581F" w:rsidRPr="0085581F" w:rsidRDefault="0085581F" w:rsidP="004D7A72">
      <w:pPr>
        <w:numPr>
          <w:ilvl w:val="1"/>
          <w:numId w:val="26"/>
        </w:numPr>
        <w:tabs>
          <w:tab w:val="left" w:pos="1133"/>
        </w:tabs>
        <w:spacing w:after="360"/>
        <w:contextualSpacing/>
        <w:outlineLvl w:val="3"/>
        <w:rPr>
          <w:rFonts w:asciiTheme="majorBidi" w:hAnsiTheme="majorBidi" w:cstheme="majorBidi"/>
          <w:b/>
          <w:bCs/>
          <w:vanish/>
          <w:color w:val="222A35"/>
          <w:u w:val="single"/>
          <w:rtl/>
        </w:rPr>
      </w:pPr>
    </w:p>
    <w:p w14:paraId="109246C9" w14:textId="28A16164" w:rsidR="0085581F" w:rsidRPr="0085581F" w:rsidRDefault="00450DD9" w:rsidP="004D7A72">
      <w:pPr>
        <w:keepNext/>
        <w:keepLines/>
        <w:numPr>
          <w:ilvl w:val="1"/>
          <w:numId w:val="26"/>
        </w:numPr>
        <w:tabs>
          <w:tab w:val="left" w:pos="425"/>
          <w:tab w:val="left" w:pos="1133"/>
        </w:tabs>
        <w:ind w:left="425" w:hanging="425"/>
        <w:contextualSpacing/>
        <w:outlineLvl w:val="3"/>
        <w:rPr>
          <w:rFonts w:asciiTheme="majorBidi" w:hAnsiTheme="majorBidi" w:cstheme="majorBidi"/>
          <w:sz w:val="21"/>
          <w:szCs w:val="21"/>
          <w:u w:val="single"/>
        </w:rPr>
      </w:pPr>
      <w:r>
        <w:rPr>
          <w:rFonts w:asciiTheme="majorBidi" w:hAnsiTheme="majorBidi" w:cstheme="majorBidi"/>
          <w:sz w:val="21"/>
          <w:u w:val="single"/>
        </w:rPr>
        <w:t>Cash Flow from operating activities</w:t>
      </w:r>
      <w:r w:rsidR="0085581F" w:rsidRPr="0085581F">
        <w:rPr>
          <w:rFonts w:asciiTheme="majorBidi" w:hAnsiTheme="majorBidi" w:cstheme="majorBidi"/>
          <w:sz w:val="21"/>
          <w:u w:val="single"/>
        </w:rPr>
        <w:t xml:space="preserve"> - expanded separate information</w:t>
      </w:r>
    </w:p>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0"/>
      </w:tblGrid>
      <w:tr w:rsidR="0085581F" w:rsidRPr="0085581F" w14:paraId="029B95B6" w14:textId="77777777" w:rsidTr="0048268D">
        <w:tc>
          <w:tcPr>
            <w:tcW w:w="10490" w:type="dxa"/>
          </w:tcPr>
          <w:tbl>
            <w:tblPr>
              <w:tblStyle w:val="CDMRange120"/>
              <w:tblW w:w="9544" w:type="dxa"/>
              <w:tblInd w:w="991" w:type="dxa"/>
              <w:tblLayout w:type="fixed"/>
              <w:tblLook w:val="0600" w:firstRow="0" w:lastRow="0" w:firstColumn="0" w:lastColumn="0" w:noHBand="1" w:noVBand="1"/>
              <w:tblCaption w:val="Print_Area"/>
            </w:tblPr>
            <w:tblGrid>
              <w:gridCol w:w="4110"/>
              <w:gridCol w:w="993"/>
              <w:gridCol w:w="980"/>
              <w:gridCol w:w="1004"/>
              <w:gridCol w:w="1134"/>
              <w:gridCol w:w="1323"/>
            </w:tblGrid>
            <w:tr w:rsidR="0048268D" w:rsidRPr="0085581F" w14:paraId="73E0B6B0" w14:textId="77777777" w:rsidTr="00306E02">
              <w:trPr>
                <w:trHeight w:val="323"/>
              </w:trPr>
              <w:tc>
                <w:tcPr>
                  <w:tcW w:w="4110" w:type="dxa"/>
                  <w:tcBorders>
                    <w:top w:val="nil"/>
                    <w:left w:val="nil"/>
                    <w:bottom w:val="nil"/>
                    <w:right w:val="nil"/>
                    <w:tl2br w:val="nil"/>
                    <w:tr2bl w:val="nil"/>
                  </w:tcBorders>
                  <w:shd w:val="clear" w:color="FFFFFF" w:fill="000031"/>
                  <w:tcMar>
                    <w:left w:w="0" w:type="dxa"/>
                    <w:right w:w="0" w:type="dxa"/>
                  </w:tcMar>
                  <w:vAlign w:val="bottom"/>
                </w:tcPr>
                <w:p w14:paraId="56B258C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31"/>
                      <w:sz w:val="21"/>
                    </w:rPr>
                  </w:pPr>
                </w:p>
              </w:tc>
              <w:tc>
                <w:tcPr>
                  <w:tcW w:w="1973" w:type="dxa"/>
                  <w:gridSpan w:val="2"/>
                  <w:tcBorders>
                    <w:top w:val="nil"/>
                    <w:left w:val="nil"/>
                    <w:bottom w:val="nil"/>
                    <w:right w:val="nil"/>
                    <w:tl2br w:val="nil"/>
                    <w:tr2bl w:val="nil"/>
                  </w:tcBorders>
                  <w:shd w:val="clear" w:color="FFFFFF" w:fill="000031"/>
                  <w:tcMar>
                    <w:left w:w="40" w:type="dxa"/>
                    <w:right w:w="40" w:type="dxa"/>
                  </w:tcMar>
                  <w:vAlign w:val="bottom"/>
                </w:tcPr>
                <w:p w14:paraId="13046FE9"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 xml:space="preserve">Six months ended </w:t>
                  </w:r>
                </w:p>
                <w:p w14:paraId="2C45F82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June 30</w:t>
                  </w:r>
                </w:p>
              </w:tc>
              <w:tc>
                <w:tcPr>
                  <w:tcW w:w="2138" w:type="dxa"/>
                  <w:gridSpan w:val="2"/>
                  <w:tcBorders>
                    <w:top w:val="nil"/>
                    <w:left w:val="nil"/>
                    <w:bottom w:val="nil"/>
                    <w:right w:val="nil"/>
                    <w:tl2br w:val="nil"/>
                    <w:tr2bl w:val="nil"/>
                  </w:tcBorders>
                  <w:shd w:val="clear" w:color="FFFFFF" w:fill="000031"/>
                  <w:tcMar>
                    <w:left w:w="40" w:type="dxa"/>
                    <w:right w:w="40" w:type="dxa"/>
                  </w:tcMar>
                  <w:vAlign w:val="bottom"/>
                </w:tcPr>
                <w:p w14:paraId="134E37C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 xml:space="preserve">Three months ended </w:t>
                  </w:r>
                </w:p>
                <w:p w14:paraId="3ABEA2F0"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June 30</w:t>
                  </w:r>
                </w:p>
              </w:tc>
              <w:tc>
                <w:tcPr>
                  <w:tcW w:w="1323" w:type="dxa"/>
                  <w:tcBorders>
                    <w:top w:val="nil"/>
                    <w:left w:val="nil"/>
                    <w:bottom w:val="nil"/>
                    <w:right w:val="nil"/>
                    <w:tl2br w:val="nil"/>
                    <w:tr2bl w:val="nil"/>
                  </w:tcBorders>
                  <w:shd w:val="clear" w:color="FFFFFF" w:fill="000031"/>
                  <w:tcMar>
                    <w:left w:w="40" w:type="dxa"/>
                    <w:right w:w="40" w:type="dxa"/>
                  </w:tcMar>
                  <w:vAlign w:val="center"/>
                </w:tcPr>
                <w:p w14:paraId="3E7D9C44"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Year ended December 31</w:t>
                  </w:r>
                </w:p>
              </w:tc>
            </w:tr>
            <w:tr w:rsidR="0048268D" w:rsidRPr="0085581F" w14:paraId="58EC060F"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3"/>
              </w:trPr>
              <w:tc>
                <w:tcPr>
                  <w:tcW w:w="4110" w:type="dxa"/>
                  <w:tcBorders>
                    <w:top w:val="nil"/>
                    <w:left w:val="nil"/>
                    <w:bottom w:val="nil"/>
                    <w:right w:val="nil"/>
                    <w:tl2br w:val="nil"/>
                    <w:tr2bl w:val="nil"/>
                  </w:tcBorders>
                  <w:shd w:val="clear" w:color="auto" w:fill="auto"/>
                  <w:noWrap/>
                  <w:tcMar>
                    <w:left w:w="0" w:type="dxa"/>
                    <w:right w:w="0" w:type="dxa"/>
                  </w:tcMar>
                  <w:vAlign w:val="bottom"/>
                </w:tcPr>
                <w:p w14:paraId="0ECD83E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993" w:type="dxa"/>
                  <w:tcBorders>
                    <w:top w:val="nil"/>
                    <w:left w:val="nil"/>
                    <w:bottom w:val="nil"/>
                    <w:right w:val="nil"/>
                    <w:tl2br w:val="nil"/>
                    <w:tr2bl w:val="nil"/>
                  </w:tcBorders>
                  <w:shd w:val="clear" w:color="auto" w:fill="auto"/>
                  <w:noWrap/>
                  <w:tcMar>
                    <w:left w:w="40" w:type="dxa"/>
                    <w:right w:w="40" w:type="dxa"/>
                  </w:tcMar>
                  <w:vAlign w:val="center"/>
                </w:tcPr>
                <w:p w14:paraId="7D4A52C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u w:val="single"/>
                    </w:rPr>
                  </w:pPr>
                  <w:r w:rsidRPr="0085581F">
                    <w:rPr>
                      <w:rFonts w:asciiTheme="majorBidi" w:hAnsiTheme="majorBidi" w:cstheme="majorBidi"/>
                      <w:b/>
                      <w:color w:val="000000"/>
                      <w:u w:val="single"/>
                    </w:rPr>
                    <w:t>2024</w:t>
                  </w:r>
                </w:p>
              </w:tc>
              <w:tc>
                <w:tcPr>
                  <w:tcW w:w="980" w:type="dxa"/>
                  <w:tcBorders>
                    <w:top w:val="nil"/>
                    <w:left w:val="nil"/>
                    <w:bottom w:val="nil"/>
                    <w:right w:val="nil"/>
                    <w:tl2br w:val="nil"/>
                    <w:tr2bl w:val="nil"/>
                  </w:tcBorders>
                  <w:shd w:val="clear" w:color="auto" w:fill="auto"/>
                  <w:noWrap/>
                  <w:tcMar>
                    <w:left w:w="40" w:type="dxa"/>
                    <w:right w:w="40" w:type="dxa"/>
                  </w:tcMar>
                  <w:vAlign w:val="center"/>
                </w:tcPr>
                <w:p w14:paraId="275704B9"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u w:val="single"/>
                    </w:rPr>
                  </w:pPr>
                  <w:r w:rsidRPr="0085581F">
                    <w:rPr>
                      <w:rFonts w:asciiTheme="majorBidi" w:hAnsiTheme="majorBidi" w:cstheme="majorBidi"/>
                      <w:b/>
                      <w:color w:val="000000"/>
                      <w:u w:val="single"/>
                    </w:rPr>
                    <w:t>2023</w:t>
                  </w:r>
                </w:p>
              </w:tc>
              <w:tc>
                <w:tcPr>
                  <w:tcW w:w="1004" w:type="dxa"/>
                  <w:tcBorders>
                    <w:top w:val="nil"/>
                    <w:left w:val="nil"/>
                    <w:bottom w:val="nil"/>
                    <w:right w:val="nil"/>
                    <w:tl2br w:val="nil"/>
                    <w:tr2bl w:val="nil"/>
                  </w:tcBorders>
                  <w:shd w:val="clear" w:color="auto" w:fill="auto"/>
                  <w:noWrap/>
                  <w:tcMar>
                    <w:left w:w="40" w:type="dxa"/>
                    <w:right w:w="40" w:type="dxa"/>
                  </w:tcMar>
                  <w:vAlign w:val="center"/>
                </w:tcPr>
                <w:p w14:paraId="505CF211"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u w:val="single"/>
                    </w:rPr>
                  </w:pPr>
                  <w:r w:rsidRPr="0085581F">
                    <w:rPr>
                      <w:rFonts w:asciiTheme="majorBidi" w:hAnsiTheme="majorBidi" w:cstheme="majorBidi"/>
                      <w:b/>
                      <w:color w:val="000000"/>
                      <w:u w:val="single"/>
                    </w:rPr>
                    <w:t>2024</w:t>
                  </w:r>
                </w:p>
              </w:tc>
              <w:tc>
                <w:tcPr>
                  <w:tcW w:w="1134" w:type="dxa"/>
                  <w:tcBorders>
                    <w:top w:val="nil"/>
                    <w:left w:val="nil"/>
                    <w:bottom w:val="nil"/>
                    <w:right w:val="nil"/>
                    <w:tl2br w:val="nil"/>
                    <w:tr2bl w:val="nil"/>
                  </w:tcBorders>
                  <w:shd w:val="clear" w:color="auto" w:fill="auto"/>
                  <w:noWrap/>
                  <w:tcMar>
                    <w:left w:w="40" w:type="dxa"/>
                    <w:right w:w="40" w:type="dxa"/>
                  </w:tcMar>
                  <w:vAlign w:val="center"/>
                </w:tcPr>
                <w:p w14:paraId="18BF4D3F"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u w:val="single"/>
                    </w:rPr>
                  </w:pPr>
                  <w:r w:rsidRPr="0085581F">
                    <w:rPr>
                      <w:rFonts w:asciiTheme="majorBidi" w:hAnsiTheme="majorBidi" w:cstheme="majorBidi"/>
                      <w:b/>
                      <w:color w:val="000000"/>
                      <w:u w:val="single"/>
                    </w:rPr>
                    <w:t>2023</w:t>
                  </w:r>
                </w:p>
              </w:tc>
              <w:tc>
                <w:tcPr>
                  <w:tcW w:w="1323" w:type="dxa"/>
                  <w:tcBorders>
                    <w:top w:val="nil"/>
                    <w:left w:val="nil"/>
                    <w:bottom w:val="nil"/>
                    <w:right w:val="nil"/>
                    <w:tl2br w:val="nil"/>
                    <w:tr2bl w:val="nil"/>
                  </w:tcBorders>
                  <w:shd w:val="clear" w:color="auto" w:fill="auto"/>
                  <w:noWrap/>
                  <w:tcMar>
                    <w:left w:w="40" w:type="dxa"/>
                    <w:right w:w="40" w:type="dxa"/>
                  </w:tcMar>
                  <w:vAlign w:val="center"/>
                </w:tcPr>
                <w:p w14:paraId="7E031FE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u w:val="single"/>
                    </w:rPr>
                  </w:pPr>
                  <w:r w:rsidRPr="0085581F">
                    <w:rPr>
                      <w:rFonts w:asciiTheme="majorBidi" w:hAnsiTheme="majorBidi" w:cstheme="majorBidi"/>
                      <w:b/>
                      <w:color w:val="000000"/>
                      <w:u w:val="single"/>
                    </w:rPr>
                    <w:t>2023</w:t>
                  </w:r>
                </w:p>
              </w:tc>
            </w:tr>
            <w:tr w:rsidR="00E61E73" w:rsidRPr="0085581F" w14:paraId="352C4D52" w14:textId="77777777" w:rsidTr="0048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3"/>
              </w:trPr>
              <w:tc>
                <w:tcPr>
                  <w:tcW w:w="4110" w:type="dxa"/>
                  <w:tcBorders>
                    <w:top w:val="nil"/>
                    <w:left w:val="nil"/>
                    <w:bottom w:val="nil"/>
                    <w:right w:val="nil"/>
                    <w:tl2br w:val="nil"/>
                    <w:tr2bl w:val="nil"/>
                  </w:tcBorders>
                  <w:shd w:val="clear" w:color="FFFFFF" w:fill="000031"/>
                  <w:noWrap/>
                  <w:tcMar>
                    <w:left w:w="0" w:type="dxa"/>
                    <w:right w:w="0" w:type="dxa"/>
                  </w:tcMar>
                  <w:vAlign w:val="bottom"/>
                </w:tcPr>
                <w:p w14:paraId="71B1542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5434" w:type="dxa"/>
                  <w:gridSpan w:val="5"/>
                  <w:tcBorders>
                    <w:top w:val="nil"/>
                    <w:left w:val="nil"/>
                    <w:bottom w:val="nil"/>
                    <w:right w:val="nil"/>
                    <w:tl2br w:val="nil"/>
                    <w:tr2bl w:val="nil"/>
                  </w:tcBorders>
                  <w:shd w:val="clear" w:color="FFFFFF" w:fill="000031"/>
                  <w:noWrap/>
                  <w:tcMar>
                    <w:left w:w="40" w:type="dxa"/>
                    <w:right w:w="40" w:type="dxa"/>
                  </w:tcMar>
                  <w:vAlign w:val="bottom"/>
                </w:tcPr>
                <w:p w14:paraId="3AF71D50"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(NIS millions, other than per share data)</w:t>
                  </w:r>
                </w:p>
              </w:tc>
            </w:tr>
            <w:tr w:rsidR="00306E02" w:rsidRPr="0085581F" w14:paraId="2A1DA6CC"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3"/>
              </w:trPr>
              <w:tc>
                <w:tcPr>
                  <w:tcW w:w="4110" w:type="dxa"/>
                  <w:tcBorders>
                    <w:top w:val="nil"/>
                    <w:left w:val="nil"/>
                    <w:bottom w:val="nil"/>
                    <w:right w:val="nil"/>
                    <w:tl2br w:val="nil"/>
                    <w:tr2bl w:val="nil"/>
                  </w:tcBorders>
                  <w:shd w:val="clear" w:color="auto" w:fill="auto"/>
                  <w:noWrap/>
                  <w:tcMar>
                    <w:left w:w="40" w:type="dxa"/>
                    <w:right w:w="40" w:type="dxa"/>
                  </w:tcMar>
                  <w:vAlign w:val="bottom"/>
                </w:tcPr>
                <w:p w14:paraId="7F9F12A9"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Dividend from public investees</w:t>
                  </w:r>
                </w:p>
              </w:tc>
              <w:tc>
                <w:tcPr>
                  <w:tcW w:w="993" w:type="dxa"/>
                  <w:tcBorders>
                    <w:top w:val="nil"/>
                    <w:left w:val="nil"/>
                    <w:bottom w:val="nil"/>
                    <w:right w:val="nil"/>
                    <w:tl2br w:val="nil"/>
                    <w:tr2bl w:val="nil"/>
                  </w:tcBorders>
                  <w:shd w:val="clear" w:color="auto" w:fill="auto"/>
                  <w:noWrap/>
                  <w:tcMar>
                    <w:left w:w="40" w:type="dxa"/>
                    <w:right w:w="40" w:type="dxa"/>
                  </w:tcMar>
                  <w:vAlign w:val="bottom"/>
                </w:tcPr>
                <w:p w14:paraId="149BCF5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54</w:t>
                  </w:r>
                </w:p>
              </w:tc>
              <w:tc>
                <w:tcPr>
                  <w:tcW w:w="980" w:type="dxa"/>
                  <w:tcBorders>
                    <w:top w:val="nil"/>
                    <w:left w:val="nil"/>
                    <w:bottom w:val="nil"/>
                    <w:right w:val="nil"/>
                    <w:tl2br w:val="nil"/>
                    <w:tr2bl w:val="nil"/>
                  </w:tcBorders>
                  <w:shd w:val="clear" w:color="auto" w:fill="auto"/>
                  <w:noWrap/>
                  <w:tcMar>
                    <w:left w:w="40" w:type="dxa"/>
                    <w:right w:w="40" w:type="dxa"/>
                  </w:tcMar>
                  <w:vAlign w:val="bottom"/>
                </w:tcPr>
                <w:p w14:paraId="386EE0E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87</w:t>
                  </w:r>
                </w:p>
              </w:tc>
              <w:tc>
                <w:tcPr>
                  <w:tcW w:w="1004" w:type="dxa"/>
                  <w:tcBorders>
                    <w:top w:val="nil"/>
                    <w:left w:val="nil"/>
                    <w:bottom w:val="nil"/>
                    <w:right w:val="nil"/>
                    <w:tl2br w:val="nil"/>
                    <w:tr2bl w:val="nil"/>
                  </w:tcBorders>
                  <w:shd w:val="clear" w:color="auto" w:fill="auto"/>
                  <w:noWrap/>
                  <w:tcMar>
                    <w:left w:w="40" w:type="dxa"/>
                    <w:right w:w="40" w:type="dxa"/>
                  </w:tcMar>
                  <w:vAlign w:val="bottom"/>
                </w:tcPr>
                <w:p w14:paraId="10B6C7A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25</w:t>
                  </w:r>
                </w:p>
              </w:tc>
              <w:tc>
                <w:tcPr>
                  <w:tcW w:w="1134" w:type="dxa"/>
                  <w:tcBorders>
                    <w:top w:val="nil"/>
                    <w:left w:val="nil"/>
                    <w:bottom w:val="nil"/>
                    <w:right w:val="nil"/>
                    <w:tl2br w:val="nil"/>
                    <w:tr2bl w:val="nil"/>
                  </w:tcBorders>
                  <w:shd w:val="clear" w:color="auto" w:fill="auto"/>
                  <w:noWrap/>
                  <w:tcMar>
                    <w:left w:w="40" w:type="dxa"/>
                    <w:right w:w="40" w:type="dxa"/>
                  </w:tcMar>
                  <w:vAlign w:val="bottom"/>
                </w:tcPr>
                <w:p w14:paraId="4F15FAF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45</w:t>
                  </w:r>
                </w:p>
              </w:tc>
              <w:tc>
                <w:tcPr>
                  <w:tcW w:w="1323" w:type="dxa"/>
                  <w:tcBorders>
                    <w:top w:val="nil"/>
                    <w:left w:val="nil"/>
                    <w:bottom w:val="nil"/>
                    <w:right w:val="nil"/>
                    <w:tl2br w:val="nil"/>
                    <w:tr2bl w:val="nil"/>
                  </w:tcBorders>
                  <w:shd w:val="clear" w:color="auto" w:fill="auto"/>
                  <w:noWrap/>
                  <w:tcMar>
                    <w:left w:w="40" w:type="dxa"/>
                    <w:right w:w="40" w:type="dxa"/>
                  </w:tcMar>
                  <w:vAlign w:val="bottom"/>
                </w:tcPr>
                <w:p w14:paraId="19493FB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179</w:t>
                  </w:r>
                </w:p>
              </w:tc>
            </w:tr>
            <w:tr w:rsidR="00306E02" w:rsidRPr="0085581F" w14:paraId="613E3D2D"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110" w:type="dxa"/>
                  <w:tcBorders>
                    <w:top w:val="nil"/>
                    <w:left w:val="nil"/>
                    <w:bottom w:val="single" w:sz="4" w:space="0" w:color="000000"/>
                    <w:right w:val="nil"/>
                    <w:tl2br w:val="nil"/>
                    <w:tr2bl w:val="nil"/>
                  </w:tcBorders>
                  <w:shd w:val="clear" w:color="auto" w:fill="auto"/>
                  <w:tcMar>
                    <w:left w:w="40" w:type="dxa"/>
                    <w:right w:w="40" w:type="dxa"/>
                  </w:tcMar>
                  <w:vAlign w:val="bottom"/>
                </w:tcPr>
                <w:p w14:paraId="370DFAB9" w14:textId="69C3B36A" w:rsidR="0085581F" w:rsidRPr="0085581F" w:rsidRDefault="0085581F" w:rsidP="00450DD9">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 xml:space="preserve">EBITDA from private subsidiaries net of CAPEX </w:t>
                  </w:r>
                  <w:r w:rsidR="00450DD9">
                    <w:rPr>
                      <w:rFonts w:asciiTheme="majorBidi" w:hAnsiTheme="majorBidi" w:cstheme="majorBidi"/>
                      <w:color w:val="000000"/>
                    </w:rPr>
                    <w:t>o</w:t>
                  </w:r>
                  <w:r w:rsidRPr="0085581F">
                    <w:rPr>
                      <w:rFonts w:asciiTheme="majorBidi" w:hAnsiTheme="majorBidi" w:cstheme="majorBidi"/>
                      <w:color w:val="000000"/>
                    </w:rPr>
                    <w:t>ther income*</w:t>
                  </w:r>
                </w:p>
              </w:tc>
              <w:tc>
                <w:tcPr>
                  <w:tcW w:w="993"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E5858F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405</w:t>
                  </w:r>
                </w:p>
              </w:tc>
              <w:tc>
                <w:tcPr>
                  <w:tcW w:w="9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E5A83D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474</w:t>
                  </w:r>
                </w:p>
              </w:tc>
              <w:tc>
                <w:tcPr>
                  <w:tcW w:w="1004"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18126E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205</w:t>
                  </w:r>
                </w:p>
              </w:tc>
              <w:tc>
                <w:tcPr>
                  <w:tcW w:w="1134"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2BE243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254</w:t>
                  </w:r>
                </w:p>
              </w:tc>
              <w:tc>
                <w:tcPr>
                  <w:tcW w:w="1323"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37F2F1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892</w:t>
                  </w:r>
                </w:p>
              </w:tc>
            </w:tr>
            <w:tr w:rsidR="00306E02" w:rsidRPr="0085581F" w14:paraId="7EE8294E"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3"/>
              </w:trPr>
              <w:tc>
                <w:tcPr>
                  <w:tcW w:w="4110" w:type="dxa"/>
                  <w:tcBorders>
                    <w:top w:val="single" w:sz="4" w:space="0" w:color="000000"/>
                    <w:left w:val="nil"/>
                    <w:bottom w:val="single" w:sz="12" w:space="0" w:color="000000"/>
                    <w:right w:val="nil"/>
                    <w:tl2br w:val="nil"/>
                    <w:tr2bl w:val="nil"/>
                  </w:tcBorders>
                  <w:shd w:val="clear" w:color="auto" w:fill="auto"/>
                  <w:noWrap/>
                  <w:tcMar>
                    <w:left w:w="40" w:type="dxa"/>
                    <w:right w:w="40" w:type="dxa"/>
                  </w:tcMar>
                  <w:vAlign w:val="bottom"/>
                </w:tcPr>
                <w:p w14:paraId="2BBDCD8D"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 xml:space="preserve">Total income </w:t>
                  </w:r>
                </w:p>
              </w:tc>
              <w:tc>
                <w:tcPr>
                  <w:tcW w:w="993" w:type="dxa"/>
                  <w:tcBorders>
                    <w:top w:val="single" w:sz="4" w:space="0" w:color="000000"/>
                    <w:left w:val="nil"/>
                    <w:bottom w:val="single" w:sz="12" w:space="0" w:color="000000"/>
                    <w:right w:val="nil"/>
                    <w:tl2br w:val="nil"/>
                    <w:tr2bl w:val="nil"/>
                  </w:tcBorders>
                  <w:shd w:val="clear" w:color="auto" w:fill="auto"/>
                  <w:noWrap/>
                  <w:tcMar>
                    <w:left w:w="40" w:type="dxa"/>
                    <w:right w:w="40" w:type="dxa"/>
                  </w:tcMar>
                  <w:vAlign w:val="bottom"/>
                </w:tcPr>
                <w:p w14:paraId="2B836AC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459</w:t>
                  </w:r>
                </w:p>
              </w:tc>
              <w:tc>
                <w:tcPr>
                  <w:tcW w:w="980" w:type="dxa"/>
                  <w:tcBorders>
                    <w:top w:val="single" w:sz="4" w:space="0" w:color="000000"/>
                    <w:left w:val="nil"/>
                    <w:bottom w:val="single" w:sz="12" w:space="0" w:color="000000"/>
                    <w:right w:val="nil"/>
                    <w:tl2br w:val="nil"/>
                    <w:tr2bl w:val="nil"/>
                  </w:tcBorders>
                  <w:shd w:val="clear" w:color="auto" w:fill="auto"/>
                  <w:noWrap/>
                  <w:tcMar>
                    <w:left w:w="40" w:type="dxa"/>
                    <w:right w:w="40" w:type="dxa"/>
                  </w:tcMar>
                  <w:vAlign w:val="bottom"/>
                </w:tcPr>
                <w:p w14:paraId="6BA3EB85"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561</w:t>
                  </w:r>
                </w:p>
              </w:tc>
              <w:tc>
                <w:tcPr>
                  <w:tcW w:w="1004" w:type="dxa"/>
                  <w:tcBorders>
                    <w:top w:val="single" w:sz="4" w:space="0" w:color="000000"/>
                    <w:left w:val="nil"/>
                    <w:bottom w:val="single" w:sz="12" w:space="0" w:color="000000"/>
                    <w:right w:val="nil"/>
                    <w:tl2br w:val="nil"/>
                    <w:tr2bl w:val="nil"/>
                  </w:tcBorders>
                  <w:shd w:val="clear" w:color="auto" w:fill="auto"/>
                  <w:noWrap/>
                  <w:tcMar>
                    <w:left w:w="40" w:type="dxa"/>
                    <w:right w:w="40" w:type="dxa"/>
                  </w:tcMar>
                  <w:vAlign w:val="bottom"/>
                </w:tcPr>
                <w:p w14:paraId="0A8F32F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230</w:t>
                  </w:r>
                </w:p>
              </w:tc>
              <w:tc>
                <w:tcPr>
                  <w:tcW w:w="1134" w:type="dxa"/>
                  <w:tcBorders>
                    <w:top w:val="single" w:sz="4" w:space="0" w:color="000000"/>
                    <w:left w:val="nil"/>
                    <w:bottom w:val="single" w:sz="12" w:space="0" w:color="000000"/>
                    <w:right w:val="nil"/>
                    <w:tl2br w:val="nil"/>
                    <w:tr2bl w:val="nil"/>
                  </w:tcBorders>
                  <w:shd w:val="clear" w:color="auto" w:fill="auto"/>
                  <w:noWrap/>
                  <w:tcMar>
                    <w:left w:w="40" w:type="dxa"/>
                    <w:right w:w="40" w:type="dxa"/>
                  </w:tcMar>
                  <w:vAlign w:val="bottom"/>
                </w:tcPr>
                <w:p w14:paraId="32A426D8"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299</w:t>
                  </w:r>
                </w:p>
              </w:tc>
              <w:tc>
                <w:tcPr>
                  <w:tcW w:w="1323" w:type="dxa"/>
                  <w:tcBorders>
                    <w:top w:val="single" w:sz="4" w:space="0" w:color="000000"/>
                    <w:left w:val="nil"/>
                    <w:bottom w:val="single" w:sz="12" w:space="0" w:color="000000"/>
                    <w:right w:val="nil"/>
                    <w:tl2br w:val="nil"/>
                    <w:tr2bl w:val="nil"/>
                  </w:tcBorders>
                  <w:shd w:val="clear" w:color="auto" w:fill="auto"/>
                  <w:noWrap/>
                  <w:tcMar>
                    <w:left w:w="40" w:type="dxa"/>
                    <w:right w:w="40" w:type="dxa"/>
                  </w:tcMar>
                  <w:vAlign w:val="bottom"/>
                </w:tcPr>
                <w:p w14:paraId="5E730DE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1,071</w:t>
                  </w:r>
                </w:p>
              </w:tc>
            </w:tr>
            <w:tr w:rsidR="00306E02" w:rsidRPr="0085581F" w14:paraId="3FE4FD64"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3"/>
              </w:trPr>
              <w:tc>
                <w:tcPr>
                  <w:tcW w:w="4110" w:type="dxa"/>
                  <w:tcBorders>
                    <w:top w:val="single" w:sz="12" w:space="0" w:color="000000"/>
                    <w:left w:val="nil"/>
                    <w:bottom w:val="nil"/>
                    <w:right w:val="nil"/>
                    <w:tl2br w:val="nil"/>
                    <w:tr2bl w:val="nil"/>
                  </w:tcBorders>
                  <w:shd w:val="clear" w:color="auto" w:fill="auto"/>
                  <w:noWrap/>
                  <w:tcMar>
                    <w:left w:w="40" w:type="dxa"/>
                    <w:right w:w="40" w:type="dxa"/>
                  </w:tcMar>
                  <w:vAlign w:val="bottom"/>
                </w:tcPr>
                <w:p w14:paraId="2B859ADC"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General and administrative expenses</w:t>
                  </w:r>
                </w:p>
              </w:tc>
              <w:tc>
                <w:tcPr>
                  <w:tcW w:w="993" w:type="dxa"/>
                  <w:tcBorders>
                    <w:top w:val="single" w:sz="12" w:space="0" w:color="000000"/>
                    <w:left w:val="nil"/>
                    <w:bottom w:val="nil"/>
                    <w:right w:val="nil"/>
                    <w:tl2br w:val="nil"/>
                    <w:tr2bl w:val="nil"/>
                  </w:tcBorders>
                  <w:shd w:val="clear" w:color="auto" w:fill="auto"/>
                  <w:noWrap/>
                  <w:tcMar>
                    <w:left w:w="40" w:type="dxa"/>
                    <w:right w:w="40" w:type="dxa"/>
                  </w:tcMar>
                  <w:vAlign w:val="bottom"/>
                </w:tcPr>
                <w:p w14:paraId="3F92B7C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(36)</w:t>
                  </w:r>
                </w:p>
              </w:tc>
              <w:tc>
                <w:tcPr>
                  <w:tcW w:w="980" w:type="dxa"/>
                  <w:tcBorders>
                    <w:top w:val="single" w:sz="12" w:space="0" w:color="000000"/>
                    <w:left w:val="nil"/>
                    <w:bottom w:val="nil"/>
                    <w:right w:val="nil"/>
                    <w:tl2br w:val="nil"/>
                    <w:tr2bl w:val="nil"/>
                  </w:tcBorders>
                  <w:shd w:val="clear" w:color="auto" w:fill="auto"/>
                  <w:noWrap/>
                  <w:tcMar>
                    <w:left w:w="40" w:type="dxa"/>
                    <w:right w:w="40" w:type="dxa"/>
                  </w:tcMar>
                  <w:vAlign w:val="bottom"/>
                </w:tcPr>
                <w:p w14:paraId="7AA0F63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(34)</w:t>
                  </w:r>
                </w:p>
              </w:tc>
              <w:tc>
                <w:tcPr>
                  <w:tcW w:w="1004" w:type="dxa"/>
                  <w:tcBorders>
                    <w:top w:val="single" w:sz="12" w:space="0" w:color="000000"/>
                    <w:left w:val="nil"/>
                    <w:bottom w:val="nil"/>
                    <w:right w:val="nil"/>
                    <w:tl2br w:val="nil"/>
                    <w:tr2bl w:val="nil"/>
                  </w:tcBorders>
                  <w:shd w:val="clear" w:color="auto" w:fill="auto"/>
                  <w:noWrap/>
                  <w:tcMar>
                    <w:left w:w="40" w:type="dxa"/>
                    <w:right w:w="40" w:type="dxa"/>
                  </w:tcMar>
                  <w:vAlign w:val="bottom"/>
                </w:tcPr>
                <w:p w14:paraId="0C12097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(19)</w:t>
                  </w:r>
                </w:p>
              </w:tc>
              <w:tc>
                <w:tcPr>
                  <w:tcW w:w="1134" w:type="dxa"/>
                  <w:tcBorders>
                    <w:top w:val="single" w:sz="12" w:space="0" w:color="000000"/>
                    <w:left w:val="nil"/>
                    <w:bottom w:val="nil"/>
                    <w:right w:val="nil"/>
                    <w:tl2br w:val="nil"/>
                    <w:tr2bl w:val="nil"/>
                  </w:tcBorders>
                  <w:shd w:val="clear" w:color="auto" w:fill="auto"/>
                  <w:noWrap/>
                  <w:tcMar>
                    <w:left w:w="40" w:type="dxa"/>
                    <w:right w:w="40" w:type="dxa"/>
                  </w:tcMar>
                  <w:vAlign w:val="bottom"/>
                </w:tcPr>
                <w:p w14:paraId="2B02460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(15)</w:t>
                  </w:r>
                </w:p>
              </w:tc>
              <w:tc>
                <w:tcPr>
                  <w:tcW w:w="1323" w:type="dxa"/>
                  <w:tcBorders>
                    <w:top w:val="single" w:sz="12" w:space="0" w:color="000000"/>
                    <w:left w:val="nil"/>
                    <w:bottom w:val="nil"/>
                    <w:right w:val="nil"/>
                    <w:tl2br w:val="nil"/>
                    <w:tr2bl w:val="nil"/>
                  </w:tcBorders>
                  <w:shd w:val="clear" w:color="auto" w:fill="auto"/>
                  <w:noWrap/>
                  <w:tcMar>
                    <w:left w:w="40" w:type="dxa"/>
                    <w:right w:w="40" w:type="dxa"/>
                  </w:tcMar>
                  <w:vAlign w:val="bottom"/>
                </w:tcPr>
                <w:p w14:paraId="1145DAB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(68)</w:t>
                  </w:r>
                </w:p>
              </w:tc>
            </w:tr>
            <w:tr w:rsidR="00306E02" w:rsidRPr="0085581F" w14:paraId="0ED56B75"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3"/>
              </w:trPr>
              <w:tc>
                <w:tcPr>
                  <w:tcW w:w="4110" w:type="dxa"/>
                  <w:tcBorders>
                    <w:top w:val="nil"/>
                    <w:left w:val="nil"/>
                    <w:bottom w:val="nil"/>
                    <w:right w:val="nil"/>
                    <w:tl2br w:val="nil"/>
                    <w:tr2bl w:val="nil"/>
                  </w:tcBorders>
                  <w:shd w:val="clear" w:color="auto" w:fill="auto"/>
                  <w:noWrap/>
                  <w:tcMar>
                    <w:left w:w="40" w:type="dxa"/>
                    <w:right w:w="40" w:type="dxa"/>
                  </w:tcMar>
                  <w:vAlign w:val="bottom"/>
                </w:tcPr>
                <w:p w14:paraId="4ED9CDC7"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Interest expenses, net</w:t>
                  </w:r>
                </w:p>
              </w:tc>
              <w:tc>
                <w:tcPr>
                  <w:tcW w:w="993" w:type="dxa"/>
                  <w:tcBorders>
                    <w:top w:val="nil"/>
                    <w:left w:val="nil"/>
                    <w:bottom w:val="nil"/>
                    <w:right w:val="nil"/>
                    <w:tl2br w:val="nil"/>
                    <w:tr2bl w:val="nil"/>
                  </w:tcBorders>
                  <w:shd w:val="clear" w:color="auto" w:fill="auto"/>
                  <w:noWrap/>
                  <w:tcMar>
                    <w:left w:w="40" w:type="dxa"/>
                    <w:right w:w="40" w:type="dxa"/>
                  </w:tcMar>
                  <w:vAlign w:val="bottom"/>
                </w:tcPr>
                <w:p w14:paraId="14B82D1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(249)</w:t>
                  </w:r>
                </w:p>
              </w:tc>
              <w:tc>
                <w:tcPr>
                  <w:tcW w:w="980" w:type="dxa"/>
                  <w:tcBorders>
                    <w:top w:val="nil"/>
                    <w:left w:val="nil"/>
                    <w:bottom w:val="nil"/>
                    <w:right w:val="nil"/>
                    <w:tl2br w:val="nil"/>
                    <w:tr2bl w:val="nil"/>
                  </w:tcBorders>
                  <w:shd w:val="clear" w:color="auto" w:fill="auto"/>
                  <w:noWrap/>
                  <w:tcMar>
                    <w:left w:w="40" w:type="dxa"/>
                    <w:right w:w="40" w:type="dxa"/>
                  </w:tcMar>
                  <w:vAlign w:val="bottom"/>
                </w:tcPr>
                <w:p w14:paraId="78A60D5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(300)</w:t>
                  </w:r>
                </w:p>
              </w:tc>
              <w:tc>
                <w:tcPr>
                  <w:tcW w:w="1004" w:type="dxa"/>
                  <w:tcBorders>
                    <w:top w:val="nil"/>
                    <w:left w:val="nil"/>
                    <w:bottom w:val="nil"/>
                    <w:right w:val="nil"/>
                    <w:tl2br w:val="nil"/>
                    <w:tr2bl w:val="nil"/>
                  </w:tcBorders>
                  <w:shd w:val="clear" w:color="auto" w:fill="auto"/>
                  <w:noWrap/>
                  <w:tcMar>
                    <w:left w:w="40" w:type="dxa"/>
                    <w:right w:w="40" w:type="dxa"/>
                  </w:tcMar>
                  <w:vAlign w:val="bottom"/>
                </w:tcPr>
                <w:p w14:paraId="1559A6F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(118)</w:t>
                  </w:r>
                </w:p>
              </w:tc>
              <w:tc>
                <w:tcPr>
                  <w:tcW w:w="1134" w:type="dxa"/>
                  <w:tcBorders>
                    <w:top w:val="nil"/>
                    <w:left w:val="nil"/>
                    <w:bottom w:val="nil"/>
                    <w:right w:val="nil"/>
                    <w:tl2br w:val="nil"/>
                    <w:tr2bl w:val="nil"/>
                  </w:tcBorders>
                  <w:shd w:val="clear" w:color="auto" w:fill="auto"/>
                  <w:noWrap/>
                  <w:tcMar>
                    <w:left w:w="40" w:type="dxa"/>
                    <w:right w:w="40" w:type="dxa"/>
                  </w:tcMar>
                  <w:vAlign w:val="bottom"/>
                </w:tcPr>
                <w:p w14:paraId="2B67BAD5"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(165)</w:t>
                  </w:r>
                </w:p>
              </w:tc>
              <w:tc>
                <w:tcPr>
                  <w:tcW w:w="1323" w:type="dxa"/>
                  <w:tcBorders>
                    <w:top w:val="nil"/>
                    <w:left w:val="nil"/>
                    <w:bottom w:val="nil"/>
                    <w:right w:val="nil"/>
                    <w:tl2br w:val="nil"/>
                    <w:tr2bl w:val="nil"/>
                  </w:tcBorders>
                  <w:shd w:val="clear" w:color="auto" w:fill="auto"/>
                  <w:noWrap/>
                  <w:tcMar>
                    <w:left w:w="40" w:type="dxa"/>
                    <w:right w:w="40" w:type="dxa"/>
                  </w:tcMar>
                  <w:vAlign w:val="bottom"/>
                </w:tcPr>
                <w:p w14:paraId="45775A7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(576)</w:t>
                  </w:r>
                </w:p>
              </w:tc>
            </w:tr>
            <w:tr w:rsidR="00306E02" w:rsidRPr="0085581F" w14:paraId="0860D81A"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3"/>
              </w:trPr>
              <w:tc>
                <w:tcPr>
                  <w:tcW w:w="4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C882925"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Taxes</w:t>
                  </w:r>
                </w:p>
              </w:tc>
              <w:tc>
                <w:tcPr>
                  <w:tcW w:w="993"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E9F286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(6)</w:t>
                  </w:r>
                </w:p>
              </w:tc>
              <w:tc>
                <w:tcPr>
                  <w:tcW w:w="9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ADE384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(6)</w:t>
                  </w:r>
                </w:p>
              </w:tc>
              <w:tc>
                <w:tcPr>
                  <w:tcW w:w="1004"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A2210F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(4)</w:t>
                  </w:r>
                </w:p>
              </w:tc>
              <w:tc>
                <w:tcPr>
                  <w:tcW w:w="1134"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7F2131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(5)</w:t>
                  </w:r>
                </w:p>
              </w:tc>
              <w:tc>
                <w:tcPr>
                  <w:tcW w:w="1323"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CD37C9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(14)</w:t>
                  </w:r>
                </w:p>
              </w:tc>
            </w:tr>
            <w:tr w:rsidR="00306E02" w:rsidRPr="0085581F" w14:paraId="263B590D"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3"/>
              </w:trPr>
              <w:tc>
                <w:tcPr>
                  <w:tcW w:w="4110" w:type="dxa"/>
                  <w:tcBorders>
                    <w:top w:val="single" w:sz="4" w:space="0" w:color="000000"/>
                    <w:left w:val="nil"/>
                    <w:bottom w:val="single" w:sz="12" w:space="0" w:color="000000"/>
                    <w:right w:val="nil"/>
                    <w:tl2br w:val="nil"/>
                    <w:tr2bl w:val="nil"/>
                  </w:tcBorders>
                  <w:shd w:val="clear" w:color="auto" w:fill="auto"/>
                  <w:noWrap/>
                  <w:tcMar>
                    <w:left w:w="40" w:type="dxa"/>
                    <w:right w:w="40" w:type="dxa"/>
                  </w:tcMar>
                  <w:vAlign w:val="bottom"/>
                </w:tcPr>
                <w:p w14:paraId="064F0623"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r w:rsidRPr="0085581F">
                    <w:rPr>
                      <w:rFonts w:asciiTheme="majorBidi" w:hAnsiTheme="majorBidi" w:cstheme="majorBidi"/>
                      <w:color w:val="000000"/>
                    </w:rPr>
                    <w:t>Total expenses</w:t>
                  </w:r>
                </w:p>
              </w:tc>
              <w:tc>
                <w:tcPr>
                  <w:tcW w:w="993" w:type="dxa"/>
                  <w:tcBorders>
                    <w:top w:val="single" w:sz="4" w:space="0" w:color="000000"/>
                    <w:left w:val="nil"/>
                    <w:bottom w:val="single" w:sz="12" w:space="0" w:color="000000"/>
                    <w:right w:val="nil"/>
                    <w:tl2br w:val="nil"/>
                    <w:tr2bl w:val="nil"/>
                  </w:tcBorders>
                  <w:shd w:val="clear" w:color="auto" w:fill="auto"/>
                  <w:noWrap/>
                  <w:tcMar>
                    <w:left w:w="40" w:type="dxa"/>
                    <w:right w:w="40" w:type="dxa"/>
                  </w:tcMar>
                  <w:vAlign w:val="bottom"/>
                </w:tcPr>
                <w:p w14:paraId="20AB1208"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(291)</w:t>
                  </w:r>
                </w:p>
              </w:tc>
              <w:tc>
                <w:tcPr>
                  <w:tcW w:w="980" w:type="dxa"/>
                  <w:tcBorders>
                    <w:top w:val="single" w:sz="4" w:space="0" w:color="000000"/>
                    <w:left w:val="nil"/>
                    <w:bottom w:val="single" w:sz="12" w:space="0" w:color="000000"/>
                    <w:right w:val="nil"/>
                    <w:tl2br w:val="nil"/>
                    <w:tr2bl w:val="nil"/>
                  </w:tcBorders>
                  <w:shd w:val="clear" w:color="auto" w:fill="auto"/>
                  <w:noWrap/>
                  <w:tcMar>
                    <w:left w:w="40" w:type="dxa"/>
                    <w:right w:w="40" w:type="dxa"/>
                  </w:tcMar>
                  <w:vAlign w:val="bottom"/>
                </w:tcPr>
                <w:p w14:paraId="5DDF81E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(340)</w:t>
                  </w:r>
                </w:p>
              </w:tc>
              <w:tc>
                <w:tcPr>
                  <w:tcW w:w="1004" w:type="dxa"/>
                  <w:tcBorders>
                    <w:top w:val="single" w:sz="4" w:space="0" w:color="000000"/>
                    <w:left w:val="nil"/>
                    <w:bottom w:val="single" w:sz="12" w:space="0" w:color="000000"/>
                    <w:right w:val="nil"/>
                    <w:tl2br w:val="nil"/>
                    <w:tr2bl w:val="nil"/>
                  </w:tcBorders>
                  <w:shd w:val="clear" w:color="auto" w:fill="auto"/>
                  <w:noWrap/>
                  <w:tcMar>
                    <w:left w:w="40" w:type="dxa"/>
                    <w:right w:w="40" w:type="dxa"/>
                  </w:tcMar>
                  <w:vAlign w:val="bottom"/>
                </w:tcPr>
                <w:p w14:paraId="6287D302"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(141)</w:t>
                  </w:r>
                </w:p>
              </w:tc>
              <w:tc>
                <w:tcPr>
                  <w:tcW w:w="1134" w:type="dxa"/>
                  <w:tcBorders>
                    <w:top w:val="single" w:sz="4" w:space="0" w:color="000000"/>
                    <w:left w:val="nil"/>
                    <w:bottom w:val="single" w:sz="12" w:space="0" w:color="000000"/>
                    <w:right w:val="nil"/>
                    <w:tl2br w:val="nil"/>
                    <w:tr2bl w:val="nil"/>
                  </w:tcBorders>
                  <w:shd w:val="clear" w:color="auto" w:fill="auto"/>
                  <w:noWrap/>
                  <w:tcMar>
                    <w:left w:w="40" w:type="dxa"/>
                    <w:right w:w="40" w:type="dxa"/>
                  </w:tcMar>
                  <w:vAlign w:val="bottom"/>
                </w:tcPr>
                <w:p w14:paraId="0FB6EE3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(185)</w:t>
                  </w:r>
                </w:p>
              </w:tc>
              <w:tc>
                <w:tcPr>
                  <w:tcW w:w="1323" w:type="dxa"/>
                  <w:tcBorders>
                    <w:top w:val="single" w:sz="4" w:space="0" w:color="000000"/>
                    <w:left w:val="nil"/>
                    <w:bottom w:val="single" w:sz="12" w:space="0" w:color="000000"/>
                    <w:right w:val="nil"/>
                    <w:tl2br w:val="nil"/>
                    <w:tr2bl w:val="nil"/>
                  </w:tcBorders>
                  <w:shd w:val="clear" w:color="auto" w:fill="auto"/>
                  <w:noWrap/>
                  <w:tcMar>
                    <w:left w:w="40" w:type="dxa"/>
                    <w:right w:w="40" w:type="dxa"/>
                  </w:tcMar>
                  <w:vAlign w:val="bottom"/>
                </w:tcPr>
                <w:p w14:paraId="77DE4CF5"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(658)</w:t>
                  </w:r>
                </w:p>
              </w:tc>
            </w:tr>
            <w:tr w:rsidR="00306E02" w:rsidRPr="0085581F" w14:paraId="19639FD8"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3"/>
              </w:trPr>
              <w:tc>
                <w:tcPr>
                  <w:tcW w:w="4110" w:type="dxa"/>
                  <w:tcBorders>
                    <w:top w:val="single" w:sz="12" w:space="0" w:color="000000"/>
                    <w:left w:val="nil"/>
                    <w:bottom w:val="nil"/>
                    <w:right w:val="nil"/>
                    <w:tl2br w:val="nil"/>
                    <w:tr2bl w:val="nil"/>
                  </w:tcBorders>
                  <w:shd w:val="clear" w:color="auto" w:fill="auto"/>
                  <w:noWrap/>
                  <w:tcMar>
                    <w:left w:w="0" w:type="dxa"/>
                    <w:right w:w="0" w:type="dxa"/>
                  </w:tcMar>
                  <w:vAlign w:val="bottom"/>
                </w:tcPr>
                <w:p w14:paraId="4DD41FEA"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p>
              </w:tc>
              <w:tc>
                <w:tcPr>
                  <w:tcW w:w="993" w:type="dxa"/>
                  <w:tcBorders>
                    <w:top w:val="single" w:sz="12" w:space="0" w:color="000000"/>
                    <w:left w:val="nil"/>
                    <w:bottom w:val="nil"/>
                    <w:right w:val="nil"/>
                    <w:tl2br w:val="nil"/>
                    <w:tr2bl w:val="nil"/>
                  </w:tcBorders>
                  <w:shd w:val="clear" w:color="auto" w:fill="auto"/>
                  <w:noWrap/>
                  <w:tcMar>
                    <w:left w:w="0" w:type="dxa"/>
                    <w:right w:w="0" w:type="dxa"/>
                  </w:tcMar>
                  <w:vAlign w:val="bottom"/>
                </w:tcPr>
                <w:p w14:paraId="5DD925D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
              </w:tc>
              <w:tc>
                <w:tcPr>
                  <w:tcW w:w="980" w:type="dxa"/>
                  <w:tcBorders>
                    <w:top w:val="single" w:sz="12" w:space="0" w:color="000000"/>
                    <w:left w:val="nil"/>
                    <w:bottom w:val="nil"/>
                    <w:right w:val="nil"/>
                    <w:tl2br w:val="nil"/>
                    <w:tr2bl w:val="nil"/>
                  </w:tcBorders>
                  <w:shd w:val="clear" w:color="auto" w:fill="auto"/>
                  <w:noWrap/>
                  <w:tcMar>
                    <w:left w:w="0" w:type="dxa"/>
                    <w:right w:w="0" w:type="dxa"/>
                  </w:tcMar>
                  <w:vAlign w:val="bottom"/>
                </w:tcPr>
                <w:p w14:paraId="6E8D1D5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
              </w:tc>
              <w:tc>
                <w:tcPr>
                  <w:tcW w:w="1004" w:type="dxa"/>
                  <w:tcBorders>
                    <w:top w:val="single" w:sz="12" w:space="0" w:color="000000"/>
                    <w:left w:val="nil"/>
                    <w:bottom w:val="nil"/>
                    <w:right w:val="nil"/>
                    <w:tl2br w:val="nil"/>
                    <w:tr2bl w:val="nil"/>
                  </w:tcBorders>
                  <w:shd w:val="clear" w:color="auto" w:fill="auto"/>
                  <w:noWrap/>
                  <w:tcMar>
                    <w:left w:w="0" w:type="dxa"/>
                    <w:right w:w="0" w:type="dxa"/>
                  </w:tcMar>
                  <w:vAlign w:val="bottom"/>
                </w:tcPr>
                <w:p w14:paraId="36AB7EF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
              </w:tc>
              <w:tc>
                <w:tcPr>
                  <w:tcW w:w="1134" w:type="dxa"/>
                  <w:tcBorders>
                    <w:top w:val="single" w:sz="12" w:space="0" w:color="000000"/>
                    <w:left w:val="nil"/>
                    <w:bottom w:val="nil"/>
                    <w:right w:val="nil"/>
                    <w:tl2br w:val="nil"/>
                    <w:tr2bl w:val="nil"/>
                  </w:tcBorders>
                  <w:shd w:val="clear" w:color="auto" w:fill="auto"/>
                  <w:noWrap/>
                  <w:tcMar>
                    <w:left w:w="0" w:type="dxa"/>
                    <w:right w:w="0" w:type="dxa"/>
                  </w:tcMar>
                  <w:vAlign w:val="bottom"/>
                </w:tcPr>
                <w:p w14:paraId="6C32234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
              </w:tc>
              <w:tc>
                <w:tcPr>
                  <w:tcW w:w="1323" w:type="dxa"/>
                  <w:tcBorders>
                    <w:top w:val="single" w:sz="12" w:space="0" w:color="000000"/>
                    <w:left w:val="nil"/>
                    <w:bottom w:val="nil"/>
                    <w:right w:val="nil"/>
                    <w:tl2br w:val="nil"/>
                    <w:tr2bl w:val="nil"/>
                  </w:tcBorders>
                  <w:shd w:val="clear" w:color="auto" w:fill="auto"/>
                  <w:noWrap/>
                  <w:tcMar>
                    <w:left w:w="0" w:type="dxa"/>
                    <w:right w:w="0" w:type="dxa"/>
                  </w:tcMar>
                  <w:vAlign w:val="bottom"/>
                </w:tcPr>
                <w:p w14:paraId="5A80C71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
              </w:tc>
            </w:tr>
            <w:tr w:rsidR="00306E02" w:rsidRPr="0085581F" w14:paraId="12F4CEE9"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3"/>
              </w:trPr>
              <w:tc>
                <w:tcPr>
                  <w:tcW w:w="4110" w:type="dxa"/>
                  <w:tcBorders>
                    <w:top w:val="nil"/>
                    <w:left w:val="nil"/>
                    <w:bottom w:val="double" w:sz="6" w:space="0" w:color="000000"/>
                    <w:right w:val="nil"/>
                    <w:tl2br w:val="nil"/>
                    <w:tr2bl w:val="nil"/>
                  </w:tcBorders>
                  <w:shd w:val="clear" w:color="auto" w:fill="auto"/>
                  <w:noWrap/>
                  <w:tcMar>
                    <w:left w:w="40" w:type="dxa"/>
                    <w:right w:w="40" w:type="dxa"/>
                  </w:tcMar>
                  <w:vAlign w:val="bottom"/>
                </w:tcPr>
                <w:p w14:paraId="1DF7E20F" w14:textId="1659AC4A" w:rsidR="0085581F" w:rsidRPr="0085581F" w:rsidRDefault="00450DD9" w:rsidP="0085581F">
                  <w:pPr>
                    <w:spacing w:before="0" w:after="0" w:line="240" w:lineRule="auto"/>
                    <w:jc w:val="left"/>
                    <w:rPr>
                      <w:rFonts w:asciiTheme="majorBidi" w:eastAsia="Ploni ML Medium AAA Medium" w:hAnsiTheme="majorBidi" w:cstheme="majorBidi"/>
                      <w:color w:val="000000"/>
                    </w:rPr>
                  </w:pPr>
                  <w:r w:rsidRPr="00450DD9">
                    <w:rPr>
                      <w:rFonts w:asciiTheme="majorBidi" w:hAnsiTheme="majorBidi" w:cstheme="majorBidi"/>
                      <w:color w:val="000000"/>
                    </w:rPr>
                    <w:t>Cash Flow from operating activities</w:t>
                  </w:r>
                </w:p>
              </w:tc>
              <w:tc>
                <w:tcPr>
                  <w:tcW w:w="993" w:type="dxa"/>
                  <w:tcBorders>
                    <w:top w:val="nil"/>
                    <w:left w:val="nil"/>
                    <w:bottom w:val="double" w:sz="6" w:space="0" w:color="000000"/>
                    <w:right w:val="nil"/>
                    <w:tl2br w:val="nil"/>
                    <w:tr2bl w:val="nil"/>
                  </w:tcBorders>
                  <w:shd w:val="clear" w:color="auto" w:fill="auto"/>
                  <w:noWrap/>
                  <w:tcMar>
                    <w:left w:w="40" w:type="dxa"/>
                    <w:right w:w="40" w:type="dxa"/>
                  </w:tcMar>
                  <w:vAlign w:val="bottom"/>
                </w:tcPr>
                <w:p w14:paraId="49A822F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168</w:t>
                  </w:r>
                </w:p>
              </w:tc>
              <w:tc>
                <w:tcPr>
                  <w:tcW w:w="980" w:type="dxa"/>
                  <w:tcBorders>
                    <w:top w:val="nil"/>
                    <w:left w:val="nil"/>
                    <w:bottom w:val="double" w:sz="6" w:space="0" w:color="000000"/>
                    <w:right w:val="nil"/>
                    <w:tl2br w:val="nil"/>
                    <w:tr2bl w:val="nil"/>
                  </w:tcBorders>
                  <w:shd w:val="clear" w:color="auto" w:fill="auto"/>
                  <w:noWrap/>
                  <w:tcMar>
                    <w:left w:w="40" w:type="dxa"/>
                    <w:right w:w="40" w:type="dxa"/>
                  </w:tcMar>
                  <w:vAlign w:val="bottom"/>
                </w:tcPr>
                <w:p w14:paraId="5251CBB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221</w:t>
                  </w:r>
                </w:p>
              </w:tc>
              <w:tc>
                <w:tcPr>
                  <w:tcW w:w="1004" w:type="dxa"/>
                  <w:tcBorders>
                    <w:top w:val="nil"/>
                    <w:left w:val="nil"/>
                    <w:bottom w:val="double" w:sz="6" w:space="0" w:color="000000"/>
                    <w:right w:val="nil"/>
                    <w:tl2br w:val="nil"/>
                    <w:tr2bl w:val="nil"/>
                  </w:tcBorders>
                  <w:shd w:val="clear" w:color="auto" w:fill="auto"/>
                  <w:noWrap/>
                  <w:tcMar>
                    <w:left w:w="40" w:type="dxa"/>
                    <w:right w:w="40" w:type="dxa"/>
                  </w:tcMar>
                  <w:vAlign w:val="bottom"/>
                </w:tcPr>
                <w:p w14:paraId="270247D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89</w:t>
                  </w:r>
                </w:p>
              </w:tc>
              <w:tc>
                <w:tcPr>
                  <w:tcW w:w="1134" w:type="dxa"/>
                  <w:tcBorders>
                    <w:top w:val="nil"/>
                    <w:left w:val="nil"/>
                    <w:bottom w:val="double" w:sz="6" w:space="0" w:color="000000"/>
                    <w:right w:val="nil"/>
                    <w:tl2br w:val="nil"/>
                    <w:tr2bl w:val="nil"/>
                  </w:tcBorders>
                  <w:shd w:val="clear" w:color="auto" w:fill="auto"/>
                  <w:noWrap/>
                  <w:tcMar>
                    <w:left w:w="40" w:type="dxa"/>
                    <w:right w:w="40" w:type="dxa"/>
                  </w:tcMar>
                  <w:vAlign w:val="bottom"/>
                </w:tcPr>
                <w:p w14:paraId="1D89BFD8"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114</w:t>
                  </w:r>
                </w:p>
              </w:tc>
              <w:tc>
                <w:tcPr>
                  <w:tcW w:w="1323" w:type="dxa"/>
                  <w:tcBorders>
                    <w:top w:val="nil"/>
                    <w:left w:val="nil"/>
                    <w:bottom w:val="double" w:sz="6" w:space="0" w:color="000000"/>
                    <w:right w:val="nil"/>
                    <w:tl2br w:val="nil"/>
                    <w:tr2bl w:val="nil"/>
                  </w:tcBorders>
                  <w:shd w:val="clear" w:color="auto" w:fill="auto"/>
                  <w:noWrap/>
                  <w:tcMar>
                    <w:left w:w="40" w:type="dxa"/>
                    <w:right w:w="40" w:type="dxa"/>
                  </w:tcMar>
                  <w:vAlign w:val="bottom"/>
                </w:tcPr>
                <w:p w14:paraId="48918DA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413</w:t>
                  </w:r>
                </w:p>
              </w:tc>
            </w:tr>
            <w:tr w:rsidR="00306E02" w:rsidRPr="0085581F" w14:paraId="2A13B9E8"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3"/>
              </w:trPr>
              <w:tc>
                <w:tcPr>
                  <w:tcW w:w="4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4B288CD"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rPr>
                  </w:pPr>
                </w:p>
              </w:tc>
              <w:tc>
                <w:tcPr>
                  <w:tcW w:w="993"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036F73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
              </w:tc>
              <w:tc>
                <w:tcPr>
                  <w:tcW w:w="98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7B7C60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
              </w:tc>
              <w:tc>
                <w:tcPr>
                  <w:tcW w:w="1004"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035302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
              </w:tc>
              <w:tc>
                <w:tcPr>
                  <w:tcW w:w="1134"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385C6D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
              </w:tc>
              <w:tc>
                <w:tcPr>
                  <w:tcW w:w="1323"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E2A5BE2"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
              </w:tc>
            </w:tr>
            <w:tr w:rsidR="00306E02" w:rsidRPr="0085581F" w14:paraId="74CC558D"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6"/>
              </w:trPr>
              <w:tc>
                <w:tcPr>
                  <w:tcW w:w="4110" w:type="dxa"/>
                  <w:tcBorders>
                    <w:top w:val="nil"/>
                    <w:left w:val="nil"/>
                    <w:bottom w:val="double" w:sz="6" w:space="0" w:color="000000"/>
                    <w:right w:val="nil"/>
                    <w:tl2br w:val="nil"/>
                    <w:tr2bl w:val="nil"/>
                  </w:tcBorders>
                  <w:shd w:val="clear" w:color="auto" w:fill="auto"/>
                  <w:noWrap/>
                  <w:tcMar>
                    <w:left w:w="40" w:type="dxa"/>
                    <w:right w:w="40" w:type="dxa"/>
                  </w:tcMar>
                  <w:vAlign w:val="bottom"/>
                </w:tcPr>
                <w:p w14:paraId="51CFB3B9" w14:textId="3FFC7A9A" w:rsidR="0085581F" w:rsidRPr="0085581F" w:rsidRDefault="00450DD9" w:rsidP="0085581F">
                  <w:pPr>
                    <w:spacing w:before="0" w:after="0" w:line="240" w:lineRule="auto"/>
                    <w:jc w:val="left"/>
                    <w:rPr>
                      <w:rFonts w:asciiTheme="majorBidi" w:eastAsia="Ploni ML Medium AAA Medium" w:hAnsiTheme="majorBidi" w:cstheme="majorBidi"/>
                      <w:color w:val="000000"/>
                    </w:rPr>
                  </w:pPr>
                  <w:r w:rsidRPr="00450DD9">
                    <w:rPr>
                      <w:rFonts w:asciiTheme="majorBidi" w:hAnsiTheme="majorBidi" w:cstheme="majorBidi"/>
                      <w:color w:val="000000"/>
                    </w:rPr>
                    <w:t xml:space="preserve">Cash Flow from operating activities </w:t>
                  </w:r>
                  <w:r w:rsidR="0085581F" w:rsidRPr="0085581F">
                    <w:rPr>
                      <w:rFonts w:asciiTheme="majorBidi" w:hAnsiTheme="majorBidi" w:cstheme="majorBidi"/>
                      <w:color w:val="000000"/>
                    </w:rPr>
                    <w:t>per share (in NIS)</w:t>
                  </w:r>
                </w:p>
              </w:tc>
              <w:tc>
                <w:tcPr>
                  <w:tcW w:w="993" w:type="dxa"/>
                  <w:tcBorders>
                    <w:top w:val="nil"/>
                    <w:left w:val="nil"/>
                    <w:bottom w:val="double" w:sz="6" w:space="0" w:color="000000"/>
                    <w:right w:val="nil"/>
                    <w:tl2br w:val="nil"/>
                    <w:tr2bl w:val="nil"/>
                  </w:tcBorders>
                  <w:shd w:val="clear" w:color="auto" w:fill="auto"/>
                  <w:noWrap/>
                  <w:tcMar>
                    <w:left w:w="40" w:type="dxa"/>
                    <w:right w:w="40" w:type="dxa"/>
                  </w:tcMar>
                  <w:vAlign w:val="bottom"/>
                </w:tcPr>
                <w:p w14:paraId="282EB41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0.90</w:t>
                  </w:r>
                </w:p>
              </w:tc>
              <w:tc>
                <w:tcPr>
                  <w:tcW w:w="980" w:type="dxa"/>
                  <w:tcBorders>
                    <w:top w:val="nil"/>
                    <w:left w:val="nil"/>
                    <w:bottom w:val="double" w:sz="6" w:space="0" w:color="000000"/>
                    <w:right w:val="nil"/>
                    <w:tl2br w:val="nil"/>
                    <w:tr2bl w:val="nil"/>
                  </w:tcBorders>
                  <w:shd w:val="clear" w:color="auto" w:fill="auto"/>
                  <w:noWrap/>
                  <w:tcMar>
                    <w:left w:w="40" w:type="dxa"/>
                    <w:right w:w="40" w:type="dxa"/>
                  </w:tcMar>
                  <w:vAlign w:val="bottom"/>
                </w:tcPr>
                <w:p w14:paraId="22C0E30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1.26</w:t>
                  </w:r>
                </w:p>
              </w:tc>
              <w:tc>
                <w:tcPr>
                  <w:tcW w:w="1004" w:type="dxa"/>
                  <w:tcBorders>
                    <w:top w:val="nil"/>
                    <w:left w:val="nil"/>
                    <w:bottom w:val="double" w:sz="6" w:space="0" w:color="000000"/>
                    <w:right w:val="nil"/>
                    <w:tl2br w:val="nil"/>
                    <w:tr2bl w:val="nil"/>
                  </w:tcBorders>
                  <w:shd w:val="clear" w:color="auto" w:fill="auto"/>
                  <w:noWrap/>
                  <w:tcMar>
                    <w:left w:w="40" w:type="dxa"/>
                    <w:right w:w="40" w:type="dxa"/>
                  </w:tcMar>
                  <w:vAlign w:val="bottom"/>
                </w:tcPr>
                <w:p w14:paraId="5CD24E3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0.48</w:t>
                  </w:r>
                </w:p>
              </w:tc>
              <w:tc>
                <w:tcPr>
                  <w:tcW w:w="1134" w:type="dxa"/>
                  <w:tcBorders>
                    <w:top w:val="nil"/>
                    <w:left w:val="nil"/>
                    <w:bottom w:val="double" w:sz="6" w:space="0" w:color="000000"/>
                    <w:right w:val="nil"/>
                    <w:tl2br w:val="nil"/>
                    <w:tr2bl w:val="nil"/>
                  </w:tcBorders>
                  <w:shd w:val="clear" w:color="auto" w:fill="auto"/>
                  <w:noWrap/>
                  <w:tcMar>
                    <w:left w:w="40" w:type="dxa"/>
                    <w:right w:w="40" w:type="dxa"/>
                  </w:tcMar>
                  <w:vAlign w:val="bottom"/>
                </w:tcPr>
                <w:p w14:paraId="0B10A46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0.64</w:t>
                  </w:r>
                </w:p>
              </w:tc>
              <w:tc>
                <w:tcPr>
                  <w:tcW w:w="1323" w:type="dxa"/>
                  <w:tcBorders>
                    <w:top w:val="nil"/>
                    <w:left w:val="nil"/>
                    <w:bottom w:val="double" w:sz="6" w:space="0" w:color="000000"/>
                    <w:right w:val="nil"/>
                    <w:tl2br w:val="nil"/>
                    <w:tr2bl w:val="nil"/>
                  </w:tcBorders>
                  <w:shd w:val="clear" w:color="auto" w:fill="auto"/>
                  <w:noWrap/>
                  <w:tcMar>
                    <w:left w:w="40" w:type="dxa"/>
                    <w:right w:w="40" w:type="dxa"/>
                  </w:tcMar>
                  <w:vAlign w:val="bottom"/>
                </w:tcPr>
                <w:p w14:paraId="187FAAE8"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2.33</w:t>
                  </w:r>
                </w:p>
              </w:tc>
            </w:tr>
          </w:tbl>
          <w:p w14:paraId="5DFB092B" w14:textId="77777777" w:rsidR="0085581F" w:rsidRPr="0085581F" w:rsidRDefault="0085581F" w:rsidP="0085581F">
            <w:pPr>
              <w:rPr>
                <w:rFonts w:asciiTheme="majorBidi" w:hAnsiTheme="majorBidi" w:cstheme="majorBidi"/>
              </w:rPr>
            </w:pPr>
          </w:p>
        </w:tc>
      </w:tr>
    </w:tbl>
    <w:p w14:paraId="25CB077D" w14:textId="532DD0C5" w:rsidR="0085581F" w:rsidRPr="0085581F" w:rsidRDefault="0085581F" w:rsidP="00306E02">
      <w:pPr>
        <w:keepNext/>
        <w:keepLines/>
        <w:ind w:left="567" w:hanging="142"/>
        <w:contextualSpacing/>
        <w:outlineLvl w:val="3"/>
        <w:rPr>
          <w:rFonts w:asciiTheme="majorBidi" w:hAnsiTheme="majorBidi" w:cstheme="majorBidi"/>
          <w:vertAlign w:val="subscript"/>
        </w:rPr>
      </w:pPr>
      <w:r w:rsidRPr="0085581F">
        <w:rPr>
          <w:rFonts w:asciiTheme="majorBidi" w:hAnsiTheme="majorBidi" w:cstheme="majorBidi"/>
          <w:sz w:val="21"/>
          <w:vertAlign w:val="superscript"/>
        </w:rPr>
        <w:t>*</w:t>
      </w:r>
      <w:r w:rsidRPr="0085581F">
        <w:rPr>
          <w:rFonts w:asciiTheme="majorBidi" w:hAnsiTheme="majorBidi" w:cstheme="majorBidi"/>
          <w:sz w:val="21"/>
          <w:vertAlign w:val="subscript"/>
        </w:rPr>
        <w:tab/>
      </w:r>
      <w:r w:rsidRPr="0085581F">
        <w:rPr>
          <w:rFonts w:asciiTheme="majorBidi" w:hAnsiTheme="majorBidi" w:cstheme="majorBidi"/>
          <w:vertAlign w:val="subscript"/>
        </w:rPr>
        <w:t>Includes income from early repayment of interest-bearing debt</w:t>
      </w:r>
      <w:r w:rsidR="00E61E73">
        <w:rPr>
          <w:rFonts w:asciiTheme="majorBidi" w:hAnsiTheme="majorBidi" w:cstheme="majorBidi"/>
          <w:vertAlign w:val="subscript"/>
        </w:rPr>
        <w:t xml:space="preserve"> (not including hybrid debentures)</w:t>
      </w:r>
      <w:r w:rsidRPr="0085581F">
        <w:rPr>
          <w:rFonts w:asciiTheme="majorBidi" w:hAnsiTheme="majorBidi" w:cstheme="majorBidi"/>
          <w:vertAlign w:val="subscript"/>
        </w:rPr>
        <w:t xml:space="preserve">, as well as CAPEX in the amount of NIS 60 million in 2023, and NIS 15 million each quarter. </w:t>
      </w:r>
    </w:p>
    <w:p w14:paraId="78EB0BDE" w14:textId="77777777" w:rsidR="0085581F" w:rsidRPr="0085581F" w:rsidRDefault="0085581F" w:rsidP="004D7A72">
      <w:pPr>
        <w:keepNext/>
        <w:keepLines/>
        <w:pageBreakBefore/>
        <w:numPr>
          <w:ilvl w:val="1"/>
          <w:numId w:val="27"/>
        </w:numPr>
        <w:tabs>
          <w:tab w:val="left" w:pos="425"/>
          <w:tab w:val="left" w:pos="1133"/>
        </w:tabs>
        <w:ind w:left="425" w:hanging="425"/>
        <w:contextualSpacing/>
        <w:outlineLvl w:val="3"/>
        <w:rPr>
          <w:rFonts w:asciiTheme="majorBidi" w:hAnsiTheme="majorBidi" w:cstheme="majorBidi"/>
          <w:sz w:val="21"/>
          <w:szCs w:val="21"/>
          <w:u w:val="single"/>
        </w:rPr>
      </w:pPr>
      <w:bookmarkStart w:id="29" w:name="RG_MARKER_56615"/>
      <w:bookmarkStart w:id="30" w:name="H4_EPRA_Earnings_FFO___________"/>
      <w:bookmarkEnd w:id="29"/>
      <w:r w:rsidRPr="0085581F">
        <w:rPr>
          <w:rFonts w:asciiTheme="majorBidi" w:hAnsiTheme="majorBidi" w:cstheme="majorBidi"/>
          <w:u w:val="single"/>
        </w:rPr>
        <w:lastRenderedPageBreak/>
        <w:t>(EPRA Earnings) FFO</w:t>
      </w:r>
      <w:r w:rsidRPr="0085581F">
        <w:rPr>
          <w:rFonts w:asciiTheme="majorBidi" w:hAnsiTheme="majorBidi" w:cstheme="majorBidi"/>
        </w:rPr>
        <w:t>:</w:t>
      </w:r>
    </w:p>
    <w:bookmarkEnd w:id="30"/>
    <w:p w14:paraId="6C334319" w14:textId="77777777" w:rsidR="0085581F" w:rsidRPr="0085581F" w:rsidRDefault="0085581F" w:rsidP="0085581F">
      <w:pPr>
        <w:keepLines/>
        <w:tabs>
          <w:tab w:val="left" w:pos="1133"/>
        </w:tabs>
        <w:contextualSpacing/>
        <w:rPr>
          <w:rFonts w:asciiTheme="majorBidi" w:hAnsiTheme="majorBidi" w:cstheme="majorBidi"/>
          <w:sz w:val="21"/>
          <w:szCs w:val="21"/>
          <w:u w:val="single"/>
        </w:rPr>
      </w:pPr>
      <w:r w:rsidRPr="0085581F">
        <w:rPr>
          <w:rFonts w:asciiTheme="majorBidi" w:hAnsiTheme="majorBidi" w:cstheme="majorBidi"/>
          <w:sz w:val="21"/>
        </w:rPr>
        <w:t xml:space="preserve">As is the practice in income-producing real estate companies, the Company customarily publishes information regarding the results of its operating activities in addition to, and without derogating from, the income statement prepared according to accounting principles. </w:t>
      </w:r>
      <w:r w:rsidRPr="0085581F">
        <w:rPr>
          <w:rFonts w:asciiTheme="majorBidi" w:hAnsiTheme="majorBidi" w:cstheme="majorBidi"/>
        </w:rPr>
        <w:t>In European countries where the financial statements are prepared in accordance with International Financial Reporting Standards (“IFRS”), it is customary for income-producing real estate companies to publish a measure for presenting the operating results of a company that are attributable to its shareholders, in line with the position paper of the European Public Real Estate Association (“EPRA”), the objective of which is to promote greater transparency, uniformity and comparability of the financial information reported by real estate companies</w:t>
      </w:r>
      <w:r w:rsidRPr="0085581F">
        <w:rPr>
          <w:rFonts w:asciiTheme="majorBidi" w:hAnsiTheme="majorBidi" w:cstheme="majorBidi"/>
          <w:sz w:val="21"/>
        </w:rPr>
        <w:t xml:space="preserve"> (“EPRA Earnings”). This measure is not based on generally accepted accounting principles. </w:t>
      </w:r>
      <w:r w:rsidRPr="0085581F">
        <w:rPr>
          <w:rFonts w:asciiTheme="majorBidi" w:hAnsiTheme="majorBidi" w:cstheme="majorBidi"/>
        </w:rPr>
        <w:t>Furthermore, pursuant to the draft securities regulations for anchoring the disclosure provisions for investment property activity, issued by the Israel Securities Authority in December 2013, FFO (Funds From Operations) should be presented in the “Description of the Company’s Business” section of the annual report of investment property companies, similar to the manner of calculating FFO under EPRA rules.</w:t>
      </w:r>
    </w:p>
    <w:p w14:paraId="05A2153D" w14:textId="77777777" w:rsidR="0085581F" w:rsidRPr="0085581F" w:rsidRDefault="0085581F" w:rsidP="0085581F">
      <w:pPr>
        <w:keepLines/>
        <w:tabs>
          <w:tab w:val="left" w:pos="1133"/>
        </w:tabs>
        <w:contextualSpacing/>
        <w:rPr>
          <w:rFonts w:asciiTheme="majorBidi" w:hAnsiTheme="majorBidi" w:cstheme="majorBidi"/>
          <w:sz w:val="21"/>
          <w:szCs w:val="21"/>
        </w:rPr>
      </w:pPr>
      <w:r w:rsidRPr="0085581F">
        <w:rPr>
          <w:rFonts w:asciiTheme="majorBidi" w:hAnsiTheme="majorBidi" w:cstheme="majorBidi"/>
        </w:rPr>
        <w:t>EPRA Earnings (or “Nominal FFO”) are calculated as the net income (loss) attributable to the shareholders of a company after excluding non-recurring income and expenses (including gains or losses from revaluations of properties to their fair value), changes in the fair value of financial instruments through profit or loss, gains or losses on the sale of properties, and other types of gains or losses.</w:t>
      </w:r>
      <w:r w:rsidRPr="0085581F">
        <w:rPr>
          <w:rFonts w:asciiTheme="majorBidi" w:hAnsiTheme="majorBidi" w:cstheme="majorBidi"/>
          <w:sz w:val="21"/>
        </w:rPr>
        <w:t xml:space="preserve"> </w:t>
      </w:r>
    </w:p>
    <w:p w14:paraId="36158214" w14:textId="77777777" w:rsidR="0085581F" w:rsidRPr="0085581F" w:rsidRDefault="0085581F" w:rsidP="0085581F">
      <w:pPr>
        <w:keepLines/>
        <w:tabs>
          <w:tab w:val="left" w:pos="1133"/>
        </w:tabs>
        <w:contextualSpacing/>
        <w:rPr>
          <w:rFonts w:asciiTheme="majorBidi" w:hAnsiTheme="majorBidi" w:cstheme="majorBidi"/>
          <w:sz w:val="21"/>
          <w:szCs w:val="21"/>
        </w:rPr>
      </w:pPr>
      <w:r w:rsidRPr="0085581F">
        <w:rPr>
          <w:rFonts w:asciiTheme="majorBidi" w:hAnsiTheme="majorBidi" w:cstheme="majorBidi"/>
          <w:sz w:val="21"/>
        </w:rPr>
        <w:t>The Adjusted EPRA Earnings (or “FFO according to the management approach”) is calculated as EPRA Earnings with such additional adjustments being made as a company considers necessary in order to present an operating income measure that is comparable with previous periods and with the results of similar companies This measure is customarily used to review the performance of income-producing property companies. The required adjustments against the accounting net income (loss) are presented in the table below.</w:t>
      </w:r>
    </w:p>
    <w:p w14:paraId="722C0697" w14:textId="77777777" w:rsidR="0085581F" w:rsidRPr="0085581F" w:rsidRDefault="0085581F" w:rsidP="0085581F">
      <w:pPr>
        <w:keepLines/>
        <w:tabs>
          <w:tab w:val="left" w:pos="1133"/>
        </w:tabs>
        <w:contextualSpacing/>
        <w:rPr>
          <w:rFonts w:asciiTheme="majorBidi" w:hAnsiTheme="majorBidi" w:cstheme="majorBidi"/>
          <w:sz w:val="21"/>
          <w:szCs w:val="21"/>
        </w:rPr>
      </w:pPr>
      <w:r w:rsidRPr="0085581F">
        <w:rPr>
          <w:rFonts w:asciiTheme="majorBidi" w:hAnsiTheme="majorBidi" w:cstheme="majorBidi"/>
          <w:sz w:val="21"/>
        </w:rPr>
        <w:t xml:space="preserve">The Company assumes that the Adjusted EPRA Earnings measure fairly reflects the operating results of the Company, since it provides a better basis for comparing the Company’s operating results in a particular period with those of previous periods and also provides a uniform financial measure for comparing the Company’s operating results with those published by other European property companies. </w:t>
      </w:r>
    </w:p>
    <w:p w14:paraId="1E05BA15" w14:textId="77777777" w:rsidR="0085581F" w:rsidRPr="0085581F" w:rsidRDefault="0085581F" w:rsidP="0085581F">
      <w:pPr>
        <w:keepLines/>
        <w:tabs>
          <w:tab w:val="left" w:pos="1133"/>
        </w:tabs>
        <w:contextualSpacing/>
        <w:rPr>
          <w:rFonts w:asciiTheme="majorBidi" w:hAnsiTheme="majorBidi" w:cstheme="majorBidi"/>
          <w:sz w:val="21"/>
          <w:szCs w:val="21"/>
        </w:rPr>
      </w:pPr>
      <w:r w:rsidRPr="0085581F">
        <w:rPr>
          <w:rFonts w:asciiTheme="majorBidi" w:hAnsiTheme="majorBidi" w:cstheme="majorBidi"/>
        </w:rPr>
        <w:t>As clarified in the EPRA position papers, the EPRA Earnings and the Adjusted EPRA Earnings measures do not represent cash flows from operating activities according to accepted accounting principles, nor do they reflect the cash held by the Company or its ability to distribute that cash, and they are not a substitute for the reported net income (loss).</w:t>
      </w:r>
      <w:r w:rsidRPr="0085581F">
        <w:rPr>
          <w:rFonts w:asciiTheme="majorBidi" w:hAnsiTheme="majorBidi" w:cstheme="majorBidi"/>
          <w:sz w:val="21"/>
        </w:rPr>
        <w:t xml:space="preserve"> Furthermore, it is clarified that these measures are not audited by the Company’s independent auditors.</w:t>
      </w:r>
    </w:p>
    <w:p w14:paraId="5CC06868" w14:textId="77777777" w:rsidR="0085581F" w:rsidRPr="0085581F" w:rsidRDefault="0085581F" w:rsidP="0085581F">
      <w:pPr>
        <w:keepLines/>
        <w:tabs>
          <w:tab w:val="left" w:pos="1133"/>
        </w:tabs>
        <w:contextualSpacing/>
        <w:rPr>
          <w:rFonts w:asciiTheme="majorBidi" w:hAnsiTheme="majorBidi" w:cstheme="majorBidi"/>
          <w:sz w:val="21"/>
          <w:szCs w:val="21"/>
        </w:rPr>
      </w:pPr>
    </w:p>
    <w:p w14:paraId="5C724122" w14:textId="77777777" w:rsidR="0085581F" w:rsidRPr="0085581F" w:rsidRDefault="0085581F" w:rsidP="0085581F">
      <w:pPr>
        <w:keepNext/>
        <w:keepLines/>
        <w:tabs>
          <w:tab w:val="left" w:pos="1133"/>
        </w:tabs>
        <w:contextualSpacing/>
        <w:rPr>
          <w:rFonts w:asciiTheme="majorBidi" w:hAnsiTheme="majorBidi" w:cstheme="majorBidi"/>
          <w:sz w:val="21"/>
          <w:szCs w:val="21"/>
        </w:rPr>
      </w:pPr>
      <w:r w:rsidRPr="0085581F">
        <w:rPr>
          <w:rFonts w:asciiTheme="majorBidi" w:hAnsiTheme="majorBidi" w:cstheme="majorBidi"/>
          <w:sz w:val="21"/>
        </w:rPr>
        <w:lastRenderedPageBreak/>
        <w:t>Below is the calculation of the Company’s FFO and FFO per share, calculated according to the EPRA guidelines and the draft Real Estate Regulations for the stated periods*: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85581F" w:rsidRPr="0085581F" w14:paraId="616356D9" w14:textId="77777777" w:rsidTr="00A65A6F">
        <w:trPr>
          <w:cantSplit/>
        </w:trPr>
        <w:tc>
          <w:tcPr>
            <w:tcW w:w="9921" w:type="dxa"/>
          </w:tcPr>
          <w:tbl>
            <w:tblPr>
              <w:tblStyle w:val="CDMRange120"/>
              <w:tblW w:w="9922" w:type="dxa"/>
              <w:tblLook w:val="0600" w:firstRow="0" w:lastRow="0" w:firstColumn="0" w:lastColumn="0" w:noHBand="1" w:noVBand="1"/>
              <w:tblCaption w:val="Print_Area"/>
            </w:tblPr>
            <w:tblGrid>
              <w:gridCol w:w="4771"/>
              <w:gridCol w:w="885"/>
              <w:gridCol w:w="981"/>
              <w:gridCol w:w="1111"/>
              <w:gridCol w:w="1055"/>
              <w:gridCol w:w="1119"/>
            </w:tblGrid>
            <w:tr w:rsidR="00306E02" w:rsidRPr="0085581F" w14:paraId="31BFAEC3" w14:textId="77777777" w:rsidTr="00306E02">
              <w:trPr>
                <w:trHeight w:val="289"/>
              </w:trPr>
              <w:tc>
                <w:tcPr>
                  <w:tcW w:w="4785" w:type="dxa"/>
                  <w:tcBorders>
                    <w:top w:val="nil"/>
                    <w:left w:val="nil"/>
                    <w:bottom w:val="nil"/>
                    <w:right w:val="nil"/>
                    <w:tl2br w:val="nil"/>
                    <w:tr2bl w:val="nil"/>
                  </w:tcBorders>
                  <w:shd w:val="clear" w:color="FFFFFF" w:fill="000031"/>
                  <w:noWrap/>
                  <w:tcMar>
                    <w:left w:w="0" w:type="dxa"/>
                    <w:right w:w="0" w:type="dxa"/>
                  </w:tcMar>
                  <w:vAlign w:val="bottom"/>
                </w:tcPr>
                <w:p w14:paraId="2639B003"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1859" w:type="dxa"/>
                  <w:gridSpan w:val="2"/>
                  <w:tcBorders>
                    <w:top w:val="nil"/>
                    <w:left w:val="nil"/>
                    <w:bottom w:val="nil"/>
                    <w:right w:val="nil"/>
                    <w:tl2br w:val="nil"/>
                    <w:tr2bl w:val="nil"/>
                  </w:tcBorders>
                  <w:shd w:val="clear" w:color="FFFFFF" w:fill="000031"/>
                  <w:tcMar>
                    <w:left w:w="40" w:type="dxa"/>
                    <w:right w:w="40" w:type="dxa"/>
                  </w:tcMar>
                  <w:vAlign w:val="bottom"/>
                </w:tcPr>
                <w:p w14:paraId="0E2223D5"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 xml:space="preserve">Six months ended </w:t>
                  </w:r>
                </w:p>
                <w:p w14:paraId="4EC55375"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June 30</w:t>
                  </w:r>
                </w:p>
              </w:tc>
              <w:tc>
                <w:tcPr>
                  <w:tcW w:w="2161" w:type="dxa"/>
                  <w:gridSpan w:val="2"/>
                  <w:tcBorders>
                    <w:top w:val="nil"/>
                    <w:left w:val="nil"/>
                    <w:bottom w:val="nil"/>
                    <w:right w:val="nil"/>
                    <w:tl2br w:val="nil"/>
                    <w:tr2bl w:val="nil"/>
                  </w:tcBorders>
                  <w:shd w:val="clear" w:color="FFFFFF" w:fill="000031"/>
                  <w:tcMar>
                    <w:left w:w="40" w:type="dxa"/>
                    <w:right w:w="40" w:type="dxa"/>
                  </w:tcMar>
                  <w:vAlign w:val="bottom"/>
                </w:tcPr>
                <w:p w14:paraId="031F885F"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 xml:space="preserve">Three months ended </w:t>
                  </w:r>
                </w:p>
                <w:p w14:paraId="6BBF6852"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June 30</w:t>
                  </w:r>
                </w:p>
              </w:tc>
              <w:tc>
                <w:tcPr>
                  <w:tcW w:w="1117" w:type="dxa"/>
                  <w:tcBorders>
                    <w:top w:val="nil"/>
                    <w:left w:val="nil"/>
                    <w:bottom w:val="nil"/>
                    <w:right w:val="nil"/>
                    <w:tl2br w:val="nil"/>
                    <w:tr2bl w:val="nil"/>
                  </w:tcBorders>
                  <w:shd w:val="clear" w:color="FFFFFF" w:fill="000031"/>
                  <w:tcMar>
                    <w:left w:w="40" w:type="dxa"/>
                    <w:right w:w="40" w:type="dxa"/>
                  </w:tcMar>
                  <w:vAlign w:val="bottom"/>
                </w:tcPr>
                <w:p w14:paraId="2911FA65"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 xml:space="preserve"> Year ended December 31</w:t>
                  </w:r>
                </w:p>
              </w:tc>
            </w:tr>
            <w:tr w:rsidR="00306E02" w:rsidRPr="0085581F" w14:paraId="5971AF2A"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4785" w:type="dxa"/>
                  <w:tcBorders>
                    <w:top w:val="nil"/>
                    <w:left w:val="nil"/>
                    <w:bottom w:val="nil"/>
                    <w:right w:val="nil"/>
                    <w:tl2br w:val="nil"/>
                    <w:tr2bl w:val="nil"/>
                  </w:tcBorders>
                  <w:shd w:val="clear" w:color="auto" w:fill="auto"/>
                  <w:noWrap/>
                  <w:tcMar>
                    <w:left w:w="0" w:type="dxa"/>
                    <w:right w:w="0" w:type="dxa"/>
                  </w:tcMar>
                  <w:vAlign w:val="bottom"/>
                </w:tcPr>
                <w:p w14:paraId="21A03FEA"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881" w:type="dxa"/>
                  <w:tcBorders>
                    <w:top w:val="nil"/>
                    <w:left w:val="nil"/>
                    <w:bottom w:val="nil"/>
                    <w:right w:val="nil"/>
                    <w:tl2br w:val="nil"/>
                    <w:tr2bl w:val="nil"/>
                  </w:tcBorders>
                  <w:shd w:val="clear" w:color="auto" w:fill="auto"/>
                  <w:noWrap/>
                  <w:tcMar>
                    <w:left w:w="40" w:type="dxa"/>
                    <w:right w:w="40" w:type="dxa"/>
                  </w:tcMar>
                  <w:vAlign w:val="bottom"/>
                </w:tcPr>
                <w:p w14:paraId="1BC0BC0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rPr>
                  </w:pPr>
                  <w:r w:rsidRPr="0085581F">
                    <w:rPr>
                      <w:rFonts w:asciiTheme="majorBidi" w:hAnsiTheme="majorBidi" w:cstheme="majorBidi"/>
                      <w:color w:val="000000"/>
                    </w:rPr>
                    <w:t>2024</w:t>
                  </w:r>
                </w:p>
              </w:tc>
              <w:tc>
                <w:tcPr>
                  <w:tcW w:w="978" w:type="dxa"/>
                  <w:tcBorders>
                    <w:top w:val="nil"/>
                    <w:left w:val="nil"/>
                    <w:bottom w:val="nil"/>
                    <w:right w:val="nil"/>
                    <w:tl2br w:val="nil"/>
                    <w:tr2bl w:val="nil"/>
                  </w:tcBorders>
                  <w:shd w:val="clear" w:color="auto" w:fill="auto"/>
                  <w:noWrap/>
                  <w:tcMar>
                    <w:left w:w="40" w:type="dxa"/>
                    <w:right w:w="40" w:type="dxa"/>
                  </w:tcMar>
                  <w:vAlign w:val="bottom"/>
                </w:tcPr>
                <w:p w14:paraId="4BF9AE48"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rPr>
                  </w:pPr>
                  <w:r w:rsidRPr="0085581F">
                    <w:rPr>
                      <w:rFonts w:asciiTheme="majorBidi" w:hAnsiTheme="majorBidi" w:cstheme="majorBidi"/>
                      <w:color w:val="000000"/>
                    </w:rPr>
                    <w:t>2023</w:t>
                  </w:r>
                </w:p>
              </w:tc>
              <w:tc>
                <w:tcPr>
                  <w:tcW w:w="1109" w:type="dxa"/>
                  <w:tcBorders>
                    <w:top w:val="nil"/>
                    <w:left w:val="nil"/>
                    <w:bottom w:val="nil"/>
                    <w:right w:val="nil"/>
                    <w:tl2br w:val="nil"/>
                    <w:tr2bl w:val="nil"/>
                  </w:tcBorders>
                  <w:shd w:val="clear" w:color="auto" w:fill="auto"/>
                  <w:noWrap/>
                  <w:tcMar>
                    <w:left w:w="40" w:type="dxa"/>
                    <w:right w:w="40" w:type="dxa"/>
                  </w:tcMar>
                  <w:vAlign w:val="bottom"/>
                </w:tcPr>
                <w:p w14:paraId="449FEF4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rPr>
                  </w:pPr>
                  <w:r w:rsidRPr="0085581F">
                    <w:rPr>
                      <w:rFonts w:asciiTheme="majorBidi" w:hAnsiTheme="majorBidi" w:cstheme="majorBidi"/>
                      <w:color w:val="000000"/>
                    </w:rPr>
                    <w:t>2024</w:t>
                  </w:r>
                </w:p>
              </w:tc>
              <w:tc>
                <w:tcPr>
                  <w:tcW w:w="1052" w:type="dxa"/>
                  <w:tcBorders>
                    <w:top w:val="nil"/>
                    <w:left w:val="nil"/>
                    <w:bottom w:val="nil"/>
                    <w:right w:val="nil"/>
                    <w:tl2br w:val="nil"/>
                    <w:tr2bl w:val="nil"/>
                  </w:tcBorders>
                  <w:shd w:val="clear" w:color="auto" w:fill="auto"/>
                  <w:noWrap/>
                  <w:tcMar>
                    <w:left w:w="40" w:type="dxa"/>
                    <w:right w:w="40" w:type="dxa"/>
                  </w:tcMar>
                  <w:vAlign w:val="bottom"/>
                </w:tcPr>
                <w:p w14:paraId="46AB389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rPr>
                  </w:pPr>
                  <w:r w:rsidRPr="0085581F">
                    <w:rPr>
                      <w:rFonts w:asciiTheme="majorBidi" w:hAnsiTheme="majorBidi" w:cstheme="majorBidi"/>
                      <w:color w:val="000000"/>
                    </w:rPr>
                    <w:t>2023</w:t>
                  </w:r>
                </w:p>
              </w:tc>
              <w:tc>
                <w:tcPr>
                  <w:tcW w:w="1117" w:type="dxa"/>
                  <w:tcBorders>
                    <w:top w:val="nil"/>
                    <w:left w:val="nil"/>
                    <w:bottom w:val="nil"/>
                    <w:right w:val="nil"/>
                    <w:tl2br w:val="nil"/>
                    <w:tr2bl w:val="nil"/>
                  </w:tcBorders>
                  <w:shd w:val="clear" w:color="auto" w:fill="auto"/>
                  <w:noWrap/>
                  <w:tcMar>
                    <w:left w:w="40" w:type="dxa"/>
                    <w:right w:w="40" w:type="dxa"/>
                  </w:tcMar>
                  <w:vAlign w:val="bottom"/>
                </w:tcPr>
                <w:p w14:paraId="31A6720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rPr>
                  </w:pPr>
                  <w:r w:rsidRPr="0085581F">
                    <w:rPr>
                      <w:rFonts w:asciiTheme="majorBidi" w:hAnsiTheme="majorBidi" w:cstheme="majorBidi"/>
                      <w:color w:val="000000"/>
                    </w:rPr>
                    <w:t>2023</w:t>
                  </w:r>
                </w:p>
              </w:tc>
            </w:tr>
            <w:tr w:rsidR="0085581F" w:rsidRPr="0085581F" w14:paraId="410EAE2A"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4785" w:type="dxa"/>
                  <w:tcBorders>
                    <w:top w:val="nil"/>
                    <w:left w:val="nil"/>
                    <w:bottom w:val="nil"/>
                    <w:right w:val="nil"/>
                    <w:tl2br w:val="nil"/>
                    <w:tr2bl w:val="nil"/>
                  </w:tcBorders>
                  <w:shd w:val="clear" w:color="FFFFFF" w:fill="000031"/>
                  <w:noWrap/>
                  <w:tcMar>
                    <w:left w:w="0" w:type="dxa"/>
                    <w:right w:w="0" w:type="dxa"/>
                  </w:tcMar>
                  <w:vAlign w:val="bottom"/>
                </w:tcPr>
                <w:p w14:paraId="7959CDAC"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5137" w:type="dxa"/>
                  <w:gridSpan w:val="5"/>
                  <w:tcBorders>
                    <w:top w:val="nil"/>
                    <w:left w:val="nil"/>
                    <w:bottom w:val="nil"/>
                    <w:right w:val="nil"/>
                    <w:tl2br w:val="nil"/>
                    <w:tr2bl w:val="nil"/>
                  </w:tcBorders>
                  <w:shd w:val="clear" w:color="FFFFFF" w:fill="000031"/>
                  <w:noWrap/>
                  <w:tcMar>
                    <w:left w:w="40" w:type="dxa"/>
                    <w:right w:w="40" w:type="dxa"/>
                  </w:tcMar>
                  <w:vAlign w:val="bottom"/>
                </w:tcPr>
                <w:p w14:paraId="05344383"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(NIS millions, other than per share data)</w:t>
                  </w:r>
                </w:p>
              </w:tc>
            </w:tr>
            <w:tr w:rsidR="00306E02" w:rsidRPr="0085581F" w14:paraId="3515568E"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6B3C5639"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Net income (loss) attributable to shareholders of the Company</w:t>
                  </w:r>
                </w:p>
              </w:tc>
              <w:tc>
                <w:tcPr>
                  <w:tcW w:w="881"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4C4C82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252</w:t>
                  </w:r>
                </w:p>
              </w:tc>
              <w:tc>
                <w:tcPr>
                  <w:tcW w:w="978"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C3FA5B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(512)</w:t>
                  </w:r>
                </w:p>
              </w:tc>
              <w:tc>
                <w:tcPr>
                  <w:tcW w:w="1109"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0C40DC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329</w:t>
                  </w:r>
                </w:p>
              </w:tc>
              <w:tc>
                <w:tcPr>
                  <w:tcW w:w="105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C51780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(3)</w:t>
                  </w: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C75FA6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(1,203)</w:t>
                  </w:r>
                </w:p>
              </w:tc>
            </w:tr>
            <w:tr w:rsidR="00306E02" w:rsidRPr="0085581F" w14:paraId="6DAA343C"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4785" w:type="dxa"/>
                  <w:tcBorders>
                    <w:top w:val="nil"/>
                    <w:left w:val="nil"/>
                    <w:bottom w:val="nil"/>
                    <w:right w:val="nil"/>
                    <w:tl2br w:val="nil"/>
                    <w:tr2bl w:val="nil"/>
                  </w:tcBorders>
                  <w:shd w:val="clear" w:color="auto" w:fill="auto"/>
                  <w:noWrap/>
                  <w:tcMar>
                    <w:left w:w="40" w:type="dxa"/>
                    <w:right w:w="175" w:type="dxa"/>
                  </w:tcMar>
                  <w:vAlign w:val="bottom"/>
                </w:tcPr>
                <w:p w14:paraId="0EA66473"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u w:val="single"/>
                    </w:rPr>
                  </w:pPr>
                  <w:r w:rsidRPr="0085581F">
                    <w:rPr>
                      <w:rFonts w:asciiTheme="majorBidi" w:hAnsiTheme="majorBidi" w:cstheme="majorBidi"/>
                      <w:color w:val="000000"/>
                      <w:sz w:val="18"/>
                      <w:szCs w:val="18"/>
                      <w:u w:val="single"/>
                    </w:rPr>
                    <w:t>Adjustments:</w:t>
                  </w:r>
                </w:p>
              </w:tc>
              <w:tc>
                <w:tcPr>
                  <w:tcW w:w="881"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068419B"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978"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AA9A921"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110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9CA3E51"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1052"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EC56F69"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11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74FDBA6"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r>
            <w:tr w:rsidR="00306E02" w:rsidRPr="0085581F" w14:paraId="4D91CFB1"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35A2E632"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Decrease (increase) in investment property and investment property under development, net</w:t>
                  </w:r>
                </w:p>
              </w:tc>
              <w:tc>
                <w:tcPr>
                  <w:tcW w:w="881" w:type="dxa"/>
                  <w:tcBorders>
                    <w:top w:val="nil"/>
                    <w:left w:val="nil"/>
                    <w:bottom w:val="nil"/>
                    <w:right w:val="nil"/>
                    <w:tl2br w:val="nil"/>
                    <w:tr2bl w:val="nil"/>
                  </w:tcBorders>
                  <w:shd w:val="clear" w:color="auto" w:fill="auto"/>
                  <w:noWrap/>
                  <w:tcMar>
                    <w:left w:w="40" w:type="dxa"/>
                    <w:right w:w="175" w:type="dxa"/>
                  </w:tcMar>
                  <w:vAlign w:val="bottom"/>
                </w:tcPr>
                <w:p w14:paraId="4565E48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(340)</w:t>
                  </w:r>
                </w:p>
              </w:tc>
              <w:tc>
                <w:tcPr>
                  <w:tcW w:w="978" w:type="dxa"/>
                  <w:tcBorders>
                    <w:top w:val="nil"/>
                    <w:left w:val="nil"/>
                    <w:bottom w:val="nil"/>
                    <w:right w:val="nil"/>
                    <w:tl2br w:val="nil"/>
                    <w:tr2bl w:val="nil"/>
                  </w:tcBorders>
                  <w:shd w:val="clear" w:color="auto" w:fill="auto"/>
                  <w:noWrap/>
                  <w:tcMar>
                    <w:left w:w="40" w:type="dxa"/>
                    <w:right w:w="175" w:type="dxa"/>
                  </w:tcMar>
                  <w:vAlign w:val="bottom"/>
                </w:tcPr>
                <w:p w14:paraId="70FC089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(293)</w:t>
                  </w:r>
                </w:p>
              </w:tc>
              <w:tc>
                <w:tcPr>
                  <w:tcW w:w="1109" w:type="dxa"/>
                  <w:tcBorders>
                    <w:top w:val="nil"/>
                    <w:left w:val="nil"/>
                    <w:bottom w:val="nil"/>
                    <w:right w:val="nil"/>
                    <w:tl2br w:val="nil"/>
                    <w:tr2bl w:val="nil"/>
                  </w:tcBorders>
                  <w:shd w:val="clear" w:color="auto" w:fill="auto"/>
                  <w:noWrap/>
                  <w:tcMar>
                    <w:left w:w="40" w:type="dxa"/>
                    <w:right w:w="175" w:type="dxa"/>
                  </w:tcMar>
                  <w:vAlign w:val="bottom"/>
                </w:tcPr>
                <w:p w14:paraId="0FE39AD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(344)</w:t>
                  </w:r>
                </w:p>
              </w:tc>
              <w:tc>
                <w:tcPr>
                  <w:tcW w:w="1052" w:type="dxa"/>
                  <w:tcBorders>
                    <w:top w:val="nil"/>
                    <w:left w:val="nil"/>
                    <w:bottom w:val="nil"/>
                    <w:right w:val="nil"/>
                    <w:tl2br w:val="nil"/>
                    <w:tr2bl w:val="nil"/>
                  </w:tcBorders>
                  <w:shd w:val="clear" w:color="auto" w:fill="auto"/>
                  <w:noWrap/>
                  <w:tcMar>
                    <w:left w:w="40" w:type="dxa"/>
                    <w:right w:w="175" w:type="dxa"/>
                  </w:tcMar>
                  <w:vAlign w:val="bottom"/>
                </w:tcPr>
                <w:p w14:paraId="29B83DA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(138)</w:t>
                  </w: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1C21890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767</w:t>
                  </w:r>
                </w:p>
              </w:tc>
            </w:tr>
            <w:tr w:rsidR="00306E02" w:rsidRPr="0085581F" w14:paraId="33F3CF6D"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6DD99B74"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Capital loss (gain) on sale of investment property</w:t>
                  </w:r>
                </w:p>
              </w:tc>
              <w:tc>
                <w:tcPr>
                  <w:tcW w:w="881" w:type="dxa"/>
                  <w:tcBorders>
                    <w:top w:val="nil"/>
                    <w:left w:val="nil"/>
                    <w:bottom w:val="nil"/>
                    <w:right w:val="nil"/>
                    <w:tl2br w:val="nil"/>
                    <w:tr2bl w:val="nil"/>
                  </w:tcBorders>
                  <w:shd w:val="clear" w:color="auto" w:fill="auto"/>
                  <w:noWrap/>
                  <w:tcMar>
                    <w:left w:w="40" w:type="dxa"/>
                    <w:right w:w="175" w:type="dxa"/>
                  </w:tcMar>
                  <w:vAlign w:val="bottom"/>
                </w:tcPr>
                <w:p w14:paraId="502DAF6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(62)</w:t>
                  </w:r>
                </w:p>
              </w:tc>
              <w:tc>
                <w:tcPr>
                  <w:tcW w:w="978" w:type="dxa"/>
                  <w:tcBorders>
                    <w:top w:val="nil"/>
                    <w:left w:val="nil"/>
                    <w:bottom w:val="nil"/>
                    <w:right w:val="nil"/>
                    <w:tl2br w:val="nil"/>
                    <w:tr2bl w:val="nil"/>
                  </w:tcBorders>
                  <w:shd w:val="clear" w:color="auto" w:fill="auto"/>
                  <w:noWrap/>
                  <w:tcMar>
                    <w:left w:w="40" w:type="dxa"/>
                    <w:right w:w="175" w:type="dxa"/>
                  </w:tcMar>
                  <w:vAlign w:val="bottom"/>
                </w:tcPr>
                <w:p w14:paraId="03AE921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676</w:t>
                  </w:r>
                </w:p>
              </w:tc>
              <w:tc>
                <w:tcPr>
                  <w:tcW w:w="1109" w:type="dxa"/>
                  <w:tcBorders>
                    <w:top w:val="nil"/>
                    <w:left w:val="nil"/>
                    <w:bottom w:val="nil"/>
                    <w:right w:val="nil"/>
                    <w:tl2br w:val="nil"/>
                    <w:tr2bl w:val="nil"/>
                  </w:tcBorders>
                  <w:shd w:val="clear" w:color="auto" w:fill="auto"/>
                  <w:noWrap/>
                  <w:tcMar>
                    <w:left w:w="40" w:type="dxa"/>
                    <w:right w:w="175" w:type="dxa"/>
                  </w:tcMar>
                  <w:vAlign w:val="bottom"/>
                </w:tcPr>
                <w:p w14:paraId="5B26E1A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w:t>
                  </w:r>
                </w:p>
              </w:tc>
              <w:tc>
                <w:tcPr>
                  <w:tcW w:w="1052" w:type="dxa"/>
                  <w:tcBorders>
                    <w:top w:val="nil"/>
                    <w:left w:val="nil"/>
                    <w:bottom w:val="nil"/>
                    <w:right w:val="nil"/>
                    <w:tl2br w:val="nil"/>
                    <w:tr2bl w:val="nil"/>
                  </w:tcBorders>
                  <w:shd w:val="clear" w:color="auto" w:fill="auto"/>
                  <w:noWrap/>
                  <w:tcMar>
                    <w:left w:w="40" w:type="dxa"/>
                    <w:right w:w="175" w:type="dxa"/>
                  </w:tcMar>
                  <w:vAlign w:val="bottom"/>
                </w:tcPr>
                <w:p w14:paraId="7DACB6E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158</w:t>
                  </w: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65F2F02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681</w:t>
                  </w:r>
                </w:p>
              </w:tc>
            </w:tr>
            <w:tr w:rsidR="00306E02" w:rsidRPr="0085581F" w14:paraId="17D0F9D3"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0373E590" w14:textId="2B1CE248" w:rsidR="0085581F" w:rsidRPr="0085581F" w:rsidRDefault="0085581F" w:rsidP="00306E02">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Changes in the fair value of financial instruments, including derivatives </w:t>
                  </w:r>
                  <w:r w:rsidR="00306E02" w:rsidRPr="00306E02">
                    <w:rPr>
                      <w:rFonts w:asciiTheme="majorBidi" w:hAnsiTheme="majorBidi" w:cstheme="majorBidi"/>
                      <w:color w:val="000000"/>
                      <w:sz w:val="18"/>
                      <w:szCs w:val="18"/>
                    </w:rPr>
                    <w:t xml:space="preserve">measured </w:t>
                  </w:r>
                  <w:r w:rsidRPr="0085581F">
                    <w:rPr>
                      <w:rFonts w:asciiTheme="majorBidi" w:hAnsiTheme="majorBidi" w:cstheme="majorBidi"/>
                      <w:color w:val="000000"/>
                      <w:sz w:val="18"/>
                      <w:szCs w:val="18"/>
                    </w:rPr>
                    <w:t>at fair value through profit or loss</w:t>
                  </w:r>
                </w:p>
              </w:tc>
              <w:tc>
                <w:tcPr>
                  <w:tcW w:w="881" w:type="dxa"/>
                  <w:tcBorders>
                    <w:top w:val="nil"/>
                    <w:left w:val="nil"/>
                    <w:bottom w:val="nil"/>
                    <w:right w:val="nil"/>
                    <w:tl2br w:val="nil"/>
                    <w:tr2bl w:val="nil"/>
                  </w:tcBorders>
                  <w:shd w:val="clear" w:color="auto" w:fill="auto"/>
                  <w:noWrap/>
                  <w:tcMar>
                    <w:left w:w="40" w:type="dxa"/>
                    <w:right w:w="175" w:type="dxa"/>
                  </w:tcMar>
                  <w:vAlign w:val="bottom"/>
                </w:tcPr>
                <w:p w14:paraId="103A835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20</w:t>
                  </w:r>
                </w:p>
              </w:tc>
              <w:tc>
                <w:tcPr>
                  <w:tcW w:w="978" w:type="dxa"/>
                  <w:tcBorders>
                    <w:top w:val="nil"/>
                    <w:left w:val="nil"/>
                    <w:bottom w:val="nil"/>
                    <w:right w:val="nil"/>
                    <w:tl2br w:val="nil"/>
                    <w:tr2bl w:val="nil"/>
                  </w:tcBorders>
                  <w:shd w:val="clear" w:color="auto" w:fill="auto"/>
                  <w:noWrap/>
                  <w:tcMar>
                    <w:left w:w="40" w:type="dxa"/>
                    <w:right w:w="175" w:type="dxa"/>
                  </w:tcMar>
                  <w:vAlign w:val="bottom"/>
                </w:tcPr>
                <w:p w14:paraId="2FCDFCD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38</w:t>
                  </w:r>
                </w:p>
              </w:tc>
              <w:tc>
                <w:tcPr>
                  <w:tcW w:w="1109" w:type="dxa"/>
                  <w:tcBorders>
                    <w:top w:val="nil"/>
                    <w:left w:val="nil"/>
                    <w:bottom w:val="nil"/>
                    <w:right w:val="nil"/>
                    <w:tl2br w:val="nil"/>
                    <w:tr2bl w:val="nil"/>
                  </w:tcBorders>
                  <w:shd w:val="clear" w:color="auto" w:fill="auto"/>
                  <w:noWrap/>
                  <w:tcMar>
                    <w:left w:w="40" w:type="dxa"/>
                    <w:right w:w="175" w:type="dxa"/>
                  </w:tcMar>
                  <w:vAlign w:val="bottom"/>
                </w:tcPr>
                <w:p w14:paraId="0C68D81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(6)</w:t>
                  </w:r>
                </w:p>
              </w:tc>
              <w:tc>
                <w:tcPr>
                  <w:tcW w:w="1052" w:type="dxa"/>
                  <w:tcBorders>
                    <w:top w:val="nil"/>
                    <w:left w:val="nil"/>
                    <w:bottom w:val="nil"/>
                    <w:right w:val="nil"/>
                    <w:tl2br w:val="nil"/>
                    <w:tr2bl w:val="nil"/>
                  </w:tcBorders>
                  <w:shd w:val="clear" w:color="auto" w:fill="auto"/>
                  <w:noWrap/>
                  <w:tcMar>
                    <w:left w:w="40" w:type="dxa"/>
                    <w:right w:w="175" w:type="dxa"/>
                  </w:tcMar>
                  <w:vAlign w:val="bottom"/>
                </w:tcPr>
                <w:p w14:paraId="2D35942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(31)</w:t>
                  </w: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7B80D0A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130</w:t>
                  </w:r>
                </w:p>
              </w:tc>
            </w:tr>
            <w:tr w:rsidR="00306E02" w:rsidRPr="0085581F" w14:paraId="0CED5008"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470CC9D3" w14:textId="09532B16"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Adjustments with respect to equity-accounted investees</w:t>
                  </w:r>
                </w:p>
              </w:tc>
              <w:tc>
                <w:tcPr>
                  <w:tcW w:w="881" w:type="dxa"/>
                  <w:tcBorders>
                    <w:top w:val="nil"/>
                    <w:left w:val="nil"/>
                    <w:bottom w:val="nil"/>
                    <w:right w:val="nil"/>
                    <w:tl2br w:val="nil"/>
                    <w:tr2bl w:val="nil"/>
                  </w:tcBorders>
                  <w:shd w:val="clear" w:color="auto" w:fill="auto"/>
                  <w:noWrap/>
                  <w:tcMar>
                    <w:left w:w="40" w:type="dxa"/>
                    <w:right w:w="175" w:type="dxa"/>
                  </w:tcMar>
                  <w:vAlign w:val="bottom"/>
                </w:tcPr>
                <w:p w14:paraId="50A78A0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(104)</w:t>
                  </w:r>
                </w:p>
              </w:tc>
              <w:tc>
                <w:tcPr>
                  <w:tcW w:w="978" w:type="dxa"/>
                  <w:tcBorders>
                    <w:top w:val="nil"/>
                    <w:left w:val="nil"/>
                    <w:bottom w:val="nil"/>
                    <w:right w:val="nil"/>
                    <w:tl2br w:val="nil"/>
                    <w:tr2bl w:val="nil"/>
                  </w:tcBorders>
                  <w:shd w:val="clear" w:color="auto" w:fill="auto"/>
                  <w:noWrap/>
                  <w:tcMar>
                    <w:left w:w="40" w:type="dxa"/>
                    <w:right w:w="175" w:type="dxa"/>
                  </w:tcMar>
                  <w:vAlign w:val="bottom"/>
                </w:tcPr>
                <w:p w14:paraId="466626D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(81)</w:t>
                  </w:r>
                </w:p>
              </w:tc>
              <w:tc>
                <w:tcPr>
                  <w:tcW w:w="1109" w:type="dxa"/>
                  <w:tcBorders>
                    <w:top w:val="nil"/>
                    <w:left w:val="nil"/>
                    <w:bottom w:val="nil"/>
                    <w:right w:val="nil"/>
                    <w:tl2br w:val="nil"/>
                    <w:tr2bl w:val="nil"/>
                  </w:tcBorders>
                  <w:shd w:val="clear" w:color="auto" w:fill="auto"/>
                  <w:noWrap/>
                  <w:tcMar>
                    <w:left w:w="40" w:type="dxa"/>
                    <w:right w:w="175" w:type="dxa"/>
                  </w:tcMar>
                  <w:vAlign w:val="bottom"/>
                </w:tcPr>
                <w:p w14:paraId="57ED2E8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(102)</w:t>
                  </w:r>
                </w:p>
              </w:tc>
              <w:tc>
                <w:tcPr>
                  <w:tcW w:w="1052" w:type="dxa"/>
                  <w:tcBorders>
                    <w:top w:val="nil"/>
                    <w:left w:val="nil"/>
                    <w:bottom w:val="nil"/>
                    <w:right w:val="nil"/>
                    <w:tl2br w:val="nil"/>
                    <w:tr2bl w:val="nil"/>
                  </w:tcBorders>
                  <w:shd w:val="clear" w:color="auto" w:fill="auto"/>
                  <w:noWrap/>
                  <w:tcMar>
                    <w:left w:w="40" w:type="dxa"/>
                    <w:right w:w="175" w:type="dxa"/>
                  </w:tcMar>
                  <w:vAlign w:val="bottom"/>
                </w:tcPr>
                <w:p w14:paraId="411F70E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(110)</w:t>
                  </w: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6E3BF32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(48)</w:t>
                  </w:r>
                </w:p>
              </w:tc>
            </w:tr>
            <w:tr w:rsidR="00306E02" w:rsidRPr="0085581F" w14:paraId="578D3290"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0724036C"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Deferred taxes and current taxes with respect to disposal of properties</w:t>
                  </w:r>
                </w:p>
              </w:tc>
              <w:tc>
                <w:tcPr>
                  <w:tcW w:w="881" w:type="dxa"/>
                  <w:tcBorders>
                    <w:top w:val="nil"/>
                    <w:left w:val="nil"/>
                    <w:bottom w:val="nil"/>
                    <w:right w:val="nil"/>
                    <w:tl2br w:val="nil"/>
                    <w:tr2bl w:val="nil"/>
                  </w:tcBorders>
                  <w:shd w:val="clear" w:color="auto" w:fill="auto"/>
                  <w:noWrap/>
                  <w:tcMar>
                    <w:left w:w="40" w:type="dxa"/>
                    <w:right w:w="175" w:type="dxa"/>
                  </w:tcMar>
                  <w:vAlign w:val="bottom"/>
                </w:tcPr>
                <w:p w14:paraId="0BA408C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114</w:t>
                  </w:r>
                </w:p>
              </w:tc>
              <w:tc>
                <w:tcPr>
                  <w:tcW w:w="978" w:type="dxa"/>
                  <w:tcBorders>
                    <w:top w:val="nil"/>
                    <w:left w:val="nil"/>
                    <w:bottom w:val="nil"/>
                    <w:right w:val="nil"/>
                    <w:tl2br w:val="nil"/>
                    <w:tr2bl w:val="nil"/>
                  </w:tcBorders>
                  <w:shd w:val="clear" w:color="auto" w:fill="auto"/>
                  <w:noWrap/>
                  <w:tcMar>
                    <w:left w:w="40" w:type="dxa"/>
                    <w:right w:w="175" w:type="dxa"/>
                  </w:tcMar>
                  <w:vAlign w:val="bottom"/>
                </w:tcPr>
                <w:p w14:paraId="2EF152C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24</w:t>
                  </w:r>
                </w:p>
              </w:tc>
              <w:tc>
                <w:tcPr>
                  <w:tcW w:w="1109" w:type="dxa"/>
                  <w:tcBorders>
                    <w:top w:val="nil"/>
                    <w:left w:val="nil"/>
                    <w:bottom w:val="nil"/>
                    <w:right w:val="nil"/>
                    <w:tl2br w:val="nil"/>
                    <w:tr2bl w:val="nil"/>
                  </w:tcBorders>
                  <w:shd w:val="clear" w:color="auto" w:fill="auto"/>
                  <w:noWrap/>
                  <w:tcMar>
                    <w:left w:w="40" w:type="dxa"/>
                    <w:right w:w="175" w:type="dxa"/>
                  </w:tcMar>
                  <w:vAlign w:val="bottom"/>
                </w:tcPr>
                <w:p w14:paraId="7B021EC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72</w:t>
                  </w:r>
                </w:p>
              </w:tc>
              <w:tc>
                <w:tcPr>
                  <w:tcW w:w="1052" w:type="dxa"/>
                  <w:tcBorders>
                    <w:top w:val="nil"/>
                    <w:left w:val="nil"/>
                    <w:bottom w:val="nil"/>
                    <w:right w:val="nil"/>
                    <w:tl2br w:val="nil"/>
                    <w:tr2bl w:val="nil"/>
                  </w:tcBorders>
                  <w:shd w:val="clear" w:color="auto" w:fill="auto"/>
                  <w:noWrap/>
                  <w:tcMar>
                    <w:left w:w="40" w:type="dxa"/>
                    <w:right w:w="175" w:type="dxa"/>
                  </w:tcMar>
                  <w:vAlign w:val="bottom"/>
                </w:tcPr>
                <w:p w14:paraId="1B6444E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62</w:t>
                  </w: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70B47F8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94</w:t>
                  </w:r>
                </w:p>
              </w:tc>
            </w:tr>
            <w:tr w:rsidR="00306E02" w:rsidRPr="0085581F" w14:paraId="6E6B8B67"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5ED993F4"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Non-controlling interests' share in above adjustments</w:t>
                  </w:r>
                </w:p>
              </w:tc>
              <w:tc>
                <w:tcPr>
                  <w:tcW w:w="881"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C0DE91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137</w:t>
                  </w:r>
                </w:p>
              </w:tc>
              <w:tc>
                <w:tcPr>
                  <w:tcW w:w="978"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CB3A49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143</w:t>
                  </w:r>
                </w:p>
              </w:tc>
              <w:tc>
                <w:tcPr>
                  <w:tcW w:w="1109"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2BF210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23</w:t>
                  </w:r>
                </w:p>
              </w:tc>
              <w:tc>
                <w:tcPr>
                  <w:tcW w:w="105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9621AD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54</w:t>
                  </w: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3ADD25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(275)</w:t>
                  </w:r>
                </w:p>
              </w:tc>
            </w:tr>
            <w:tr w:rsidR="00306E02" w:rsidRPr="0085581F" w14:paraId="69052663"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2ECFDDFD"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Nominal FFO (EPRA Earnings)</w:t>
                  </w:r>
                </w:p>
              </w:tc>
              <w:tc>
                <w:tcPr>
                  <w:tcW w:w="881"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7783F83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17</w:t>
                  </w:r>
                </w:p>
              </w:tc>
              <w:tc>
                <w:tcPr>
                  <w:tcW w:w="978"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1CD656D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(5)</w:t>
                  </w:r>
                </w:p>
              </w:tc>
              <w:tc>
                <w:tcPr>
                  <w:tcW w:w="1109"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5CEF99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(26)</w:t>
                  </w:r>
                </w:p>
              </w:tc>
              <w:tc>
                <w:tcPr>
                  <w:tcW w:w="1052"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5049A3C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(8)</w:t>
                  </w:r>
                </w:p>
              </w:tc>
              <w:tc>
                <w:tcPr>
                  <w:tcW w:w="1117"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41D745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146</w:t>
                  </w:r>
                </w:p>
              </w:tc>
            </w:tr>
            <w:tr w:rsidR="00306E02" w:rsidRPr="0085581F" w14:paraId="17F2D0DF"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0" w:type="dxa"/>
                    <w:right w:w="135" w:type="dxa"/>
                  </w:tcMar>
                  <w:vAlign w:val="bottom"/>
                </w:tcPr>
                <w:p w14:paraId="059E9CAE"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881"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0ED643A"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978"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E2AD492"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1109"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C29B429"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1052"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6F181E8"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1117"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A11623E"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r>
            <w:tr w:rsidR="00306E02" w:rsidRPr="0085581F" w14:paraId="393B35EA"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5943C783"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u w:val="single"/>
                    </w:rPr>
                  </w:pPr>
                  <w:r w:rsidRPr="0085581F">
                    <w:rPr>
                      <w:rFonts w:asciiTheme="majorBidi" w:hAnsiTheme="majorBidi" w:cstheme="majorBidi"/>
                      <w:color w:val="000000"/>
                      <w:sz w:val="18"/>
                      <w:szCs w:val="18"/>
                      <w:u w:val="single"/>
                    </w:rPr>
                    <w:t>Additional adjustments:</w:t>
                  </w:r>
                </w:p>
              </w:tc>
              <w:tc>
                <w:tcPr>
                  <w:tcW w:w="881" w:type="dxa"/>
                  <w:tcBorders>
                    <w:top w:val="nil"/>
                    <w:left w:val="nil"/>
                    <w:bottom w:val="nil"/>
                    <w:right w:val="nil"/>
                    <w:tl2br w:val="nil"/>
                    <w:tr2bl w:val="nil"/>
                  </w:tcBorders>
                  <w:shd w:val="clear" w:color="auto" w:fill="auto"/>
                  <w:noWrap/>
                  <w:tcMar>
                    <w:left w:w="0" w:type="dxa"/>
                    <w:right w:w="135" w:type="dxa"/>
                  </w:tcMar>
                  <w:vAlign w:val="bottom"/>
                </w:tcPr>
                <w:p w14:paraId="1849D7E4"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978" w:type="dxa"/>
                  <w:tcBorders>
                    <w:top w:val="nil"/>
                    <w:left w:val="nil"/>
                    <w:bottom w:val="nil"/>
                    <w:right w:val="nil"/>
                    <w:tl2br w:val="nil"/>
                    <w:tr2bl w:val="nil"/>
                  </w:tcBorders>
                  <w:shd w:val="clear" w:color="auto" w:fill="auto"/>
                  <w:noWrap/>
                  <w:tcMar>
                    <w:left w:w="0" w:type="dxa"/>
                    <w:right w:w="135" w:type="dxa"/>
                  </w:tcMar>
                  <w:vAlign w:val="bottom"/>
                </w:tcPr>
                <w:p w14:paraId="63EBFD7F"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1109" w:type="dxa"/>
                  <w:tcBorders>
                    <w:top w:val="nil"/>
                    <w:left w:val="nil"/>
                    <w:bottom w:val="nil"/>
                    <w:right w:val="nil"/>
                    <w:tl2br w:val="nil"/>
                    <w:tr2bl w:val="nil"/>
                  </w:tcBorders>
                  <w:shd w:val="clear" w:color="auto" w:fill="auto"/>
                  <w:noWrap/>
                  <w:tcMar>
                    <w:left w:w="0" w:type="dxa"/>
                    <w:right w:w="135" w:type="dxa"/>
                  </w:tcMar>
                  <w:vAlign w:val="bottom"/>
                </w:tcPr>
                <w:p w14:paraId="6F68EFC3"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1052" w:type="dxa"/>
                  <w:tcBorders>
                    <w:top w:val="nil"/>
                    <w:left w:val="nil"/>
                    <w:bottom w:val="nil"/>
                    <w:right w:val="nil"/>
                    <w:tl2br w:val="nil"/>
                    <w:tr2bl w:val="nil"/>
                  </w:tcBorders>
                  <w:shd w:val="clear" w:color="auto" w:fill="auto"/>
                  <w:noWrap/>
                  <w:tcMar>
                    <w:left w:w="0" w:type="dxa"/>
                    <w:right w:w="135" w:type="dxa"/>
                  </w:tcMar>
                  <w:vAlign w:val="bottom"/>
                </w:tcPr>
                <w:p w14:paraId="27C30AFF"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1117" w:type="dxa"/>
                  <w:tcBorders>
                    <w:top w:val="nil"/>
                    <w:left w:val="nil"/>
                    <w:bottom w:val="nil"/>
                    <w:right w:val="nil"/>
                    <w:tl2br w:val="nil"/>
                    <w:tr2bl w:val="nil"/>
                  </w:tcBorders>
                  <w:shd w:val="clear" w:color="auto" w:fill="auto"/>
                  <w:noWrap/>
                  <w:tcMar>
                    <w:left w:w="0" w:type="dxa"/>
                    <w:right w:w="135" w:type="dxa"/>
                  </w:tcMar>
                  <w:vAlign w:val="bottom"/>
                </w:tcPr>
                <w:p w14:paraId="0089958F"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r>
            <w:tr w:rsidR="00306E02" w:rsidRPr="0085581F" w14:paraId="3CF6F2D8"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2F9016DF"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CPI and exchange rate linkage differentials</w:t>
                  </w:r>
                </w:p>
              </w:tc>
              <w:tc>
                <w:tcPr>
                  <w:tcW w:w="881" w:type="dxa"/>
                  <w:tcBorders>
                    <w:top w:val="nil"/>
                    <w:left w:val="nil"/>
                    <w:bottom w:val="nil"/>
                    <w:right w:val="nil"/>
                    <w:tl2br w:val="nil"/>
                    <w:tr2bl w:val="nil"/>
                  </w:tcBorders>
                  <w:shd w:val="clear" w:color="auto" w:fill="auto"/>
                  <w:noWrap/>
                  <w:tcMar>
                    <w:left w:w="40" w:type="dxa"/>
                    <w:right w:w="175" w:type="dxa"/>
                  </w:tcMar>
                  <w:vAlign w:val="bottom"/>
                </w:tcPr>
                <w:p w14:paraId="45CA252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180</w:t>
                  </w:r>
                </w:p>
              </w:tc>
              <w:tc>
                <w:tcPr>
                  <w:tcW w:w="978" w:type="dxa"/>
                  <w:tcBorders>
                    <w:top w:val="nil"/>
                    <w:left w:val="nil"/>
                    <w:bottom w:val="nil"/>
                    <w:right w:val="nil"/>
                    <w:tl2br w:val="nil"/>
                    <w:tr2bl w:val="nil"/>
                  </w:tcBorders>
                  <w:shd w:val="clear" w:color="auto" w:fill="auto"/>
                  <w:noWrap/>
                  <w:tcMar>
                    <w:left w:w="40" w:type="dxa"/>
                    <w:right w:w="175" w:type="dxa"/>
                  </w:tcMar>
                  <w:vAlign w:val="bottom"/>
                </w:tcPr>
                <w:p w14:paraId="77012A1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252</w:t>
                  </w:r>
                </w:p>
              </w:tc>
              <w:tc>
                <w:tcPr>
                  <w:tcW w:w="1109" w:type="dxa"/>
                  <w:tcBorders>
                    <w:top w:val="nil"/>
                    <w:left w:val="nil"/>
                    <w:bottom w:val="nil"/>
                    <w:right w:val="nil"/>
                    <w:tl2br w:val="nil"/>
                    <w:tr2bl w:val="nil"/>
                  </w:tcBorders>
                  <w:shd w:val="clear" w:color="auto" w:fill="auto"/>
                  <w:noWrap/>
                  <w:tcMar>
                    <w:left w:w="40" w:type="dxa"/>
                    <w:right w:w="175" w:type="dxa"/>
                  </w:tcMar>
                  <w:vAlign w:val="bottom"/>
                </w:tcPr>
                <w:p w14:paraId="02B82F5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145</w:t>
                  </w:r>
                </w:p>
              </w:tc>
              <w:tc>
                <w:tcPr>
                  <w:tcW w:w="1052" w:type="dxa"/>
                  <w:tcBorders>
                    <w:top w:val="nil"/>
                    <w:left w:val="nil"/>
                    <w:bottom w:val="nil"/>
                    <w:right w:val="nil"/>
                    <w:tl2br w:val="nil"/>
                    <w:tr2bl w:val="nil"/>
                  </w:tcBorders>
                  <w:shd w:val="clear" w:color="auto" w:fill="auto"/>
                  <w:noWrap/>
                  <w:tcMar>
                    <w:left w:w="40" w:type="dxa"/>
                    <w:right w:w="175" w:type="dxa"/>
                  </w:tcMar>
                  <w:vAlign w:val="bottom"/>
                </w:tcPr>
                <w:p w14:paraId="6EFCC9A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141</w:t>
                  </w: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72D0526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328</w:t>
                  </w:r>
                </w:p>
              </w:tc>
            </w:tr>
            <w:tr w:rsidR="00306E02" w:rsidRPr="0085581F" w14:paraId="6A29D2B7"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68CF1AD0"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Depreciation and amortization</w:t>
                  </w:r>
                </w:p>
              </w:tc>
              <w:tc>
                <w:tcPr>
                  <w:tcW w:w="881" w:type="dxa"/>
                  <w:tcBorders>
                    <w:top w:val="nil"/>
                    <w:left w:val="nil"/>
                    <w:bottom w:val="nil"/>
                    <w:right w:val="nil"/>
                    <w:tl2br w:val="nil"/>
                    <w:tr2bl w:val="nil"/>
                  </w:tcBorders>
                  <w:shd w:val="clear" w:color="auto" w:fill="auto"/>
                  <w:noWrap/>
                  <w:tcMar>
                    <w:left w:w="40" w:type="dxa"/>
                    <w:right w:w="175" w:type="dxa"/>
                  </w:tcMar>
                  <w:vAlign w:val="bottom"/>
                </w:tcPr>
                <w:p w14:paraId="6C448F4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9</w:t>
                  </w:r>
                </w:p>
              </w:tc>
              <w:tc>
                <w:tcPr>
                  <w:tcW w:w="978" w:type="dxa"/>
                  <w:tcBorders>
                    <w:top w:val="nil"/>
                    <w:left w:val="nil"/>
                    <w:bottom w:val="nil"/>
                    <w:right w:val="nil"/>
                    <w:tl2br w:val="nil"/>
                    <w:tr2bl w:val="nil"/>
                  </w:tcBorders>
                  <w:shd w:val="clear" w:color="auto" w:fill="auto"/>
                  <w:noWrap/>
                  <w:tcMar>
                    <w:left w:w="40" w:type="dxa"/>
                    <w:right w:w="175" w:type="dxa"/>
                  </w:tcMar>
                  <w:vAlign w:val="bottom"/>
                </w:tcPr>
                <w:p w14:paraId="1D3A72D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11</w:t>
                  </w:r>
                </w:p>
              </w:tc>
              <w:tc>
                <w:tcPr>
                  <w:tcW w:w="1109" w:type="dxa"/>
                  <w:tcBorders>
                    <w:top w:val="nil"/>
                    <w:left w:val="nil"/>
                    <w:bottom w:val="nil"/>
                    <w:right w:val="nil"/>
                    <w:tl2br w:val="nil"/>
                    <w:tr2bl w:val="nil"/>
                  </w:tcBorders>
                  <w:shd w:val="clear" w:color="auto" w:fill="auto"/>
                  <w:noWrap/>
                  <w:tcMar>
                    <w:left w:w="40" w:type="dxa"/>
                    <w:right w:w="175" w:type="dxa"/>
                  </w:tcMar>
                  <w:vAlign w:val="bottom"/>
                </w:tcPr>
                <w:p w14:paraId="66544AF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5</w:t>
                  </w:r>
                </w:p>
              </w:tc>
              <w:tc>
                <w:tcPr>
                  <w:tcW w:w="1052" w:type="dxa"/>
                  <w:tcBorders>
                    <w:top w:val="nil"/>
                    <w:left w:val="nil"/>
                    <w:bottom w:val="nil"/>
                    <w:right w:val="nil"/>
                    <w:tl2br w:val="nil"/>
                    <w:tr2bl w:val="nil"/>
                  </w:tcBorders>
                  <w:shd w:val="clear" w:color="auto" w:fill="auto"/>
                  <w:noWrap/>
                  <w:tcMar>
                    <w:left w:w="40" w:type="dxa"/>
                    <w:right w:w="175" w:type="dxa"/>
                  </w:tcMar>
                  <w:vAlign w:val="bottom"/>
                </w:tcPr>
                <w:p w14:paraId="4ACBD92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6</w:t>
                  </w: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0957036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24</w:t>
                  </w:r>
                </w:p>
              </w:tc>
            </w:tr>
            <w:tr w:rsidR="00306E02" w:rsidRPr="0085581F" w14:paraId="77737513"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6185A9F1"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Other adjustments </w:t>
                  </w:r>
                  <w:r w:rsidRPr="0085581F">
                    <w:rPr>
                      <w:rFonts w:asciiTheme="majorBidi" w:hAnsiTheme="majorBidi" w:cstheme="majorBidi"/>
                      <w:color w:val="000000"/>
                      <w:sz w:val="18"/>
                      <w:szCs w:val="18"/>
                      <w:vertAlign w:val="superscript"/>
                    </w:rPr>
                    <w:t>1</w:t>
                  </w:r>
                </w:p>
              </w:tc>
              <w:tc>
                <w:tcPr>
                  <w:tcW w:w="881"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FD57F3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17</w:t>
                  </w:r>
                </w:p>
              </w:tc>
              <w:tc>
                <w:tcPr>
                  <w:tcW w:w="978"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C7EDDD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3</w:t>
                  </w:r>
                </w:p>
              </w:tc>
              <w:tc>
                <w:tcPr>
                  <w:tcW w:w="1109"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A12428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6</w:t>
                  </w:r>
                </w:p>
              </w:tc>
              <w:tc>
                <w:tcPr>
                  <w:tcW w:w="105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98FD7D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w:t>
                  </w: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E582AE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23</w:t>
                  </w:r>
                </w:p>
              </w:tc>
            </w:tr>
            <w:tr w:rsidR="00306E02" w:rsidRPr="0085581F" w14:paraId="168D81E5"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235F55D6" w14:textId="3B0C4193"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FFO according to the management approach</w:t>
                  </w:r>
                  <w:r w:rsidR="00FF2608" w:rsidRPr="0085581F">
                    <w:rPr>
                      <w:rFonts w:asciiTheme="majorBidi" w:hAnsiTheme="majorBidi" w:cstheme="majorBidi"/>
                      <w:color w:val="000000"/>
                      <w:sz w:val="18"/>
                      <w:szCs w:val="18"/>
                    </w:rPr>
                    <w:t xml:space="preserve"> (</w:t>
                  </w:r>
                  <w:r w:rsidRPr="0085581F">
                    <w:rPr>
                      <w:rFonts w:asciiTheme="majorBidi" w:hAnsiTheme="majorBidi" w:cstheme="majorBidi"/>
                      <w:color w:val="000000"/>
                      <w:sz w:val="18"/>
                      <w:szCs w:val="18"/>
                    </w:rPr>
                    <w:t>Adjusted EPRA Earnings)</w:t>
                  </w:r>
                </w:p>
              </w:tc>
              <w:tc>
                <w:tcPr>
                  <w:tcW w:w="881"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1B6CB70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223</w:t>
                  </w:r>
                </w:p>
              </w:tc>
              <w:tc>
                <w:tcPr>
                  <w:tcW w:w="978"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4B5670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261</w:t>
                  </w:r>
                </w:p>
              </w:tc>
              <w:tc>
                <w:tcPr>
                  <w:tcW w:w="1109"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2E3F0E5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130</w:t>
                  </w:r>
                </w:p>
              </w:tc>
              <w:tc>
                <w:tcPr>
                  <w:tcW w:w="1052"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4416681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141</w:t>
                  </w:r>
                </w:p>
              </w:tc>
              <w:tc>
                <w:tcPr>
                  <w:tcW w:w="1117"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2AA4FD1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521</w:t>
                  </w:r>
                </w:p>
              </w:tc>
            </w:tr>
            <w:tr w:rsidR="00306E02" w:rsidRPr="0085581F" w14:paraId="0B7D8B86"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4DBCE650"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FFO per share according to the   management approach (in NIS)</w:t>
                  </w:r>
                </w:p>
              </w:tc>
              <w:tc>
                <w:tcPr>
                  <w:tcW w:w="881"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62DC66C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1.20</w:t>
                  </w:r>
                </w:p>
              </w:tc>
              <w:tc>
                <w:tcPr>
                  <w:tcW w:w="978"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3C5FA05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1.49</w:t>
                  </w:r>
                </w:p>
              </w:tc>
              <w:tc>
                <w:tcPr>
                  <w:tcW w:w="1109"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3B97A88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0.70</w:t>
                  </w:r>
                </w:p>
              </w:tc>
              <w:tc>
                <w:tcPr>
                  <w:tcW w:w="1052"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4428812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0.79</w:t>
                  </w:r>
                </w:p>
              </w:tc>
              <w:tc>
                <w:tcPr>
                  <w:tcW w:w="1117"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60F0A88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2.94</w:t>
                  </w:r>
                </w:p>
              </w:tc>
            </w:tr>
            <w:tr w:rsidR="00306E02" w:rsidRPr="0085581F" w14:paraId="74AE4529"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0" w:type="dxa"/>
                    <w:right w:w="135" w:type="dxa"/>
                  </w:tcMar>
                  <w:vAlign w:val="bottom"/>
                </w:tcPr>
                <w:p w14:paraId="6A5E56AA"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881"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02FA06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p>
              </w:tc>
              <w:tc>
                <w:tcPr>
                  <w:tcW w:w="978"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E2A92A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p>
              </w:tc>
              <w:tc>
                <w:tcPr>
                  <w:tcW w:w="1109"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248B95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p>
              </w:tc>
              <w:tc>
                <w:tcPr>
                  <w:tcW w:w="1052"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AFBA3C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p>
              </w:tc>
              <w:tc>
                <w:tcPr>
                  <w:tcW w:w="1117"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2C82E8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p>
              </w:tc>
            </w:tr>
            <w:tr w:rsidR="00306E02" w:rsidRPr="0085581F" w14:paraId="45887843"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5CA03EB6"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Earnings from early redemption of hybrid debentures</w:t>
                  </w:r>
                </w:p>
              </w:tc>
              <w:tc>
                <w:tcPr>
                  <w:tcW w:w="881" w:type="dxa"/>
                  <w:tcBorders>
                    <w:top w:val="nil"/>
                    <w:left w:val="nil"/>
                    <w:bottom w:val="nil"/>
                    <w:right w:val="nil"/>
                    <w:tl2br w:val="nil"/>
                    <w:tr2bl w:val="nil"/>
                  </w:tcBorders>
                  <w:shd w:val="clear" w:color="auto" w:fill="auto"/>
                  <w:noWrap/>
                  <w:tcMar>
                    <w:left w:w="40" w:type="dxa"/>
                    <w:right w:w="175" w:type="dxa"/>
                  </w:tcMar>
                  <w:vAlign w:val="bottom"/>
                </w:tcPr>
                <w:p w14:paraId="0A92C00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49</w:t>
                  </w:r>
                </w:p>
              </w:tc>
              <w:tc>
                <w:tcPr>
                  <w:tcW w:w="978" w:type="dxa"/>
                  <w:tcBorders>
                    <w:top w:val="nil"/>
                    <w:left w:val="nil"/>
                    <w:bottom w:val="nil"/>
                    <w:right w:val="nil"/>
                    <w:tl2br w:val="nil"/>
                    <w:tr2bl w:val="nil"/>
                  </w:tcBorders>
                  <w:shd w:val="clear" w:color="auto" w:fill="auto"/>
                  <w:noWrap/>
                  <w:tcMar>
                    <w:left w:w="40" w:type="dxa"/>
                    <w:right w:w="175" w:type="dxa"/>
                  </w:tcMar>
                  <w:vAlign w:val="bottom"/>
                </w:tcPr>
                <w:p w14:paraId="3ADDCCA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51</w:t>
                  </w:r>
                </w:p>
              </w:tc>
              <w:tc>
                <w:tcPr>
                  <w:tcW w:w="1109" w:type="dxa"/>
                  <w:tcBorders>
                    <w:top w:val="nil"/>
                    <w:left w:val="nil"/>
                    <w:bottom w:val="nil"/>
                    <w:right w:val="nil"/>
                    <w:tl2br w:val="nil"/>
                    <w:tr2bl w:val="nil"/>
                  </w:tcBorders>
                  <w:shd w:val="clear" w:color="auto" w:fill="auto"/>
                  <w:noWrap/>
                  <w:tcMar>
                    <w:left w:w="40" w:type="dxa"/>
                    <w:right w:w="175" w:type="dxa"/>
                  </w:tcMar>
                  <w:vAlign w:val="bottom"/>
                </w:tcPr>
                <w:p w14:paraId="6A01AD3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34</w:t>
                  </w:r>
                </w:p>
              </w:tc>
              <w:tc>
                <w:tcPr>
                  <w:tcW w:w="1052" w:type="dxa"/>
                  <w:tcBorders>
                    <w:top w:val="nil"/>
                    <w:left w:val="nil"/>
                    <w:bottom w:val="nil"/>
                    <w:right w:val="nil"/>
                    <w:tl2br w:val="nil"/>
                    <w:tr2bl w:val="nil"/>
                  </w:tcBorders>
                  <w:shd w:val="clear" w:color="auto" w:fill="auto"/>
                  <w:noWrap/>
                  <w:tcMar>
                    <w:left w:w="40" w:type="dxa"/>
                    <w:right w:w="175" w:type="dxa"/>
                  </w:tcMar>
                  <w:vAlign w:val="bottom"/>
                </w:tcPr>
                <w:p w14:paraId="5D5DE7F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19</w:t>
                  </w: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7698232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97</w:t>
                  </w:r>
                </w:p>
              </w:tc>
            </w:tr>
            <w:tr w:rsidR="00306E02" w:rsidRPr="0085581F" w14:paraId="2B0996F3"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1F7A8313"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Profits for hybrid debentures</w:t>
                  </w:r>
                </w:p>
              </w:tc>
              <w:tc>
                <w:tcPr>
                  <w:tcW w:w="881"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A03367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(48)</w:t>
                  </w:r>
                </w:p>
              </w:tc>
              <w:tc>
                <w:tcPr>
                  <w:tcW w:w="978"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84E10E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(57)</w:t>
                  </w:r>
                </w:p>
              </w:tc>
              <w:tc>
                <w:tcPr>
                  <w:tcW w:w="1109"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5EC6B2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(24)</w:t>
                  </w:r>
                </w:p>
              </w:tc>
              <w:tc>
                <w:tcPr>
                  <w:tcW w:w="105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9D7983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(29)</w:t>
                  </w: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EF6BEF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(113)</w:t>
                  </w:r>
                </w:p>
              </w:tc>
            </w:tr>
            <w:tr w:rsidR="00306E02" w:rsidRPr="0085581F" w14:paraId="3B7C004B"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0" w:type="dxa"/>
                    <w:right w:w="135" w:type="dxa"/>
                  </w:tcMar>
                  <w:vAlign w:val="bottom"/>
                </w:tcPr>
                <w:p w14:paraId="29F0B41B"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p>
              </w:tc>
              <w:tc>
                <w:tcPr>
                  <w:tcW w:w="881"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23A42C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p>
              </w:tc>
              <w:tc>
                <w:tcPr>
                  <w:tcW w:w="978"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01FC2D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p>
              </w:tc>
              <w:tc>
                <w:tcPr>
                  <w:tcW w:w="110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D83E04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p>
              </w:tc>
              <w:tc>
                <w:tcPr>
                  <w:tcW w:w="1052"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73F893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p>
              </w:tc>
              <w:tc>
                <w:tcPr>
                  <w:tcW w:w="11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B7ED34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p>
              </w:tc>
            </w:tr>
            <w:tr w:rsidR="00306E02" w:rsidRPr="0085581F" w14:paraId="18BA90FE"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1F240B40" w14:textId="737B5A15"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FFO according to the management approach (Adjusted EPRA Earnings)</w:t>
                  </w:r>
                </w:p>
              </w:tc>
              <w:tc>
                <w:tcPr>
                  <w:tcW w:w="881"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4D04D1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224</w:t>
                  </w:r>
                </w:p>
              </w:tc>
              <w:tc>
                <w:tcPr>
                  <w:tcW w:w="978"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62A906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255</w:t>
                  </w:r>
                </w:p>
              </w:tc>
              <w:tc>
                <w:tcPr>
                  <w:tcW w:w="1109"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9F35EF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140</w:t>
                  </w:r>
                </w:p>
              </w:tc>
              <w:tc>
                <w:tcPr>
                  <w:tcW w:w="1052"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7890155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131</w:t>
                  </w:r>
                </w:p>
              </w:tc>
              <w:tc>
                <w:tcPr>
                  <w:tcW w:w="1117"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A90312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505</w:t>
                  </w:r>
                </w:p>
              </w:tc>
            </w:tr>
            <w:tr w:rsidR="00306E02" w:rsidRPr="0085581F" w14:paraId="20205431"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4859225C"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FFO per share according to the   management approach (in NIS)</w:t>
                  </w:r>
                </w:p>
              </w:tc>
              <w:tc>
                <w:tcPr>
                  <w:tcW w:w="881"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1E88053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1.20</w:t>
                  </w:r>
                </w:p>
              </w:tc>
              <w:tc>
                <w:tcPr>
                  <w:tcW w:w="978"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633C774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1.46</w:t>
                  </w:r>
                </w:p>
              </w:tc>
              <w:tc>
                <w:tcPr>
                  <w:tcW w:w="1109"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21B9B5E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0.75</w:t>
                  </w:r>
                </w:p>
              </w:tc>
              <w:tc>
                <w:tcPr>
                  <w:tcW w:w="1052"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6C83BB6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0.73</w:t>
                  </w:r>
                </w:p>
              </w:tc>
              <w:tc>
                <w:tcPr>
                  <w:tcW w:w="1117"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14B9348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2.85</w:t>
                  </w:r>
                </w:p>
              </w:tc>
            </w:tr>
            <w:tr w:rsidR="00306E02" w:rsidRPr="0085581F" w14:paraId="53DBA0F6"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134AA409"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FFO without changes in exchange rates according to management approach</w:t>
                  </w:r>
                </w:p>
              </w:tc>
              <w:tc>
                <w:tcPr>
                  <w:tcW w:w="881"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3183A4A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224</w:t>
                  </w:r>
                </w:p>
              </w:tc>
              <w:tc>
                <w:tcPr>
                  <w:tcW w:w="978"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22500A5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264</w:t>
                  </w:r>
                </w:p>
              </w:tc>
              <w:tc>
                <w:tcPr>
                  <w:tcW w:w="1109"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73A9482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140</w:t>
                  </w:r>
                </w:p>
              </w:tc>
              <w:tc>
                <w:tcPr>
                  <w:tcW w:w="1052"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4041E1E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132</w:t>
                  </w:r>
                </w:p>
              </w:tc>
              <w:tc>
                <w:tcPr>
                  <w:tcW w:w="1117"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A8322D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p>
              </w:tc>
            </w:tr>
            <w:tr w:rsidR="00306E02" w:rsidRPr="0085581F" w14:paraId="2CD51D61"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3E066E13" w14:textId="2B1ECCB5" w:rsidR="0085581F" w:rsidRPr="0085581F" w:rsidRDefault="0085581F" w:rsidP="00306E02">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FFO per share without changes in exchange rates according to management approach (NIS)</w:t>
                  </w:r>
                </w:p>
              </w:tc>
              <w:tc>
                <w:tcPr>
                  <w:tcW w:w="881"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17B9B20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1.20</w:t>
                  </w:r>
                </w:p>
              </w:tc>
              <w:tc>
                <w:tcPr>
                  <w:tcW w:w="978"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49EFC2A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1.51</w:t>
                  </w:r>
                </w:p>
              </w:tc>
              <w:tc>
                <w:tcPr>
                  <w:tcW w:w="1109"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0E0B9A8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0.75</w:t>
                  </w:r>
                </w:p>
              </w:tc>
              <w:tc>
                <w:tcPr>
                  <w:tcW w:w="1052"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6E32D07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0.74</w:t>
                  </w:r>
                </w:p>
              </w:tc>
              <w:tc>
                <w:tcPr>
                  <w:tcW w:w="1117" w:type="dxa"/>
                  <w:tcBorders>
                    <w:top w:val="nil"/>
                    <w:left w:val="nil"/>
                    <w:bottom w:val="nil"/>
                    <w:right w:val="nil"/>
                    <w:tl2br w:val="nil"/>
                    <w:tr2bl w:val="nil"/>
                  </w:tcBorders>
                  <w:shd w:val="clear" w:color="auto" w:fill="auto"/>
                  <w:noWrap/>
                  <w:tcMar>
                    <w:left w:w="0" w:type="dxa"/>
                    <w:right w:w="135" w:type="dxa"/>
                  </w:tcMar>
                  <w:vAlign w:val="bottom"/>
                </w:tcPr>
                <w:p w14:paraId="2E73D59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p>
              </w:tc>
            </w:tr>
            <w:tr w:rsidR="00306E02" w:rsidRPr="0085581F" w14:paraId="1005E939" w14:textId="77777777" w:rsidTr="0030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785" w:type="dxa"/>
                  <w:tcBorders>
                    <w:top w:val="nil"/>
                    <w:left w:val="nil"/>
                    <w:bottom w:val="nil"/>
                    <w:right w:val="nil"/>
                    <w:tl2br w:val="nil"/>
                    <w:tr2bl w:val="nil"/>
                  </w:tcBorders>
                  <w:shd w:val="clear" w:color="auto" w:fill="auto"/>
                  <w:tcMar>
                    <w:left w:w="40" w:type="dxa"/>
                    <w:right w:w="175" w:type="dxa"/>
                  </w:tcMar>
                  <w:vAlign w:val="bottom"/>
                </w:tcPr>
                <w:p w14:paraId="06D4D5D4"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Number of shares used in calculating the FFO per share (in thousands)</w:t>
                  </w:r>
                  <w:r w:rsidRPr="0085581F">
                    <w:rPr>
                      <w:rFonts w:asciiTheme="majorBidi" w:hAnsiTheme="majorBidi" w:cstheme="majorBidi"/>
                      <w:color w:val="000000"/>
                      <w:sz w:val="18"/>
                      <w:szCs w:val="18"/>
                      <w:vertAlign w:val="superscript"/>
                    </w:rPr>
                    <w:t>2</w:t>
                  </w:r>
                </w:p>
              </w:tc>
              <w:tc>
                <w:tcPr>
                  <w:tcW w:w="881"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2E1BD35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186,117</w:t>
                  </w:r>
                </w:p>
              </w:tc>
              <w:tc>
                <w:tcPr>
                  <w:tcW w:w="978"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7C87D30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175,035</w:t>
                  </w:r>
                </w:p>
              </w:tc>
              <w:tc>
                <w:tcPr>
                  <w:tcW w:w="1109"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01B86BC6" w14:textId="167391D0"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p>
              </w:tc>
              <w:tc>
                <w:tcPr>
                  <w:tcW w:w="1052"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1B0B3A8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178,462</w:t>
                  </w:r>
                </w:p>
              </w:tc>
              <w:tc>
                <w:tcPr>
                  <w:tcW w:w="1117"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8D0742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 xml:space="preserve"> 177,052</w:t>
                  </w:r>
                </w:p>
              </w:tc>
            </w:tr>
          </w:tbl>
          <w:p w14:paraId="4DD0E162" w14:textId="77777777" w:rsidR="0085581F" w:rsidRPr="0085581F" w:rsidRDefault="0085581F" w:rsidP="0085581F">
            <w:pPr>
              <w:rPr>
                <w:rFonts w:asciiTheme="majorBidi" w:hAnsiTheme="majorBidi" w:cstheme="majorBidi"/>
              </w:rPr>
            </w:pPr>
          </w:p>
        </w:tc>
      </w:tr>
    </w:tbl>
    <w:p w14:paraId="3B07B267" w14:textId="3B02B312" w:rsidR="0085581F" w:rsidRDefault="0085581F" w:rsidP="0085581F">
      <w:pPr>
        <w:keepNext/>
        <w:keepLines/>
        <w:tabs>
          <w:tab w:val="left" w:pos="425"/>
          <w:tab w:val="left" w:pos="1133"/>
        </w:tabs>
        <w:rPr>
          <w:rFonts w:asciiTheme="majorBidi" w:hAnsiTheme="majorBidi" w:cstheme="majorBidi"/>
          <w:sz w:val="18"/>
          <w:szCs w:val="18"/>
        </w:rPr>
      </w:pPr>
      <w:bookmarkStart w:id="31" w:name="_Hlk109748468"/>
      <w:r w:rsidRPr="0085581F">
        <w:rPr>
          <w:rFonts w:asciiTheme="majorBidi" w:hAnsiTheme="majorBidi" w:cstheme="majorBidi"/>
          <w:sz w:val="18"/>
          <w:szCs w:val="18"/>
        </w:rPr>
        <w:t xml:space="preserve">* It is clarified that the gain/loss component from early repayment of interest-bearing debt is not deducted from the FFO calculation and the gain/loss component from the early redemption of hybrid debentures is added, reflecting the gain/loss from recurring cash flows of the Company’s operations as part of its normal course of business. The FFO data presented above with regard to the 3 and 6 month periods ended on June 30, 2024 were adjusted to the revised method of calculation. The total gain from early redemption of interest-bearing debt included in the FFO calculation for the 6 months ended June 30, 2024 and 2023 is NIS </w:t>
      </w:r>
      <w:r w:rsidR="00E34283">
        <w:rPr>
          <w:rFonts w:asciiTheme="majorBidi" w:hAnsiTheme="majorBidi" w:cstheme="majorBidi"/>
          <w:sz w:val="18"/>
          <w:szCs w:val="18"/>
        </w:rPr>
        <w:t>37</w:t>
      </w:r>
      <w:r w:rsidRPr="0085581F">
        <w:rPr>
          <w:rFonts w:asciiTheme="majorBidi" w:hAnsiTheme="majorBidi" w:cstheme="majorBidi"/>
          <w:sz w:val="18"/>
          <w:szCs w:val="18"/>
        </w:rPr>
        <w:t xml:space="preserve"> million and NIS 87 million, respectively, and for the 3 months ended June 30, 2024 and 2023, it is NIS </w:t>
      </w:r>
      <w:r w:rsidR="00E34283">
        <w:rPr>
          <w:rFonts w:asciiTheme="majorBidi" w:hAnsiTheme="majorBidi" w:cstheme="majorBidi"/>
          <w:sz w:val="18"/>
          <w:szCs w:val="18"/>
        </w:rPr>
        <w:t>18</w:t>
      </w:r>
      <w:r w:rsidRPr="0085581F">
        <w:rPr>
          <w:rFonts w:asciiTheme="majorBidi" w:hAnsiTheme="majorBidi" w:cstheme="majorBidi"/>
          <w:sz w:val="18"/>
          <w:szCs w:val="18"/>
        </w:rPr>
        <w:t xml:space="preserve"> million and NIS 68 million, respectively, and for 2023 it was NIS 160 million. For further information, including future cash flow savings resulting from the buy backs, see below in section 2.4.</w:t>
      </w:r>
    </w:p>
    <w:p w14:paraId="7EDF95DA" w14:textId="77777777" w:rsidR="00FF2608" w:rsidRPr="0085581F" w:rsidRDefault="00FF2608" w:rsidP="0085581F">
      <w:pPr>
        <w:keepNext/>
        <w:keepLines/>
        <w:tabs>
          <w:tab w:val="left" w:pos="425"/>
          <w:tab w:val="left" w:pos="1133"/>
        </w:tabs>
        <w:rPr>
          <w:rFonts w:asciiTheme="majorBidi" w:hAnsiTheme="majorBidi" w:cstheme="majorBidi"/>
          <w:sz w:val="18"/>
          <w:szCs w:val="18"/>
          <w:vertAlign w:val="subscript"/>
        </w:rPr>
      </w:pPr>
    </w:p>
    <w:p w14:paraId="3153DEA7" w14:textId="77777777" w:rsidR="0085581F" w:rsidRPr="00FF2608" w:rsidRDefault="0085581F" w:rsidP="004D7A72">
      <w:pPr>
        <w:keepNext/>
        <w:keepLines/>
        <w:numPr>
          <w:ilvl w:val="6"/>
          <w:numId w:val="27"/>
        </w:numPr>
        <w:tabs>
          <w:tab w:val="left" w:pos="425"/>
          <w:tab w:val="left" w:pos="1133"/>
        </w:tabs>
        <w:ind w:left="425" w:hanging="425"/>
        <w:contextualSpacing/>
        <w:rPr>
          <w:rFonts w:asciiTheme="majorBidi" w:hAnsiTheme="majorBidi" w:cstheme="majorBidi"/>
          <w:sz w:val="16"/>
          <w:szCs w:val="16"/>
          <w:vertAlign w:val="subscript"/>
        </w:rPr>
      </w:pPr>
      <w:r w:rsidRPr="00FF2608">
        <w:rPr>
          <w:rFonts w:asciiTheme="majorBidi" w:hAnsiTheme="majorBidi" w:cstheme="majorBidi"/>
          <w:sz w:val="16"/>
          <w:szCs w:val="16"/>
        </w:rPr>
        <w:t>Income and expenses adjusted against the net income (loss) for the purpose of calculating FFO, which mainly include non-recurring expenses arising from the termination of employment of senior Group officers, share-based compensation expenses and the adjustment of expenses.</w:t>
      </w:r>
    </w:p>
    <w:p w14:paraId="79918036" w14:textId="77777777" w:rsidR="0085581F" w:rsidRPr="00FF2608" w:rsidRDefault="0085581F" w:rsidP="004D7A72">
      <w:pPr>
        <w:keepLines/>
        <w:numPr>
          <w:ilvl w:val="6"/>
          <w:numId w:val="27"/>
        </w:numPr>
        <w:tabs>
          <w:tab w:val="left" w:pos="425"/>
          <w:tab w:val="left" w:pos="1133"/>
        </w:tabs>
        <w:ind w:left="425" w:hanging="425"/>
        <w:contextualSpacing/>
        <w:rPr>
          <w:rFonts w:asciiTheme="majorBidi" w:hAnsiTheme="majorBidi" w:cstheme="majorBidi"/>
          <w:sz w:val="16"/>
          <w:szCs w:val="16"/>
          <w:vertAlign w:val="subscript"/>
        </w:rPr>
      </w:pPr>
      <w:r w:rsidRPr="00FF2608">
        <w:rPr>
          <w:rFonts w:asciiTheme="majorBidi" w:hAnsiTheme="majorBidi" w:cstheme="majorBidi"/>
          <w:sz w:val="16"/>
          <w:szCs w:val="16"/>
        </w:rPr>
        <w:t>Average weighted for the period.</w:t>
      </w:r>
      <w:bookmarkEnd w:id="31"/>
    </w:p>
    <w:p w14:paraId="5DF085C3" w14:textId="77777777" w:rsidR="0085581F" w:rsidRPr="0085581F" w:rsidRDefault="0085581F" w:rsidP="0085581F">
      <w:pPr>
        <w:keepNext/>
        <w:keepLines/>
        <w:tabs>
          <w:tab w:val="left" w:pos="1133"/>
        </w:tabs>
        <w:contextualSpacing/>
        <w:rPr>
          <w:rFonts w:asciiTheme="majorBidi" w:hAnsiTheme="majorBidi" w:cstheme="majorBidi"/>
          <w:sz w:val="21"/>
          <w:szCs w:val="21"/>
        </w:rPr>
      </w:pPr>
      <w:r w:rsidRPr="0085581F">
        <w:rPr>
          <w:rFonts w:asciiTheme="majorBidi" w:hAnsiTheme="majorBidi" w:cstheme="majorBidi"/>
          <w:sz w:val="21"/>
        </w:rPr>
        <w:lastRenderedPageBreak/>
        <w:t>Below is a breakdown of FFO 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85581F" w:rsidRPr="0085581F" w14:paraId="216ECF32" w14:textId="77777777" w:rsidTr="00A65A6F">
        <w:trPr>
          <w:cantSplit/>
        </w:trPr>
        <w:tc>
          <w:tcPr>
            <w:tcW w:w="9921" w:type="dxa"/>
          </w:tcPr>
          <w:tbl>
            <w:tblPr>
              <w:tblStyle w:val="CDMRange220"/>
              <w:tblW w:w="9922" w:type="dxa"/>
              <w:tblLook w:val="0600" w:firstRow="0" w:lastRow="0" w:firstColumn="0" w:lastColumn="0" w:noHBand="1" w:noVBand="1"/>
              <w:tblCaption w:val="Print_Area"/>
            </w:tblPr>
            <w:tblGrid>
              <w:gridCol w:w="4416"/>
              <w:gridCol w:w="955"/>
              <w:gridCol w:w="993"/>
              <w:gridCol w:w="1146"/>
              <w:gridCol w:w="995"/>
              <w:gridCol w:w="1417"/>
            </w:tblGrid>
            <w:tr w:rsidR="0085581F" w:rsidRPr="00306E02" w14:paraId="3232B415" w14:textId="77777777" w:rsidTr="00A65A6F">
              <w:trPr>
                <w:trHeight w:val="289"/>
              </w:trPr>
              <w:tc>
                <w:tcPr>
                  <w:tcW w:w="4427" w:type="dxa"/>
                  <w:tcBorders>
                    <w:top w:val="nil"/>
                    <w:left w:val="nil"/>
                    <w:bottom w:val="nil"/>
                    <w:right w:val="nil"/>
                    <w:tl2br w:val="nil"/>
                    <w:tr2bl w:val="nil"/>
                  </w:tcBorders>
                  <w:shd w:val="clear" w:color="FFFFFF" w:fill="000031"/>
                  <w:noWrap/>
                  <w:tcMar>
                    <w:left w:w="0" w:type="dxa"/>
                    <w:right w:w="0" w:type="dxa"/>
                  </w:tcMar>
                  <w:vAlign w:val="bottom"/>
                </w:tcPr>
                <w:p w14:paraId="6F486447" w14:textId="77777777" w:rsidR="0085581F" w:rsidRPr="00306E02" w:rsidRDefault="0085581F" w:rsidP="0085581F">
                  <w:pPr>
                    <w:spacing w:before="0" w:after="0" w:line="240" w:lineRule="auto"/>
                    <w:jc w:val="left"/>
                    <w:rPr>
                      <w:rFonts w:asciiTheme="majorBidi" w:eastAsia="Ploni ML Medium AAA Medium" w:hAnsiTheme="majorBidi" w:cstheme="majorBidi"/>
                      <w:color w:val="000000"/>
                      <w:sz w:val="21"/>
                      <w:szCs w:val="21"/>
                    </w:rPr>
                  </w:pPr>
                </w:p>
              </w:tc>
              <w:tc>
                <w:tcPr>
                  <w:tcW w:w="1942" w:type="dxa"/>
                  <w:gridSpan w:val="2"/>
                  <w:tcBorders>
                    <w:top w:val="nil"/>
                    <w:left w:val="nil"/>
                    <w:bottom w:val="nil"/>
                    <w:right w:val="nil"/>
                    <w:tl2br w:val="nil"/>
                    <w:tr2bl w:val="nil"/>
                  </w:tcBorders>
                  <w:shd w:val="clear" w:color="FFFFFF" w:fill="000031"/>
                  <w:tcMar>
                    <w:left w:w="40" w:type="dxa"/>
                    <w:right w:w="40" w:type="dxa"/>
                  </w:tcMar>
                  <w:vAlign w:val="bottom"/>
                </w:tcPr>
                <w:p w14:paraId="473BDAD9" w14:textId="77777777" w:rsidR="0085581F" w:rsidRPr="00306E02" w:rsidRDefault="0085581F" w:rsidP="0085581F">
                  <w:pPr>
                    <w:spacing w:before="0" w:after="0" w:line="240" w:lineRule="auto"/>
                    <w:jc w:val="center"/>
                    <w:rPr>
                      <w:rFonts w:asciiTheme="majorBidi" w:eastAsia="Ploni ML Medium AAA Medium" w:hAnsiTheme="majorBidi" w:cstheme="majorBidi"/>
                      <w:b/>
                      <w:color w:val="FFFFFF"/>
                      <w:sz w:val="21"/>
                      <w:szCs w:val="21"/>
                    </w:rPr>
                  </w:pPr>
                  <w:r w:rsidRPr="00306E02">
                    <w:rPr>
                      <w:rFonts w:asciiTheme="majorBidi" w:hAnsiTheme="majorBidi" w:cstheme="majorBidi"/>
                      <w:b/>
                      <w:color w:val="FFFFFF"/>
                      <w:sz w:val="21"/>
                      <w:szCs w:val="21"/>
                    </w:rPr>
                    <w:t xml:space="preserve">Six months ended </w:t>
                  </w:r>
                </w:p>
                <w:p w14:paraId="5E4795C4" w14:textId="77777777" w:rsidR="0085581F" w:rsidRPr="00306E02" w:rsidRDefault="0085581F" w:rsidP="0085581F">
                  <w:pPr>
                    <w:spacing w:before="0" w:after="0" w:line="240" w:lineRule="auto"/>
                    <w:jc w:val="center"/>
                    <w:rPr>
                      <w:rFonts w:asciiTheme="majorBidi" w:eastAsia="Ploni ML Medium AAA Medium" w:hAnsiTheme="majorBidi" w:cstheme="majorBidi"/>
                      <w:b/>
                      <w:color w:val="FFFFFF"/>
                      <w:sz w:val="21"/>
                      <w:szCs w:val="21"/>
                    </w:rPr>
                  </w:pPr>
                  <w:r w:rsidRPr="00306E02">
                    <w:rPr>
                      <w:rFonts w:asciiTheme="majorBidi" w:hAnsiTheme="majorBidi" w:cstheme="majorBidi"/>
                      <w:b/>
                      <w:color w:val="FFFFFF"/>
                      <w:sz w:val="21"/>
                      <w:szCs w:val="21"/>
                    </w:rPr>
                    <w:t>June 30</w:t>
                  </w:r>
                </w:p>
              </w:tc>
              <w:tc>
                <w:tcPr>
                  <w:tcW w:w="2136" w:type="dxa"/>
                  <w:gridSpan w:val="2"/>
                  <w:tcBorders>
                    <w:top w:val="nil"/>
                    <w:left w:val="nil"/>
                    <w:bottom w:val="nil"/>
                    <w:right w:val="nil"/>
                    <w:tl2br w:val="nil"/>
                    <w:tr2bl w:val="nil"/>
                  </w:tcBorders>
                  <w:shd w:val="clear" w:color="FFFFFF" w:fill="000031"/>
                  <w:tcMar>
                    <w:left w:w="40" w:type="dxa"/>
                    <w:right w:w="40" w:type="dxa"/>
                  </w:tcMar>
                  <w:vAlign w:val="bottom"/>
                </w:tcPr>
                <w:p w14:paraId="7B495F5C" w14:textId="77777777" w:rsidR="0085581F" w:rsidRPr="00306E02" w:rsidRDefault="0085581F" w:rsidP="0085581F">
                  <w:pPr>
                    <w:spacing w:before="0" w:after="0" w:line="240" w:lineRule="auto"/>
                    <w:jc w:val="center"/>
                    <w:rPr>
                      <w:rFonts w:asciiTheme="majorBidi" w:eastAsia="Ploni ML Medium AAA Medium" w:hAnsiTheme="majorBidi" w:cstheme="majorBidi"/>
                      <w:b/>
                      <w:color w:val="FFFFFF"/>
                      <w:sz w:val="21"/>
                      <w:szCs w:val="21"/>
                    </w:rPr>
                  </w:pPr>
                  <w:r w:rsidRPr="00306E02">
                    <w:rPr>
                      <w:rFonts w:asciiTheme="majorBidi" w:hAnsiTheme="majorBidi" w:cstheme="majorBidi"/>
                      <w:b/>
                      <w:color w:val="FFFFFF"/>
                      <w:sz w:val="21"/>
                      <w:szCs w:val="21"/>
                    </w:rPr>
                    <w:t xml:space="preserve">Three months ended </w:t>
                  </w:r>
                </w:p>
                <w:p w14:paraId="48DC407C" w14:textId="77777777" w:rsidR="0085581F" w:rsidRPr="00306E02" w:rsidRDefault="0085581F" w:rsidP="0085581F">
                  <w:pPr>
                    <w:spacing w:before="0" w:after="0" w:line="240" w:lineRule="auto"/>
                    <w:jc w:val="center"/>
                    <w:rPr>
                      <w:rFonts w:asciiTheme="majorBidi" w:eastAsia="Ploni ML Medium AAA Medium" w:hAnsiTheme="majorBidi" w:cstheme="majorBidi"/>
                      <w:b/>
                      <w:color w:val="FFFFFF"/>
                      <w:sz w:val="21"/>
                      <w:szCs w:val="21"/>
                    </w:rPr>
                  </w:pPr>
                  <w:r w:rsidRPr="00306E02">
                    <w:rPr>
                      <w:rFonts w:asciiTheme="majorBidi" w:hAnsiTheme="majorBidi" w:cstheme="majorBidi"/>
                      <w:b/>
                      <w:color w:val="FFFFFF"/>
                      <w:sz w:val="21"/>
                      <w:szCs w:val="21"/>
                    </w:rPr>
                    <w:t>June 30</w:t>
                  </w:r>
                </w:p>
              </w:tc>
              <w:tc>
                <w:tcPr>
                  <w:tcW w:w="1417" w:type="dxa"/>
                  <w:tcBorders>
                    <w:top w:val="nil"/>
                    <w:left w:val="nil"/>
                    <w:bottom w:val="nil"/>
                    <w:right w:val="nil"/>
                    <w:tl2br w:val="nil"/>
                    <w:tr2bl w:val="nil"/>
                  </w:tcBorders>
                  <w:shd w:val="clear" w:color="FFFFFF" w:fill="000031"/>
                  <w:tcMar>
                    <w:left w:w="40" w:type="dxa"/>
                    <w:right w:w="40" w:type="dxa"/>
                  </w:tcMar>
                  <w:vAlign w:val="bottom"/>
                </w:tcPr>
                <w:p w14:paraId="44A2BCD3" w14:textId="77777777" w:rsidR="0085581F" w:rsidRPr="00306E02" w:rsidRDefault="0085581F" w:rsidP="0085581F">
                  <w:pPr>
                    <w:spacing w:before="0" w:after="0" w:line="240" w:lineRule="auto"/>
                    <w:jc w:val="center"/>
                    <w:rPr>
                      <w:rFonts w:asciiTheme="majorBidi" w:eastAsia="Ploni ML Medium AAA Medium" w:hAnsiTheme="majorBidi" w:cstheme="majorBidi"/>
                      <w:b/>
                      <w:color w:val="FFFFFF"/>
                      <w:sz w:val="21"/>
                      <w:szCs w:val="21"/>
                    </w:rPr>
                  </w:pPr>
                  <w:r w:rsidRPr="00306E02">
                    <w:rPr>
                      <w:rFonts w:asciiTheme="majorBidi" w:hAnsiTheme="majorBidi" w:cstheme="majorBidi"/>
                      <w:b/>
                      <w:color w:val="FFFFFF"/>
                      <w:sz w:val="21"/>
                      <w:szCs w:val="21"/>
                    </w:rPr>
                    <w:t>Year ended December 31</w:t>
                  </w:r>
                </w:p>
              </w:tc>
            </w:tr>
            <w:tr w:rsidR="0085581F" w:rsidRPr="00306E02" w14:paraId="5CA08FC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4427" w:type="dxa"/>
                  <w:tcBorders>
                    <w:top w:val="nil"/>
                    <w:left w:val="nil"/>
                    <w:bottom w:val="nil"/>
                    <w:right w:val="nil"/>
                    <w:tl2br w:val="nil"/>
                    <w:tr2bl w:val="nil"/>
                  </w:tcBorders>
                  <w:shd w:val="clear" w:color="auto" w:fill="auto"/>
                  <w:noWrap/>
                  <w:tcMar>
                    <w:left w:w="0" w:type="dxa"/>
                    <w:right w:w="0" w:type="dxa"/>
                  </w:tcMar>
                  <w:vAlign w:val="bottom"/>
                </w:tcPr>
                <w:p w14:paraId="5E3363C4" w14:textId="77777777" w:rsidR="0085581F" w:rsidRPr="00306E02" w:rsidRDefault="0085581F" w:rsidP="0085581F">
                  <w:pPr>
                    <w:spacing w:before="0" w:after="0" w:line="240" w:lineRule="auto"/>
                    <w:jc w:val="left"/>
                    <w:rPr>
                      <w:rFonts w:asciiTheme="majorBidi" w:eastAsia="Ploni ML Medium AAA Medium" w:hAnsiTheme="majorBidi" w:cstheme="majorBidi"/>
                      <w:color w:val="000000"/>
                      <w:sz w:val="21"/>
                      <w:szCs w:val="21"/>
                    </w:rPr>
                  </w:pPr>
                </w:p>
              </w:tc>
              <w:tc>
                <w:tcPr>
                  <w:tcW w:w="952" w:type="dxa"/>
                  <w:tcBorders>
                    <w:top w:val="nil"/>
                    <w:left w:val="nil"/>
                    <w:bottom w:val="nil"/>
                    <w:right w:val="nil"/>
                    <w:tl2br w:val="nil"/>
                    <w:tr2bl w:val="nil"/>
                  </w:tcBorders>
                  <w:shd w:val="clear" w:color="auto" w:fill="auto"/>
                  <w:noWrap/>
                  <w:tcMar>
                    <w:left w:w="40" w:type="dxa"/>
                    <w:right w:w="40" w:type="dxa"/>
                  </w:tcMar>
                  <w:vAlign w:val="bottom"/>
                </w:tcPr>
                <w:p w14:paraId="748743BF" w14:textId="77777777" w:rsidR="0085581F" w:rsidRPr="00306E02" w:rsidRDefault="0085581F" w:rsidP="0085581F">
                  <w:pPr>
                    <w:spacing w:before="0" w:after="0" w:line="240" w:lineRule="auto"/>
                    <w:jc w:val="center"/>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2024</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043EE5A9" w14:textId="77777777" w:rsidR="0085581F" w:rsidRPr="00306E02" w:rsidRDefault="0085581F" w:rsidP="0085581F">
                  <w:pPr>
                    <w:spacing w:before="0" w:after="0" w:line="240" w:lineRule="auto"/>
                    <w:jc w:val="center"/>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2023</w:t>
                  </w:r>
                </w:p>
              </w:tc>
              <w:tc>
                <w:tcPr>
                  <w:tcW w:w="1144" w:type="dxa"/>
                  <w:tcBorders>
                    <w:top w:val="nil"/>
                    <w:left w:val="nil"/>
                    <w:bottom w:val="nil"/>
                    <w:right w:val="nil"/>
                    <w:tl2br w:val="nil"/>
                    <w:tr2bl w:val="nil"/>
                  </w:tcBorders>
                  <w:shd w:val="clear" w:color="auto" w:fill="auto"/>
                  <w:noWrap/>
                  <w:tcMar>
                    <w:left w:w="40" w:type="dxa"/>
                    <w:right w:w="40" w:type="dxa"/>
                  </w:tcMar>
                  <w:vAlign w:val="bottom"/>
                </w:tcPr>
                <w:p w14:paraId="7BFD2DD4" w14:textId="77777777" w:rsidR="0085581F" w:rsidRPr="00306E02" w:rsidRDefault="0085581F" w:rsidP="0085581F">
                  <w:pPr>
                    <w:spacing w:before="0" w:after="0" w:line="240" w:lineRule="auto"/>
                    <w:jc w:val="center"/>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2024</w:t>
                  </w:r>
                </w:p>
              </w:tc>
              <w:tc>
                <w:tcPr>
                  <w:tcW w:w="992" w:type="dxa"/>
                  <w:tcBorders>
                    <w:top w:val="nil"/>
                    <w:left w:val="nil"/>
                    <w:bottom w:val="nil"/>
                    <w:right w:val="nil"/>
                    <w:tl2br w:val="nil"/>
                    <w:tr2bl w:val="nil"/>
                  </w:tcBorders>
                  <w:shd w:val="clear" w:color="auto" w:fill="auto"/>
                  <w:noWrap/>
                  <w:tcMar>
                    <w:left w:w="40" w:type="dxa"/>
                    <w:right w:w="40" w:type="dxa"/>
                  </w:tcMar>
                  <w:vAlign w:val="bottom"/>
                </w:tcPr>
                <w:p w14:paraId="3AD40904" w14:textId="77777777" w:rsidR="0085581F" w:rsidRPr="00306E02" w:rsidRDefault="0085581F" w:rsidP="0085581F">
                  <w:pPr>
                    <w:spacing w:before="0" w:after="0" w:line="240" w:lineRule="auto"/>
                    <w:jc w:val="center"/>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2023</w:t>
                  </w:r>
                </w:p>
              </w:tc>
              <w:tc>
                <w:tcPr>
                  <w:tcW w:w="1417" w:type="dxa"/>
                  <w:tcBorders>
                    <w:top w:val="nil"/>
                    <w:left w:val="nil"/>
                    <w:bottom w:val="nil"/>
                    <w:right w:val="nil"/>
                    <w:tl2br w:val="nil"/>
                    <w:tr2bl w:val="nil"/>
                  </w:tcBorders>
                  <w:shd w:val="clear" w:color="auto" w:fill="auto"/>
                  <w:noWrap/>
                  <w:tcMar>
                    <w:left w:w="40" w:type="dxa"/>
                    <w:right w:w="40" w:type="dxa"/>
                  </w:tcMar>
                  <w:vAlign w:val="bottom"/>
                </w:tcPr>
                <w:p w14:paraId="736AA09D" w14:textId="77777777" w:rsidR="0085581F" w:rsidRPr="00306E02" w:rsidRDefault="0085581F" w:rsidP="0085581F">
                  <w:pPr>
                    <w:spacing w:before="0" w:after="0" w:line="240" w:lineRule="auto"/>
                    <w:jc w:val="center"/>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2023</w:t>
                  </w:r>
                </w:p>
              </w:tc>
            </w:tr>
            <w:tr w:rsidR="0085581F" w:rsidRPr="00306E02" w14:paraId="2F7DEC1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4427" w:type="dxa"/>
                  <w:tcBorders>
                    <w:top w:val="nil"/>
                    <w:left w:val="nil"/>
                    <w:bottom w:val="nil"/>
                    <w:right w:val="nil"/>
                    <w:tl2br w:val="nil"/>
                    <w:tr2bl w:val="nil"/>
                  </w:tcBorders>
                  <w:shd w:val="clear" w:color="FFFFFF" w:fill="000031"/>
                  <w:noWrap/>
                  <w:tcMar>
                    <w:left w:w="0" w:type="dxa"/>
                    <w:right w:w="0" w:type="dxa"/>
                  </w:tcMar>
                  <w:vAlign w:val="bottom"/>
                </w:tcPr>
                <w:p w14:paraId="16B8E977" w14:textId="77777777" w:rsidR="0085581F" w:rsidRPr="00306E02" w:rsidRDefault="0085581F" w:rsidP="0085581F">
                  <w:pPr>
                    <w:spacing w:before="0" w:after="0" w:line="240" w:lineRule="auto"/>
                    <w:jc w:val="left"/>
                    <w:rPr>
                      <w:rFonts w:asciiTheme="majorBidi" w:eastAsia="Ploni ML Medium AAA Medium" w:hAnsiTheme="majorBidi" w:cstheme="majorBidi"/>
                      <w:color w:val="000000"/>
                      <w:sz w:val="21"/>
                      <w:szCs w:val="21"/>
                    </w:rPr>
                  </w:pPr>
                </w:p>
              </w:tc>
              <w:tc>
                <w:tcPr>
                  <w:tcW w:w="5495" w:type="dxa"/>
                  <w:gridSpan w:val="5"/>
                  <w:tcBorders>
                    <w:top w:val="nil"/>
                    <w:left w:val="nil"/>
                    <w:bottom w:val="nil"/>
                    <w:right w:val="nil"/>
                    <w:tl2br w:val="nil"/>
                    <w:tr2bl w:val="nil"/>
                  </w:tcBorders>
                  <w:shd w:val="clear" w:color="FFFFFF" w:fill="000031"/>
                  <w:noWrap/>
                  <w:tcMar>
                    <w:left w:w="40" w:type="dxa"/>
                    <w:right w:w="40" w:type="dxa"/>
                  </w:tcMar>
                  <w:vAlign w:val="bottom"/>
                </w:tcPr>
                <w:p w14:paraId="4EE12CBB" w14:textId="77777777" w:rsidR="0085581F" w:rsidRPr="00306E02" w:rsidRDefault="0085581F" w:rsidP="0085581F">
                  <w:pPr>
                    <w:spacing w:before="0" w:after="0" w:line="240" w:lineRule="auto"/>
                    <w:jc w:val="center"/>
                    <w:rPr>
                      <w:rFonts w:asciiTheme="majorBidi" w:eastAsia="Ploni ML Medium AAA Medium" w:hAnsiTheme="majorBidi" w:cstheme="majorBidi"/>
                      <w:b/>
                      <w:color w:val="FFFFFF"/>
                      <w:sz w:val="21"/>
                      <w:szCs w:val="21"/>
                    </w:rPr>
                  </w:pPr>
                  <w:r w:rsidRPr="00306E02">
                    <w:rPr>
                      <w:rFonts w:asciiTheme="majorBidi" w:hAnsiTheme="majorBidi" w:cstheme="majorBidi"/>
                      <w:b/>
                      <w:color w:val="FFFFFF"/>
                      <w:sz w:val="21"/>
                      <w:szCs w:val="21"/>
                    </w:rPr>
                    <w:t>(NIS millions, other than per share data)</w:t>
                  </w:r>
                </w:p>
              </w:tc>
            </w:tr>
            <w:tr w:rsidR="0085581F" w:rsidRPr="00306E02" w14:paraId="1A6E8FE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4427" w:type="dxa"/>
                  <w:tcBorders>
                    <w:top w:val="nil"/>
                    <w:left w:val="nil"/>
                    <w:bottom w:val="nil"/>
                    <w:right w:val="nil"/>
                    <w:tl2br w:val="nil"/>
                    <w:tr2bl w:val="nil"/>
                  </w:tcBorders>
                  <w:shd w:val="clear" w:color="auto" w:fill="auto"/>
                  <w:noWrap/>
                  <w:tcMar>
                    <w:left w:w="40" w:type="dxa"/>
                    <w:right w:w="175" w:type="dxa"/>
                  </w:tcMar>
                  <w:vAlign w:val="bottom"/>
                </w:tcPr>
                <w:p w14:paraId="0CD7B069" w14:textId="77777777" w:rsidR="0085581F" w:rsidRPr="00306E02" w:rsidRDefault="0085581F" w:rsidP="0085581F">
                  <w:pPr>
                    <w:spacing w:before="0" w:after="0" w:line="240" w:lineRule="auto"/>
                    <w:jc w:val="left"/>
                    <w:rPr>
                      <w:rFonts w:asciiTheme="majorBidi" w:eastAsia="Ploni ML Medium AAA Medium" w:hAnsiTheme="majorBidi" w:cstheme="majorBidi"/>
                      <w:color w:val="000000"/>
                      <w:sz w:val="21"/>
                      <w:szCs w:val="21"/>
                      <w:u w:val="single"/>
                    </w:rPr>
                  </w:pPr>
                  <w:r w:rsidRPr="00306E02">
                    <w:rPr>
                      <w:rFonts w:asciiTheme="majorBidi" w:hAnsiTheme="majorBidi" w:cstheme="majorBidi"/>
                      <w:color w:val="000000"/>
                      <w:sz w:val="21"/>
                      <w:szCs w:val="21"/>
                      <w:u w:val="single"/>
                    </w:rPr>
                    <w:t>Income</w:t>
                  </w:r>
                </w:p>
              </w:tc>
              <w:tc>
                <w:tcPr>
                  <w:tcW w:w="952" w:type="dxa"/>
                  <w:tcBorders>
                    <w:top w:val="nil"/>
                    <w:left w:val="nil"/>
                    <w:bottom w:val="nil"/>
                    <w:right w:val="nil"/>
                    <w:tl2br w:val="nil"/>
                    <w:tr2bl w:val="nil"/>
                  </w:tcBorders>
                  <w:shd w:val="clear" w:color="auto" w:fill="auto"/>
                  <w:noWrap/>
                  <w:tcMar>
                    <w:left w:w="0" w:type="dxa"/>
                    <w:right w:w="135" w:type="dxa"/>
                  </w:tcMar>
                  <w:vAlign w:val="bottom"/>
                </w:tcPr>
                <w:p w14:paraId="49977580"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p>
              </w:tc>
              <w:tc>
                <w:tcPr>
                  <w:tcW w:w="990" w:type="dxa"/>
                  <w:tcBorders>
                    <w:top w:val="nil"/>
                    <w:left w:val="nil"/>
                    <w:bottom w:val="nil"/>
                    <w:right w:val="nil"/>
                    <w:tl2br w:val="nil"/>
                    <w:tr2bl w:val="nil"/>
                  </w:tcBorders>
                  <w:shd w:val="clear" w:color="auto" w:fill="auto"/>
                  <w:noWrap/>
                  <w:tcMar>
                    <w:left w:w="0" w:type="dxa"/>
                    <w:right w:w="135" w:type="dxa"/>
                  </w:tcMar>
                  <w:vAlign w:val="bottom"/>
                </w:tcPr>
                <w:p w14:paraId="528382AB"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p>
              </w:tc>
              <w:tc>
                <w:tcPr>
                  <w:tcW w:w="1144" w:type="dxa"/>
                  <w:tcBorders>
                    <w:top w:val="nil"/>
                    <w:left w:val="nil"/>
                    <w:bottom w:val="nil"/>
                    <w:right w:val="nil"/>
                    <w:tl2br w:val="nil"/>
                    <w:tr2bl w:val="nil"/>
                  </w:tcBorders>
                  <w:shd w:val="clear" w:color="auto" w:fill="auto"/>
                  <w:noWrap/>
                  <w:tcMar>
                    <w:left w:w="0" w:type="dxa"/>
                    <w:right w:w="135" w:type="dxa"/>
                  </w:tcMar>
                  <w:vAlign w:val="bottom"/>
                </w:tcPr>
                <w:p w14:paraId="1A38CBCA"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p>
              </w:tc>
              <w:tc>
                <w:tcPr>
                  <w:tcW w:w="992" w:type="dxa"/>
                  <w:tcBorders>
                    <w:top w:val="nil"/>
                    <w:left w:val="nil"/>
                    <w:bottom w:val="nil"/>
                    <w:right w:val="nil"/>
                    <w:tl2br w:val="nil"/>
                    <w:tr2bl w:val="nil"/>
                  </w:tcBorders>
                  <w:shd w:val="clear" w:color="auto" w:fill="auto"/>
                  <w:noWrap/>
                  <w:tcMar>
                    <w:left w:w="0" w:type="dxa"/>
                    <w:right w:w="135" w:type="dxa"/>
                  </w:tcMar>
                  <w:vAlign w:val="bottom"/>
                </w:tcPr>
                <w:p w14:paraId="0FEECCEB"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p>
              </w:tc>
              <w:tc>
                <w:tcPr>
                  <w:tcW w:w="1417" w:type="dxa"/>
                  <w:tcBorders>
                    <w:top w:val="nil"/>
                    <w:left w:val="nil"/>
                    <w:bottom w:val="nil"/>
                    <w:right w:val="nil"/>
                    <w:tl2br w:val="nil"/>
                    <w:tr2bl w:val="nil"/>
                  </w:tcBorders>
                  <w:shd w:val="clear" w:color="auto" w:fill="auto"/>
                  <w:noWrap/>
                  <w:tcMar>
                    <w:left w:w="0" w:type="dxa"/>
                    <w:right w:w="135" w:type="dxa"/>
                  </w:tcMar>
                  <w:vAlign w:val="bottom"/>
                </w:tcPr>
                <w:p w14:paraId="57380041"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p>
              </w:tc>
            </w:tr>
            <w:tr w:rsidR="0085581F" w:rsidRPr="00306E02" w14:paraId="59DC7CE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4427" w:type="dxa"/>
                  <w:tcBorders>
                    <w:top w:val="nil"/>
                    <w:left w:val="nil"/>
                    <w:bottom w:val="nil"/>
                    <w:right w:val="nil"/>
                    <w:tl2br w:val="nil"/>
                    <w:tr2bl w:val="nil"/>
                  </w:tcBorders>
                  <w:shd w:val="clear" w:color="auto" w:fill="auto"/>
                  <w:noWrap/>
                  <w:tcMar>
                    <w:left w:w="40" w:type="dxa"/>
                    <w:right w:w="175" w:type="dxa"/>
                  </w:tcMar>
                  <w:vAlign w:val="bottom"/>
                </w:tcPr>
                <w:p w14:paraId="1E92BBE0" w14:textId="77777777" w:rsidR="0085581F" w:rsidRPr="00306E02" w:rsidRDefault="0085581F" w:rsidP="0085581F">
                  <w:pPr>
                    <w:spacing w:before="0" w:after="0" w:line="240" w:lineRule="auto"/>
                    <w:jc w:val="lef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NOI from investment property</w:t>
                  </w:r>
                </w:p>
              </w:tc>
              <w:tc>
                <w:tcPr>
                  <w:tcW w:w="952" w:type="dxa"/>
                  <w:tcBorders>
                    <w:top w:val="nil"/>
                    <w:left w:val="nil"/>
                    <w:bottom w:val="nil"/>
                    <w:right w:val="nil"/>
                    <w:tl2br w:val="nil"/>
                    <w:tr2bl w:val="nil"/>
                  </w:tcBorders>
                  <w:shd w:val="clear" w:color="auto" w:fill="auto"/>
                  <w:noWrap/>
                  <w:tcMar>
                    <w:left w:w="40" w:type="dxa"/>
                    <w:right w:w="175" w:type="dxa"/>
                  </w:tcMar>
                  <w:vAlign w:val="bottom"/>
                </w:tcPr>
                <w:p w14:paraId="7E3E53FE"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421</w:t>
                  </w:r>
                </w:p>
              </w:tc>
              <w:tc>
                <w:tcPr>
                  <w:tcW w:w="990" w:type="dxa"/>
                  <w:tcBorders>
                    <w:top w:val="nil"/>
                    <w:left w:val="nil"/>
                    <w:bottom w:val="nil"/>
                    <w:right w:val="nil"/>
                    <w:tl2br w:val="nil"/>
                    <w:tr2bl w:val="nil"/>
                  </w:tcBorders>
                  <w:shd w:val="clear" w:color="auto" w:fill="auto"/>
                  <w:noWrap/>
                  <w:tcMar>
                    <w:left w:w="40" w:type="dxa"/>
                    <w:right w:w="175" w:type="dxa"/>
                  </w:tcMar>
                  <w:vAlign w:val="bottom"/>
                </w:tcPr>
                <w:p w14:paraId="38292C63"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452</w:t>
                  </w:r>
                </w:p>
              </w:tc>
              <w:tc>
                <w:tcPr>
                  <w:tcW w:w="1144" w:type="dxa"/>
                  <w:tcBorders>
                    <w:top w:val="nil"/>
                    <w:left w:val="nil"/>
                    <w:bottom w:val="nil"/>
                    <w:right w:val="nil"/>
                    <w:tl2br w:val="nil"/>
                    <w:tr2bl w:val="nil"/>
                  </w:tcBorders>
                  <w:shd w:val="clear" w:color="auto" w:fill="auto"/>
                  <w:noWrap/>
                  <w:tcMar>
                    <w:left w:w="40" w:type="dxa"/>
                    <w:right w:w="175" w:type="dxa"/>
                  </w:tcMar>
                  <w:vAlign w:val="bottom"/>
                </w:tcPr>
                <w:p w14:paraId="1E98A836"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206</w:t>
                  </w:r>
                </w:p>
              </w:tc>
              <w:tc>
                <w:tcPr>
                  <w:tcW w:w="992" w:type="dxa"/>
                  <w:tcBorders>
                    <w:top w:val="nil"/>
                    <w:left w:val="nil"/>
                    <w:bottom w:val="nil"/>
                    <w:right w:val="nil"/>
                    <w:tl2br w:val="nil"/>
                    <w:tr2bl w:val="nil"/>
                  </w:tcBorders>
                  <w:shd w:val="clear" w:color="auto" w:fill="auto"/>
                  <w:noWrap/>
                  <w:tcMar>
                    <w:left w:w="40" w:type="dxa"/>
                    <w:right w:w="175" w:type="dxa"/>
                  </w:tcMar>
                  <w:vAlign w:val="bottom"/>
                </w:tcPr>
                <w:p w14:paraId="6179D5B7"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224</w:t>
                  </w: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1A08ACDE"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886</w:t>
                  </w:r>
                </w:p>
              </w:tc>
            </w:tr>
            <w:tr w:rsidR="0085581F" w:rsidRPr="00306E02" w14:paraId="4C474AC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4427" w:type="dxa"/>
                  <w:tcBorders>
                    <w:top w:val="nil"/>
                    <w:left w:val="nil"/>
                    <w:bottom w:val="nil"/>
                    <w:right w:val="nil"/>
                    <w:tl2br w:val="nil"/>
                    <w:tr2bl w:val="nil"/>
                  </w:tcBorders>
                  <w:shd w:val="clear" w:color="auto" w:fill="auto"/>
                  <w:noWrap/>
                  <w:tcMar>
                    <w:left w:w="40" w:type="dxa"/>
                    <w:right w:w="175" w:type="dxa"/>
                  </w:tcMar>
                  <w:vAlign w:val="bottom"/>
                </w:tcPr>
                <w:p w14:paraId="7AB0122A" w14:textId="77777777" w:rsidR="0085581F" w:rsidRPr="00306E02" w:rsidRDefault="0085581F" w:rsidP="0085581F">
                  <w:pPr>
                    <w:spacing w:before="0" w:after="0" w:line="240" w:lineRule="auto"/>
                    <w:jc w:val="lef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The Group’s share of CTY’s FFO</w:t>
                  </w:r>
                </w:p>
              </w:tc>
              <w:tc>
                <w:tcPr>
                  <w:tcW w:w="952" w:type="dxa"/>
                  <w:tcBorders>
                    <w:top w:val="nil"/>
                    <w:left w:val="nil"/>
                    <w:bottom w:val="nil"/>
                    <w:right w:val="nil"/>
                    <w:tl2br w:val="nil"/>
                    <w:tr2bl w:val="nil"/>
                  </w:tcBorders>
                  <w:shd w:val="clear" w:color="auto" w:fill="auto"/>
                  <w:noWrap/>
                  <w:tcMar>
                    <w:left w:w="40" w:type="dxa"/>
                    <w:right w:w="175" w:type="dxa"/>
                  </w:tcMar>
                  <w:vAlign w:val="bottom"/>
                </w:tcPr>
                <w:p w14:paraId="4FB5BF35"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87</w:t>
                  </w:r>
                </w:p>
              </w:tc>
              <w:tc>
                <w:tcPr>
                  <w:tcW w:w="990" w:type="dxa"/>
                  <w:tcBorders>
                    <w:top w:val="nil"/>
                    <w:left w:val="nil"/>
                    <w:bottom w:val="nil"/>
                    <w:right w:val="nil"/>
                    <w:tl2br w:val="nil"/>
                    <w:tr2bl w:val="nil"/>
                  </w:tcBorders>
                  <w:shd w:val="clear" w:color="auto" w:fill="auto"/>
                  <w:noWrap/>
                  <w:tcMar>
                    <w:left w:w="40" w:type="dxa"/>
                    <w:right w:w="175" w:type="dxa"/>
                  </w:tcMar>
                  <w:vAlign w:val="bottom"/>
                </w:tcPr>
                <w:p w14:paraId="0A75281A" w14:textId="2770751C"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w:t>
                  </w:r>
                  <w:r w:rsidR="00E34283" w:rsidRPr="00306E02">
                    <w:rPr>
                      <w:rFonts w:asciiTheme="majorBidi" w:hAnsiTheme="majorBidi" w:cstheme="majorBidi"/>
                      <w:color w:val="000000"/>
                      <w:sz w:val="21"/>
                      <w:szCs w:val="21"/>
                    </w:rPr>
                    <w:t>120</w:t>
                  </w:r>
                </w:p>
              </w:tc>
              <w:tc>
                <w:tcPr>
                  <w:tcW w:w="1144" w:type="dxa"/>
                  <w:tcBorders>
                    <w:top w:val="nil"/>
                    <w:left w:val="nil"/>
                    <w:bottom w:val="nil"/>
                    <w:right w:val="nil"/>
                    <w:tl2br w:val="nil"/>
                    <w:tr2bl w:val="nil"/>
                  </w:tcBorders>
                  <w:shd w:val="clear" w:color="auto" w:fill="auto"/>
                  <w:noWrap/>
                  <w:tcMar>
                    <w:left w:w="40" w:type="dxa"/>
                    <w:right w:w="175" w:type="dxa"/>
                  </w:tcMar>
                  <w:vAlign w:val="bottom"/>
                </w:tcPr>
                <w:p w14:paraId="4B902ABC"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42</w:t>
                  </w:r>
                </w:p>
              </w:tc>
              <w:tc>
                <w:tcPr>
                  <w:tcW w:w="992" w:type="dxa"/>
                  <w:tcBorders>
                    <w:top w:val="nil"/>
                    <w:left w:val="nil"/>
                    <w:bottom w:val="nil"/>
                    <w:right w:val="nil"/>
                    <w:tl2br w:val="nil"/>
                    <w:tr2bl w:val="nil"/>
                  </w:tcBorders>
                  <w:shd w:val="clear" w:color="auto" w:fill="auto"/>
                  <w:noWrap/>
                  <w:tcMar>
                    <w:left w:w="40" w:type="dxa"/>
                    <w:right w:w="175" w:type="dxa"/>
                  </w:tcMar>
                  <w:vAlign w:val="bottom"/>
                </w:tcPr>
                <w:p w14:paraId="74C45E76"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38</w:t>
                  </w: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2C68D1D9"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174</w:t>
                  </w:r>
                </w:p>
              </w:tc>
            </w:tr>
            <w:tr w:rsidR="0085581F" w:rsidRPr="00306E02" w14:paraId="37D857D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7"/>
              </w:trPr>
              <w:tc>
                <w:tcPr>
                  <w:tcW w:w="4427" w:type="dxa"/>
                  <w:tcBorders>
                    <w:top w:val="nil"/>
                    <w:left w:val="nil"/>
                    <w:bottom w:val="nil"/>
                    <w:right w:val="nil"/>
                    <w:tl2br w:val="nil"/>
                    <w:tr2bl w:val="nil"/>
                  </w:tcBorders>
                  <w:shd w:val="clear" w:color="auto" w:fill="auto"/>
                  <w:noWrap/>
                  <w:tcMar>
                    <w:left w:w="40" w:type="dxa"/>
                    <w:right w:w="175" w:type="dxa"/>
                  </w:tcMar>
                  <w:vAlign w:val="bottom"/>
                </w:tcPr>
                <w:p w14:paraId="660C58B5" w14:textId="77777777" w:rsidR="0085581F" w:rsidRPr="00306E02" w:rsidRDefault="0085581F" w:rsidP="0085581F">
                  <w:pPr>
                    <w:spacing w:before="0" w:after="0" w:line="240" w:lineRule="auto"/>
                    <w:jc w:val="lef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The Group’s share of the FFO of subsidiaries other than CTY </w:t>
                  </w:r>
                </w:p>
              </w:tc>
              <w:tc>
                <w:tcPr>
                  <w:tcW w:w="95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2B3FC3D"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9</w:t>
                  </w:r>
                </w:p>
              </w:tc>
              <w:tc>
                <w:tcPr>
                  <w:tcW w:w="99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DE05387"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18</w:t>
                  </w:r>
                </w:p>
              </w:tc>
              <w:tc>
                <w:tcPr>
                  <w:tcW w:w="1144"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1F131B2"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6</w:t>
                  </w:r>
                </w:p>
              </w:tc>
              <w:tc>
                <w:tcPr>
                  <w:tcW w:w="99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D0C475E"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10</w:t>
                  </w:r>
                </w:p>
              </w:tc>
              <w:tc>
                <w:tcPr>
                  <w:tcW w:w="14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B1AA27D"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32</w:t>
                  </w:r>
                </w:p>
              </w:tc>
            </w:tr>
            <w:tr w:rsidR="0085581F" w:rsidRPr="00306E02" w14:paraId="126F7BE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427" w:type="dxa"/>
                  <w:tcBorders>
                    <w:top w:val="nil"/>
                    <w:left w:val="nil"/>
                    <w:bottom w:val="nil"/>
                    <w:right w:val="nil"/>
                    <w:tl2br w:val="nil"/>
                    <w:tr2bl w:val="nil"/>
                  </w:tcBorders>
                  <w:shd w:val="clear" w:color="auto" w:fill="auto"/>
                  <w:tcMar>
                    <w:left w:w="40" w:type="dxa"/>
                    <w:right w:w="175" w:type="dxa"/>
                  </w:tcMar>
                  <w:vAlign w:val="bottom"/>
                </w:tcPr>
                <w:p w14:paraId="01AFE447" w14:textId="77777777" w:rsidR="0085581F" w:rsidRPr="00306E02" w:rsidRDefault="0085581F" w:rsidP="0085581F">
                  <w:pPr>
                    <w:spacing w:before="0" w:after="0" w:line="240" w:lineRule="auto"/>
                    <w:jc w:val="lef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Total income</w:t>
                  </w:r>
                </w:p>
              </w:tc>
              <w:tc>
                <w:tcPr>
                  <w:tcW w:w="952"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53D5183C"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517</w:t>
                  </w:r>
                </w:p>
              </w:tc>
              <w:tc>
                <w:tcPr>
                  <w:tcW w:w="99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10FA897" w14:textId="0B6A1A12"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w:t>
                  </w:r>
                  <w:r w:rsidR="00E34283" w:rsidRPr="00306E02">
                    <w:rPr>
                      <w:rFonts w:asciiTheme="majorBidi" w:hAnsiTheme="majorBidi" w:cstheme="majorBidi"/>
                      <w:color w:val="000000"/>
                      <w:sz w:val="21"/>
                      <w:szCs w:val="21"/>
                    </w:rPr>
                    <w:t>590</w:t>
                  </w:r>
                </w:p>
              </w:tc>
              <w:tc>
                <w:tcPr>
                  <w:tcW w:w="1144"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40C37DD3"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254</w:t>
                  </w:r>
                </w:p>
              </w:tc>
              <w:tc>
                <w:tcPr>
                  <w:tcW w:w="992"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26BEE0BE"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272</w:t>
                  </w:r>
                </w:p>
              </w:tc>
              <w:tc>
                <w:tcPr>
                  <w:tcW w:w="1417"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03C0B1BE"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1,092</w:t>
                  </w:r>
                </w:p>
              </w:tc>
            </w:tr>
            <w:tr w:rsidR="0085581F" w:rsidRPr="00306E02" w14:paraId="6589428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4427" w:type="dxa"/>
                  <w:tcBorders>
                    <w:top w:val="nil"/>
                    <w:left w:val="nil"/>
                    <w:bottom w:val="nil"/>
                    <w:right w:val="nil"/>
                    <w:tl2br w:val="nil"/>
                    <w:tr2bl w:val="nil"/>
                  </w:tcBorders>
                  <w:shd w:val="clear" w:color="auto" w:fill="auto"/>
                  <w:noWrap/>
                  <w:tcMar>
                    <w:left w:w="0" w:type="dxa"/>
                    <w:right w:w="135" w:type="dxa"/>
                  </w:tcMar>
                  <w:vAlign w:val="bottom"/>
                </w:tcPr>
                <w:p w14:paraId="59F0F108" w14:textId="77777777" w:rsidR="0085581F" w:rsidRPr="00306E02" w:rsidRDefault="0085581F" w:rsidP="0085581F">
                  <w:pPr>
                    <w:spacing w:before="0" w:after="0" w:line="240" w:lineRule="auto"/>
                    <w:jc w:val="left"/>
                    <w:rPr>
                      <w:rFonts w:asciiTheme="majorBidi" w:eastAsia="Ploni ML Medium AAA Medium" w:hAnsiTheme="majorBidi" w:cstheme="majorBidi"/>
                      <w:color w:val="000000"/>
                      <w:sz w:val="21"/>
                      <w:szCs w:val="21"/>
                    </w:rPr>
                  </w:pPr>
                </w:p>
              </w:tc>
              <w:tc>
                <w:tcPr>
                  <w:tcW w:w="952"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B5BAEE1"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p>
              </w:tc>
              <w:tc>
                <w:tcPr>
                  <w:tcW w:w="99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750A196"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p>
              </w:tc>
              <w:tc>
                <w:tcPr>
                  <w:tcW w:w="1144"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B53EC01"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p>
              </w:tc>
              <w:tc>
                <w:tcPr>
                  <w:tcW w:w="992"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D91CD82"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p>
              </w:tc>
              <w:tc>
                <w:tcPr>
                  <w:tcW w:w="1417"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D85EAB1"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p>
              </w:tc>
            </w:tr>
            <w:tr w:rsidR="0085581F" w:rsidRPr="00306E02" w14:paraId="2DA748D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4427" w:type="dxa"/>
                  <w:tcBorders>
                    <w:top w:val="nil"/>
                    <w:left w:val="nil"/>
                    <w:bottom w:val="nil"/>
                    <w:right w:val="nil"/>
                    <w:tl2br w:val="nil"/>
                    <w:tr2bl w:val="nil"/>
                  </w:tcBorders>
                  <w:shd w:val="clear" w:color="auto" w:fill="auto"/>
                  <w:noWrap/>
                  <w:tcMar>
                    <w:left w:w="40" w:type="dxa"/>
                    <w:right w:w="175" w:type="dxa"/>
                  </w:tcMar>
                  <w:vAlign w:val="bottom"/>
                </w:tcPr>
                <w:p w14:paraId="5DC9C753" w14:textId="77777777" w:rsidR="0085581F" w:rsidRPr="00306E02" w:rsidRDefault="0085581F" w:rsidP="0085581F">
                  <w:pPr>
                    <w:spacing w:before="0" w:after="0" w:line="240" w:lineRule="auto"/>
                    <w:jc w:val="left"/>
                    <w:rPr>
                      <w:rFonts w:asciiTheme="majorBidi" w:eastAsia="Ploni ML Medium AAA Medium" w:hAnsiTheme="majorBidi" w:cstheme="majorBidi"/>
                      <w:color w:val="000000"/>
                      <w:sz w:val="21"/>
                      <w:szCs w:val="21"/>
                      <w:u w:val="single"/>
                    </w:rPr>
                  </w:pPr>
                  <w:r w:rsidRPr="00306E02">
                    <w:rPr>
                      <w:rFonts w:asciiTheme="majorBidi" w:hAnsiTheme="majorBidi" w:cstheme="majorBidi"/>
                      <w:color w:val="000000"/>
                      <w:sz w:val="21"/>
                      <w:szCs w:val="21"/>
                      <w:u w:val="single"/>
                    </w:rPr>
                    <w:t>Expenses</w:t>
                  </w:r>
                </w:p>
              </w:tc>
              <w:tc>
                <w:tcPr>
                  <w:tcW w:w="952" w:type="dxa"/>
                  <w:tcBorders>
                    <w:top w:val="nil"/>
                    <w:left w:val="nil"/>
                    <w:bottom w:val="nil"/>
                    <w:right w:val="nil"/>
                    <w:tl2br w:val="nil"/>
                    <w:tr2bl w:val="nil"/>
                  </w:tcBorders>
                  <w:shd w:val="clear" w:color="auto" w:fill="auto"/>
                  <w:noWrap/>
                  <w:tcMar>
                    <w:left w:w="0" w:type="dxa"/>
                    <w:right w:w="135" w:type="dxa"/>
                  </w:tcMar>
                  <w:vAlign w:val="bottom"/>
                </w:tcPr>
                <w:p w14:paraId="20F0A148"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p>
              </w:tc>
              <w:tc>
                <w:tcPr>
                  <w:tcW w:w="990" w:type="dxa"/>
                  <w:tcBorders>
                    <w:top w:val="nil"/>
                    <w:left w:val="nil"/>
                    <w:bottom w:val="nil"/>
                    <w:right w:val="nil"/>
                    <w:tl2br w:val="nil"/>
                    <w:tr2bl w:val="nil"/>
                  </w:tcBorders>
                  <w:shd w:val="clear" w:color="auto" w:fill="auto"/>
                  <w:noWrap/>
                  <w:tcMar>
                    <w:left w:w="0" w:type="dxa"/>
                    <w:right w:w="135" w:type="dxa"/>
                  </w:tcMar>
                  <w:vAlign w:val="bottom"/>
                </w:tcPr>
                <w:p w14:paraId="4A6810BC"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p>
              </w:tc>
              <w:tc>
                <w:tcPr>
                  <w:tcW w:w="1144" w:type="dxa"/>
                  <w:tcBorders>
                    <w:top w:val="nil"/>
                    <w:left w:val="nil"/>
                    <w:bottom w:val="nil"/>
                    <w:right w:val="nil"/>
                    <w:tl2br w:val="nil"/>
                    <w:tr2bl w:val="nil"/>
                  </w:tcBorders>
                  <w:shd w:val="clear" w:color="auto" w:fill="auto"/>
                  <w:noWrap/>
                  <w:tcMar>
                    <w:left w:w="0" w:type="dxa"/>
                    <w:right w:w="135" w:type="dxa"/>
                  </w:tcMar>
                  <w:vAlign w:val="bottom"/>
                </w:tcPr>
                <w:p w14:paraId="1556E460"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p>
              </w:tc>
              <w:tc>
                <w:tcPr>
                  <w:tcW w:w="992" w:type="dxa"/>
                  <w:tcBorders>
                    <w:top w:val="nil"/>
                    <w:left w:val="nil"/>
                    <w:bottom w:val="nil"/>
                    <w:right w:val="nil"/>
                    <w:tl2br w:val="nil"/>
                    <w:tr2bl w:val="nil"/>
                  </w:tcBorders>
                  <w:shd w:val="clear" w:color="auto" w:fill="auto"/>
                  <w:noWrap/>
                  <w:tcMar>
                    <w:left w:w="0" w:type="dxa"/>
                    <w:right w:w="135" w:type="dxa"/>
                  </w:tcMar>
                  <w:vAlign w:val="bottom"/>
                </w:tcPr>
                <w:p w14:paraId="4183F5D1"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p>
              </w:tc>
              <w:tc>
                <w:tcPr>
                  <w:tcW w:w="1417" w:type="dxa"/>
                  <w:tcBorders>
                    <w:top w:val="nil"/>
                    <w:left w:val="nil"/>
                    <w:bottom w:val="nil"/>
                    <w:right w:val="nil"/>
                    <w:tl2br w:val="nil"/>
                    <w:tr2bl w:val="nil"/>
                  </w:tcBorders>
                  <w:shd w:val="clear" w:color="auto" w:fill="auto"/>
                  <w:noWrap/>
                  <w:tcMar>
                    <w:left w:w="0" w:type="dxa"/>
                    <w:right w:w="135" w:type="dxa"/>
                  </w:tcMar>
                  <w:vAlign w:val="bottom"/>
                </w:tcPr>
                <w:p w14:paraId="7E7A1C94"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p>
              </w:tc>
            </w:tr>
            <w:tr w:rsidR="0085581F" w:rsidRPr="00306E02" w14:paraId="4291E7D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4427" w:type="dxa"/>
                  <w:tcBorders>
                    <w:top w:val="nil"/>
                    <w:left w:val="nil"/>
                    <w:bottom w:val="nil"/>
                    <w:right w:val="nil"/>
                    <w:tl2br w:val="nil"/>
                    <w:tr2bl w:val="nil"/>
                  </w:tcBorders>
                  <w:shd w:val="clear" w:color="auto" w:fill="auto"/>
                  <w:noWrap/>
                  <w:tcMar>
                    <w:left w:w="40" w:type="dxa"/>
                    <w:right w:w="175" w:type="dxa"/>
                  </w:tcMar>
                  <w:vAlign w:val="bottom"/>
                </w:tcPr>
                <w:p w14:paraId="05A10E89" w14:textId="77777777" w:rsidR="0085581F" w:rsidRPr="00306E02" w:rsidRDefault="0085581F" w:rsidP="0085581F">
                  <w:pPr>
                    <w:spacing w:before="0" w:after="0" w:line="240" w:lineRule="auto"/>
                    <w:jc w:val="lef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Real financing, net </w:t>
                  </w:r>
                  <w:r w:rsidRPr="00306E02">
                    <w:rPr>
                      <w:rFonts w:asciiTheme="majorBidi" w:hAnsiTheme="majorBidi" w:cstheme="majorBidi"/>
                      <w:color w:val="000000"/>
                      <w:sz w:val="21"/>
                      <w:szCs w:val="21"/>
                      <w:vertAlign w:val="superscript"/>
                    </w:rPr>
                    <w:t>1</w:t>
                  </w:r>
                </w:p>
              </w:tc>
              <w:tc>
                <w:tcPr>
                  <w:tcW w:w="952" w:type="dxa"/>
                  <w:tcBorders>
                    <w:top w:val="nil"/>
                    <w:left w:val="nil"/>
                    <w:bottom w:val="nil"/>
                    <w:right w:val="nil"/>
                    <w:tl2br w:val="nil"/>
                    <w:tr2bl w:val="nil"/>
                  </w:tcBorders>
                  <w:shd w:val="clear" w:color="auto" w:fill="auto"/>
                  <w:noWrap/>
                  <w:tcMar>
                    <w:left w:w="40" w:type="dxa"/>
                    <w:right w:w="175" w:type="dxa"/>
                  </w:tcMar>
                  <w:vAlign w:val="bottom"/>
                </w:tcPr>
                <w:p w14:paraId="0EB74F60"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(202)</w:t>
                  </w:r>
                </w:p>
              </w:tc>
              <w:tc>
                <w:tcPr>
                  <w:tcW w:w="990" w:type="dxa"/>
                  <w:tcBorders>
                    <w:top w:val="nil"/>
                    <w:left w:val="nil"/>
                    <w:bottom w:val="nil"/>
                    <w:right w:val="nil"/>
                    <w:tl2br w:val="nil"/>
                    <w:tr2bl w:val="nil"/>
                  </w:tcBorders>
                  <w:shd w:val="clear" w:color="auto" w:fill="auto"/>
                  <w:noWrap/>
                  <w:tcMar>
                    <w:left w:w="40" w:type="dxa"/>
                    <w:right w:w="175" w:type="dxa"/>
                  </w:tcMar>
                  <w:vAlign w:val="bottom"/>
                </w:tcPr>
                <w:p w14:paraId="296CD2CB" w14:textId="383CBFE0"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w:t>
                  </w:r>
                  <w:r w:rsidR="00E34283" w:rsidRPr="00306E02">
                    <w:rPr>
                      <w:rFonts w:asciiTheme="majorBidi" w:hAnsiTheme="majorBidi" w:cstheme="majorBidi"/>
                      <w:color w:val="000000"/>
                      <w:sz w:val="21"/>
                      <w:szCs w:val="21"/>
                    </w:rPr>
                    <w:t>239</w:t>
                  </w:r>
                  <w:r w:rsidRPr="00306E02">
                    <w:rPr>
                      <w:rFonts w:asciiTheme="majorBidi" w:hAnsiTheme="majorBidi" w:cstheme="majorBidi"/>
                      <w:color w:val="000000"/>
                      <w:sz w:val="21"/>
                      <w:szCs w:val="21"/>
                    </w:rPr>
                    <w:t>)</w:t>
                  </w:r>
                </w:p>
              </w:tc>
              <w:tc>
                <w:tcPr>
                  <w:tcW w:w="1144" w:type="dxa"/>
                  <w:tcBorders>
                    <w:top w:val="nil"/>
                    <w:left w:val="nil"/>
                    <w:bottom w:val="nil"/>
                    <w:right w:val="nil"/>
                    <w:tl2br w:val="nil"/>
                    <w:tr2bl w:val="nil"/>
                  </w:tcBorders>
                  <w:shd w:val="clear" w:color="auto" w:fill="auto"/>
                  <w:noWrap/>
                  <w:tcMar>
                    <w:left w:w="40" w:type="dxa"/>
                    <w:right w:w="175" w:type="dxa"/>
                  </w:tcMar>
                  <w:vAlign w:val="bottom"/>
                </w:tcPr>
                <w:p w14:paraId="4EDF8312"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(69)</w:t>
                  </w:r>
                </w:p>
              </w:tc>
              <w:tc>
                <w:tcPr>
                  <w:tcW w:w="992" w:type="dxa"/>
                  <w:tcBorders>
                    <w:top w:val="nil"/>
                    <w:left w:val="nil"/>
                    <w:bottom w:val="nil"/>
                    <w:right w:val="nil"/>
                    <w:tl2br w:val="nil"/>
                    <w:tr2bl w:val="nil"/>
                  </w:tcBorders>
                  <w:shd w:val="clear" w:color="auto" w:fill="auto"/>
                  <w:noWrap/>
                  <w:tcMar>
                    <w:left w:w="40" w:type="dxa"/>
                    <w:right w:w="175" w:type="dxa"/>
                  </w:tcMar>
                  <w:vAlign w:val="bottom"/>
                </w:tcPr>
                <w:p w14:paraId="6FB434C2"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(92)</w:t>
                  </w: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6F58F3E7"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(386)</w:t>
                  </w:r>
                </w:p>
              </w:tc>
            </w:tr>
            <w:tr w:rsidR="0085581F" w:rsidRPr="00306E02" w14:paraId="72A74A1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4427" w:type="dxa"/>
                  <w:tcBorders>
                    <w:top w:val="nil"/>
                    <w:left w:val="nil"/>
                    <w:bottom w:val="nil"/>
                    <w:right w:val="nil"/>
                    <w:tl2br w:val="nil"/>
                    <w:tr2bl w:val="nil"/>
                  </w:tcBorders>
                  <w:shd w:val="clear" w:color="auto" w:fill="auto"/>
                  <w:noWrap/>
                  <w:tcMar>
                    <w:left w:w="40" w:type="dxa"/>
                    <w:right w:w="175" w:type="dxa"/>
                  </w:tcMar>
                  <w:vAlign w:val="bottom"/>
                </w:tcPr>
                <w:p w14:paraId="7277235A" w14:textId="77777777" w:rsidR="0085581F" w:rsidRPr="00306E02" w:rsidRDefault="0085581F" w:rsidP="0085581F">
                  <w:pPr>
                    <w:spacing w:before="0" w:after="0" w:line="240" w:lineRule="auto"/>
                    <w:jc w:val="lef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General and administrative</w:t>
                  </w:r>
                </w:p>
              </w:tc>
              <w:tc>
                <w:tcPr>
                  <w:tcW w:w="952" w:type="dxa"/>
                  <w:tcBorders>
                    <w:top w:val="nil"/>
                    <w:left w:val="nil"/>
                    <w:bottom w:val="nil"/>
                    <w:right w:val="nil"/>
                    <w:tl2br w:val="nil"/>
                    <w:tr2bl w:val="nil"/>
                  </w:tcBorders>
                  <w:shd w:val="clear" w:color="auto" w:fill="auto"/>
                  <w:noWrap/>
                  <w:tcMar>
                    <w:left w:w="40" w:type="dxa"/>
                    <w:right w:w="175" w:type="dxa"/>
                  </w:tcMar>
                  <w:vAlign w:val="bottom"/>
                </w:tcPr>
                <w:p w14:paraId="5F941926"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(84)</w:t>
                  </w:r>
                </w:p>
              </w:tc>
              <w:tc>
                <w:tcPr>
                  <w:tcW w:w="990" w:type="dxa"/>
                  <w:tcBorders>
                    <w:top w:val="nil"/>
                    <w:left w:val="nil"/>
                    <w:bottom w:val="nil"/>
                    <w:right w:val="nil"/>
                    <w:tl2br w:val="nil"/>
                    <w:tr2bl w:val="nil"/>
                  </w:tcBorders>
                  <w:shd w:val="clear" w:color="auto" w:fill="auto"/>
                  <w:noWrap/>
                  <w:tcMar>
                    <w:left w:w="40" w:type="dxa"/>
                    <w:right w:w="175" w:type="dxa"/>
                  </w:tcMar>
                  <w:vAlign w:val="bottom"/>
                </w:tcPr>
                <w:p w14:paraId="4F959E8C"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(90)</w:t>
                  </w:r>
                </w:p>
              </w:tc>
              <w:tc>
                <w:tcPr>
                  <w:tcW w:w="1144" w:type="dxa"/>
                  <w:tcBorders>
                    <w:top w:val="nil"/>
                    <w:left w:val="nil"/>
                    <w:bottom w:val="nil"/>
                    <w:right w:val="nil"/>
                    <w:tl2br w:val="nil"/>
                    <w:tr2bl w:val="nil"/>
                  </w:tcBorders>
                  <w:shd w:val="clear" w:color="auto" w:fill="auto"/>
                  <w:noWrap/>
                  <w:tcMar>
                    <w:left w:w="40" w:type="dxa"/>
                    <w:right w:w="175" w:type="dxa"/>
                  </w:tcMar>
                  <w:vAlign w:val="bottom"/>
                </w:tcPr>
                <w:p w14:paraId="39F02F3C"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(40)</w:t>
                  </w:r>
                </w:p>
              </w:tc>
              <w:tc>
                <w:tcPr>
                  <w:tcW w:w="992" w:type="dxa"/>
                  <w:tcBorders>
                    <w:top w:val="nil"/>
                    <w:left w:val="nil"/>
                    <w:bottom w:val="nil"/>
                    <w:right w:val="nil"/>
                    <w:tl2br w:val="nil"/>
                    <w:tr2bl w:val="nil"/>
                  </w:tcBorders>
                  <w:shd w:val="clear" w:color="auto" w:fill="auto"/>
                  <w:noWrap/>
                  <w:tcMar>
                    <w:left w:w="40" w:type="dxa"/>
                    <w:right w:w="175" w:type="dxa"/>
                  </w:tcMar>
                  <w:vAlign w:val="bottom"/>
                </w:tcPr>
                <w:p w14:paraId="4E50EA7C"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(44)</w:t>
                  </w: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11408126"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(185)</w:t>
                  </w:r>
                </w:p>
              </w:tc>
            </w:tr>
            <w:tr w:rsidR="0085581F" w:rsidRPr="00306E02" w14:paraId="20E03B8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4427" w:type="dxa"/>
                  <w:tcBorders>
                    <w:top w:val="nil"/>
                    <w:left w:val="nil"/>
                    <w:bottom w:val="nil"/>
                    <w:right w:val="nil"/>
                    <w:tl2br w:val="nil"/>
                    <w:tr2bl w:val="nil"/>
                  </w:tcBorders>
                  <w:shd w:val="clear" w:color="auto" w:fill="auto"/>
                  <w:noWrap/>
                  <w:tcMar>
                    <w:left w:w="40" w:type="dxa"/>
                    <w:right w:w="175" w:type="dxa"/>
                  </w:tcMar>
                  <w:vAlign w:val="bottom"/>
                </w:tcPr>
                <w:p w14:paraId="16D18862" w14:textId="77777777" w:rsidR="0085581F" w:rsidRPr="00306E02" w:rsidRDefault="0085581F" w:rsidP="0085581F">
                  <w:pPr>
                    <w:spacing w:before="0" w:after="0" w:line="240" w:lineRule="auto"/>
                    <w:jc w:val="lef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Current taxes</w:t>
                  </w:r>
                </w:p>
              </w:tc>
              <w:tc>
                <w:tcPr>
                  <w:tcW w:w="95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F69C42E"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(7)</w:t>
                  </w:r>
                </w:p>
              </w:tc>
              <w:tc>
                <w:tcPr>
                  <w:tcW w:w="99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7981BD7"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(6)</w:t>
                  </w:r>
                </w:p>
              </w:tc>
              <w:tc>
                <w:tcPr>
                  <w:tcW w:w="1144"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170B5C9"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(5)</w:t>
                  </w:r>
                </w:p>
              </w:tc>
              <w:tc>
                <w:tcPr>
                  <w:tcW w:w="99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BFAC015"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(5)</w:t>
                  </w:r>
                </w:p>
              </w:tc>
              <w:tc>
                <w:tcPr>
                  <w:tcW w:w="14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DA793DB"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(16)</w:t>
                  </w:r>
                </w:p>
              </w:tc>
            </w:tr>
            <w:tr w:rsidR="0085581F" w:rsidRPr="00306E02" w14:paraId="339D008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4427" w:type="dxa"/>
                  <w:tcBorders>
                    <w:top w:val="nil"/>
                    <w:left w:val="nil"/>
                    <w:bottom w:val="nil"/>
                    <w:right w:val="nil"/>
                    <w:tl2br w:val="nil"/>
                    <w:tr2bl w:val="nil"/>
                  </w:tcBorders>
                  <w:shd w:val="clear" w:color="auto" w:fill="auto"/>
                  <w:noWrap/>
                  <w:tcMar>
                    <w:left w:w="40" w:type="dxa"/>
                    <w:right w:w="175" w:type="dxa"/>
                  </w:tcMar>
                  <w:vAlign w:val="bottom"/>
                </w:tcPr>
                <w:p w14:paraId="5558BDBA" w14:textId="77777777" w:rsidR="0085581F" w:rsidRPr="00306E02" w:rsidRDefault="0085581F" w:rsidP="0085581F">
                  <w:pPr>
                    <w:spacing w:before="0" w:after="0" w:line="240" w:lineRule="auto"/>
                    <w:jc w:val="lef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Total expenses</w:t>
                  </w:r>
                </w:p>
              </w:tc>
              <w:tc>
                <w:tcPr>
                  <w:tcW w:w="952"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487362EF"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(293)</w:t>
                  </w:r>
                </w:p>
              </w:tc>
              <w:tc>
                <w:tcPr>
                  <w:tcW w:w="99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0DA746EA" w14:textId="73785C0A"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w:t>
                  </w:r>
                  <w:r w:rsidR="00E34283" w:rsidRPr="00306E02">
                    <w:rPr>
                      <w:rFonts w:asciiTheme="majorBidi" w:hAnsiTheme="majorBidi" w:cstheme="majorBidi"/>
                      <w:color w:val="000000"/>
                      <w:sz w:val="21"/>
                      <w:szCs w:val="21"/>
                    </w:rPr>
                    <w:t>335</w:t>
                  </w:r>
                  <w:r w:rsidRPr="00306E02">
                    <w:rPr>
                      <w:rFonts w:asciiTheme="majorBidi" w:hAnsiTheme="majorBidi" w:cstheme="majorBidi"/>
                      <w:color w:val="000000"/>
                      <w:sz w:val="21"/>
                      <w:szCs w:val="21"/>
                    </w:rPr>
                    <w:t>)</w:t>
                  </w:r>
                </w:p>
              </w:tc>
              <w:tc>
                <w:tcPr>
                  <w:tcW w:w="1144"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5583B8C"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(114)</w:t>
                  </w:r>
                </w:p>
              </w:tc>
              <w:tc>
                <w:tcPr>
                  <w:tcW w:w="992"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04F16113"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(141)</w:t>
                  </w:r>
                </w:p>
              </w:tc>
              <w:tc>
                <w:tcPr>
                  <w:tcW w:w="1417"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B25C901"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(587)</w:t>
                  </w:r>
                </w:p>
              </w:tc>
            </w:tr>
            <w:tr w:rsidR="0085581F" w:rsidRPr="00306E02" w14:paraId="3F82AF9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427" w:type="dxa"/>
                  <w:tcBorders>
                    <w:top w:val="nil"/>
                    <w:left w:val="nil"/>
                    <w:bottom w:val="nil"/>
                    <w:right w:val="nil"/>
                    <w:tl2br w:val="nil"/>
                    <w:tr2bl w:val="nil"/>
                  </w:tcBorders>
                  <w:shd w:val="clear" w:color="auto" w:fill="auto"/>
                  <w:tcMar>
                    <w:left w:w="40" w:type="dxa"/>
                    <w:right w:w="175" w:type="dxa"/>
                  </w:tcMar>
                  <w:vAlign w:val="bottom"/>
                </w:tcPr>
                <w:p w14:paraId="292B3595" w14:textId="77777777" w:rsidR="0085581F" w:rsidRPr="00306E02" w:rsidRDefault="0085581F" w:rsidP="0085581F">
                  <w:pPr>
                    <w:spacing w:before="0" w:after="0" w:line="240" w:lineRule="auto"/>
                    <w:jc w:val="lef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FFO as per management approach</w:t>
                  </w:r>
                </w:p>
              </w:tc>
              <w:tc>
                <w:tcPr>
                  <w:tcW w:w="952"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79B3617A"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224</w:t>
                  </w:r>
                </w:p>
              </w:tc>
              <w:tc>
                <w:tcPr>
                  <w:tcW w:w="990"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71AF890B"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255</w:t>
                  </w:r>
                </w:p>
              </w:tc>
              <w:tc>
                <w:tcPr>
                  <w:tcW w:w="1144"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7629516C"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140</w:t>
                  </w:r>
                </w:p>
              </w:tc>
              <w:tc>
                <w:tcPr>
                  <w:tcW w:w="992"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2A2581C4"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131</w:t>
                  </w:r>
                </w:p>
              </w:tc>
              <w:tc>
                <w:tcPr>
                  <w:tcW w:w="1417"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7BEFF479"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 xml:space="preserve"> 505</w:t>
                  </w:r>
                </w:p>
              </w:tc>
            </w:tr>
            <w:tr w:rsidR="0085581F" w:rsidRPr="00306E02" w14:paraId="450C443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427" w:type="dxa"/>
                  <w:tcBorders>
                    <w:top w:val="nil"/>
                    <w:left w:val="nil"/>
                    <w:bottom w:val="nil"/>
                    <w:right w:val="nil"/>
                    <w:tl2br w:val="nil"/>
                    <w:tr2bl w:val="nil"/>
                  </w:tcBorders>
                  <w:shd w:val="clear" w:color="auto" w:fill="auto"/>
                  <w:tcMar>
                    <w:left w:w="40" w:type="dxa"/>
                    <w:right w:w="175" w:type="dxa"/>
                  </w:tcMar>
                  <w:vAlign w:val="bottom"/>
                </w:tcPr>
                <w:p w14:paraId="1397ABA5" w14:textId="77777777" w:rsidR="0085581F" w:rsidRPr="00306E02" w:rsidRDefault="0085581F" w:rsidP="0085581F">
                  <w:pPr>
                    <w:spacing w:before="0" w:after="0" w:line="240" w:lineRule="auto"/>
                    <w:jc w:val="lef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FFO per share according to management approach (in NIS)</w:t>
                  </w:r>
                </w:p>
              </w:tc>
              <w:tc>
                <w:tcPr>
                  <w:tcW w:w="952" w:type="dxa"/>
                  <w:tcBorders>
                    <w:top w:val="double" w:sz="6" w:space="0" w:color="000000"/>
                    <w:left w:val="nil"/>
                    <w:bottom w:val="double" w:sz="6" w:space="0" w:color="000000"/>
                    <w:right w:val="nil"/>
                    <w:tl2br w:val="nil"/>
                    <w:tr2bl w:val="nil"/>
                  </w:tcBorders>
                  <w:shd w:val="clear" w:color="auto" w:fill="auto"/>
                  <w:noWrap/>
                  <w:tcMar>
                    <w:left w:w="40" w:type="dxa"/>
                    <w:right w:w="235" w:type="dxa"/>
                  </w:tcMar>
                  <w:vAlign w:val="bottom"/>
                </w:tcPr>
                <w:p w14:paraId="3CA0A6B8"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1.20</w:t>
                  </w:r>
                </w:p>
              </w:tc>
              <w:tc>
                <w:tcPr>
                  <w:tcW w:w="990" w:type="dxa"/>
                  <w:tcBorders>
                    <w:top w:val="double" w:sz="6" w:space="0" w:color="000000"/>
                    <w:left w:val="nil"/>
                    <w:bottom w:val="double" w:sz="6" w:space="0" w:color="000000"/>
                    <w:right w:val="nil"/>
                    <w:tl2br w:val="nil"/>
                    <w:tr2bl w:val="nil"/>
                  </w:tcBorders>
                  <w:shd w:val="clear" w:color="auto" w:fill="auto"/>
                  <w:noWrap/>
                  <w:tcMar>
                    <w:left w:w="40" w:type="dxa"/>
                    <w:right w:w="235" w:type="dxa"/>
                  </w:tcMar>
                  <w:vAlign w:val="bottom"/>
                </w:tcPr>
                <w:p w14:paraId="7A28A925"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1.46</w:t>
                  </w:r>
                </w:p>
              </w:tc>
              <w:tc>
                <w:tcPr>
                  <w:tcW w:w="1144" w:type="dxa"/>
                  <w:tcBorders>
                    <w:top w:val="double" w:sz="6" w:space="0" w:color="000000"/>
                    <w:left w:val="nil"/>
                    <w:bottom w:val="double" w:sz="6" w:space="0" w:color="000000"/>
                    <w:right w:val="nil"/>
                    <w:tl2br w:val="nil"/>
                    <w:tr2bl w:val="nil"/>
                  </w:tcBorders>
                  <w:shd w:val="clear" w:color="auto" w:fill="auto"/>
                  <w:noWrap/>
                  <w:tcMar>
                    <w:left w:w="40" w:type="dxa"/>
                    <w:right w:w="235" w:type="dxa"/>
                  </w:tcMar>
                  <w:vAlign w:val="bottom"/>
                </w:tcPr>
                <w:p w14:paraId="04EDFB83"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0.75</w:t>
                  </w:r>
                </w:p>
              </w:tc>
              <w:tc>
                <w:tcPr>
                  <w:tcW w:w="992" w:type="dxa"/>
                  <w:tcBorders>
                    <w:top w:val="double" w:sz="6" w:space="0" w:color="000000"/>
                    <w:left w:val="nil"/>
                    <w:bottom w:val="double" w:sz="6" w:space="0" w:color="000000"/>
                    <w:right w:val="nil"/>
                    <w:tl2br w:val="nil"/>
                    <w:tr2bl w:val="nil"/>
                  </w:tcBorders>
                  <w:shd w:val="clear" w:color="auto" w:fill="auto"/>
                  <w:noWrap/>
                  <w:tcMar>
                    <w:left w:w="40" w:type="dxa"/>
                    <w:right w:w="235" w:type="dxa"/>
                  </w:tcMar>
                  <w:vAlign w:val="bottom"/>
                </w:tcPr>
                <w:p w14:paraId="38D688DD"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0.73</w:t>
                  </w:r>
                </w:p>
              </w:tc>
              <w:tc>
                <w:tcPr>
                  <w:tcW w:w="1417" w:type="dxa"/>
                  <w:tcBorders>
                    <w:top w:val="double" w:sz="6" w:space="0" w:color="000000"/>
                    <w:left w:val="nil"/>
                    <w:bottom w:val="double" w:sz="6" w:space="0" w:color="000000"/>
                    <w:right w:val="nil"/>
                    <w:tl2br w:val="nil"/>
                    <w:tr2bl w:val="nil"/>
                  </w:tcBorders>
                  <w:shd w:val="clear" w:color="auto" w:fill="auto"/>
                  <w:noWrap/>
                  <w:tcMar>
                    <w:left w:w="40" w:type="dxa"/>
                    <w:right w:w="235" w:type="dxa"/>
                  </w:tcMar>
                  <w:vAlign w:val="bottom"/>
                </w:tcPr>
                <w:p w14:paraId="194D4993" w14:textId="77777777" w:rsidR="0085581F" w:rsidRPr="00306E02" w:rsidRDefault="0085581F" w:rsidP="0085581F">
                  <w:pPr>
                    <w:spacing w:before="0" w:after="0" w:line="240" w:lineRule="auto"/>
                    <w:jc w:val="right"/>
                    <w:rPr>
                      <w:rFonts w:asciiTheme="majorBidi" w:eastAsia="Ploni ML Medium AAA Medium" w:hAnsiTheme="majorBidi" w:cstheme="majorBidi"/>
                      <w:color w:val="000000"/>
                      <w:sz w:val="21"/>
                      <w:szCs w:val="21"/>
                    </w:rPr>
                  </w:pPr>
                  <w:r w:rsidRPr="00306E02">
                    <w:rPr>
                      <w:rFonts w:asciiTheme="majorBidi" w:hAnsiTheme="majorBidi" w:cstheme="majorBidi"/>
                      <w:color w:val="000000"/>
                      <w:sz w:val="21"/>
                      <w:szCs w:val="21"/>
                    </w:rPr>
                    <w:t>2.85</w:t>
                  </w:r>
                </w:p>
              </w:tc>
            </w:tr>
          </w:tbl>
          <w:p w14:paraId="02A224EA" w14:textId="77777777" w:rsidR="0085581F" w:rsidRPr="0085581F" w:rsidRDefault="0085581F" w:rsidP="0085581F">
            <w:pPr>
              <w:rPr>
                <w:rFonts w:asciiTheme="majorBidi" w:hAnsiTheme="majorBidi" w:cstheme="majorBidi"/>
              </w:rPr>
            </w:pPr>
          </w:p>
        </w:tc>
      </w:tr>
    </w:tbl>
    <w:p w14:paraId="330F6EC2" w14:textId="77777777" w:rsidR="0085581F" w:rsidRPr="0085581F" w:rsidRDefault="0085581F" w:rsidP="004D7A72">
      <w:pPr>
        <w:keepLines/>
        <w:numPr>
          <w:ilvl w:val="6"/>
          <w:numId w:val="28"/>
        </w:numPr>
        <w:tabs>
          <w:tab w:val="left" w:pos="1133"/>
        </w:tabs>
        <w:ind w:left="142" w:hanging="142"/>
        <w:contextualSpacing/>
        <w:rPr>
          <w:rFonts w:asciiTheme="majorBidi" w:hAnsiTheme="majorBidi" w:cstheme="majorBidi"/>
          <w:sz w:val="18"/>
          <w:szCs w:val="18"/>
          <w:vertAlign w:val="subscript"/>
        </w:rPr>
      </w:pPr>
      <w:r w:rsidRPr="0085581F">
        <w:rPr>
          <w:rFonts w:asciiTheme="majorBidi" w:hAnsiTheme="majorBidi" w:cstheme="majorBidi"/>
          <w:sz w:val="18"/>
          <w:szCs w:val="18"/>
        </w:rPr>
        <w:t>Net real financing expenses include profit from early redemption of interest-bearing debt and hybrid debentures.</w:t>
      </w:r>
    </w:p>
    <w:p w14:paraId="7218DECB" w14:textId="77777777" w:rsidR="0085581F" w:rsidRPr="0085581F" w:rsidRDefault="0085581F" w:rsidP="0085581F">
      <w:pPr>
        <w:keepNext/>
        <w:keepLines/>
        <w:pageBreakBefore/>
        <w:tabs>
          <w:tab w:val="left" w:pos="425"/>
          <w:tab w:val="left" w:pos="1133"/>
        </w:tabs>
        <w:outlineLvl w:val="3"/>
        <w:rPr>
          <w:rFonts w:asciiTheme="majorBidi" w:hAnsiTheme="majorBidi" w:cstheme="majorBidi"/>
          <w:sz w:val="21"/>
          <w:szCs w:val="21"/>
          <w:u w:val="single"/>
        </w:rPr>
      </w:pPr>
      <w:bookmarkStart w:id="32" w:name="RG_MARKER_56889"/>
      <w:bookmarkStart w:id="33" w:name="H4_EPRA_Earnings_FFO____________0"/>
      <w:r w:rsidRPr="0085581F">
        <w:rPr>
          <w:rFonts w:asciiTheme="majorBidi" w:hAnsiTheme="majorBidi" w:cstheme="majorBidi"/>
          <w:sz w:val="21"/>
        </w:rPr>
        <w:lastRenderedPageBreak/>
        <w:t>2.4.</w:t>
      </w:r>
      <w:bookmarkEnd w:id="32"/>
      <w:r w:rsidRPr="0085581F">
        <w:rPr>
          <w:rFonts w:asciiTheme="majorBidi" w:hAnsiTheme="majorBidi" w:cstheme="majorBidi"/>
          <w:sz w:val="21"/>
          <w:u w:val="single"/>
        </w:rPr>
        <w:t xml:space="preserve"> Buyback of debentures and hybrid debentures</w:t>
      </w:r>
    </w:p>
    <w:bookmarkEnd w:id="33"/>
    <w:p w14:paraId="3F27F52D" w14:textId="77777777" w:rsidR="0085581F" w:rsidRPr="0085581F" w:rsidRDefault="0085581F" w:rsidP="0085581F">
      <w:pPr>
        <w:keepLines/>
        <w:tabs>
          <w:tab w:val="left" w:pos="1133"/>
        </w:tabs>
        <w:contextualSpacing/>
        <w:rPr>
          <w:rFonts w:asciiTheme="majorBidi" w:hAnsiTheme="majorBidi" w:cstheme="majorBidi"/>
          <w:sz w:val="21"/>
          <w:szCs w:val="21"/>
        </w:rPr>
      </w:pPr>
      <w:r w:rsidRPr="0085581F">
        <w:rPr>
          <w:rFonts w:asciiTheme="majorBidi" w:hAnsiTheme="majorBidi" w:cstheme="majorBidi"/>
          <w:sz w:val="21"/>
        </w:rPr>
        <w:t xml:space="preserve">The Company uses a major part of the proceeds received from the sale of real estate properties under the Properties Disposal Plan that it announced in October 2022 to buy back marketable debentures in Israel and to buy back marketable hybrid debentures issued by G Europe. </w:t>
      </w:r>
    </w:p>
    <w:p w14:paraId="7AF59AAF" w14:textId="77777777" w:rsidR="0085581F" w:rsidRPr="0085581F" w:rsidRDefault="0085581F" w:rsidP="0085581F">
      <w:pPr>
        <w:keepLines/>
        <w:tabs>
          <w:tab w:val="left" w:pos="1133"/>
        </w:tabs>
        <w:contextualSpacing/>
        <w:rPr>
          <w:rFonts w:asciiTheme="majorBidi" w:hAnsiTheme="majorBidi" w:cstheme="majorBidi"/>
          <w:sz w:val="21"/>
          <w:szCs w:val="21"/>
        </w:rPr>
      </w:pPr>
      <w:r w:rsidRPr="0085581F">
        <w:rPr>
          <w:rFonts w:asciiTheme="majorBidi" w:hAnsiTheme="majorBidi" w:cstheme="majorBidi"/>
          <w:sz w:val="21"/>
        </w:rPr>
        <w:t>The accounting of these acquisitions are presented as a decrease in the Company's liabilities at their liability value and the difference between the liability value and the purchase price is recognized as profit or loss from early redemption on the date of purchase.</w:t>
      </w:r>
    </w:p>
    <w:p w14:paraId="3B3C1586" w14:textId="30313E5F" w:rsidR="0085581F" w:rsidRPr="0085581F" w:rsidRDefault="0085581F" w:rsidP="0085581F">
      <w:pPr>
        <w:keepLines/>
        <w:tabs>
          <w:tab w:val="left" w:pos="1133"/>
        </w:tabs>
        <w:contextualSpacing/>
        <w:rPr>
          <w:rFonts w:asciiTheme="majorBidi" w:hAnsiTheme="majorBidi" w:cstheme="majorBidi"/>
          <w:sz w:val="21"/>
          <w:szCs w:val="21"/>
        </w:rPr>
      </w:pPr>
      <w:r w:rsidRPr="0085581F">
        <w:rPr>
          <w:rFonts w:asciiTheme="majorBidi" w:hAnsiTheme="majorBidi" w:cstheme="majorBidi"/>
          <w:sz w:val="21"/>
        </w:rPr>
        <w:t xml:space="preserve">As of January 1, 2023 through to reporting date, the Company and its wholly owned subsidiaries bought back debentures with moderate average useful life in a total amount of NIS 1.4 billion par </w:t>
      </w:r>
      <w:r w:rsidR="009C24EF" w:rsidRPr="0085581F">
        <w:rPr>
          <w:rFonts w:asciiTheme="majorBidi" w:hAnsiTheme="majorBidi" w:cstheme="majorBidi"/>
          <w:sz w:val="21"/>
        </w:rPr>
        <w:t>value for</w:t>
      </w:r>
      <w:r w:rsidRPr="0085581F">
        <w:rPr>
          <w:rFonts w:asciiTheme="majorBidi" w:hAnsiTheme="majorBidi" w:cstheme="majorBidi"/>
          <w:sz w:val="21"/>
        </w:rPr>
        <w:t xml:space="preserve"> consideration of NIS 1.2 billion.</w:t>
      </w:r>
    </w:p>
    <w:p w14:paraId="0B128987" w14:textId="73C19782" w:rsidR="0085581F" w:rsidRPr="0085581F" w:rsidRDefault="0085581F" w:rsidP="0085581F">
      <w:pPr>
        <w:keepLines/>
        <w:tabs>
          <w:tab w:val="left" w:pos="1133"/>
        </w:tabs>
        <w:contextualSpacing/>
        <w:rPr>
          <w:rFonts w:asciiTheme="majorBidi" w:hAnsiTheme="majorBidi" w:cstheme="majorBidi"/>
          <w:sz w:val="21"/>
          <w:szCs w:val="21"/>
        </w:rPr>
      </w:pPr>
      <w:r w:rsidRPr="0085581F">
        <w:rPr>
          <w:rFonts w:asciiTheme="majorBidi" w:hAnsiTheme="majorBidi" w:cstheme="majorBidi"/>
          <w:sz w:val="21"/>
        </w:rPr>
        <w:t xml:space="preserve">In addition, the wholly owned subsidiary of the Company bought back hybrid debentures useful life in a total amount of NIS </w:t>
      </w:r>
      <w:r w:rsidR="00E34283">
        <w:rPr>
          <w:rFonts w:asciiTheme="majorBidi" w:hAnsiTheme="majorBidi" w:cstheme="majorBidi"/>
          <w:sz w:val="21"/>
        </w:rPr>
        <w:t>235</w:t>
      </w:r>
      <w:r w:rsidRPr="0085581F">
        <w:rPr>
          <w:rFonts w:asciiTheme="majorBidi" w:hAnsiTheme="majorBidi" w:cstheme="majorBidi"/>
          <w:sz w:val="21"/>
        </w:rPr>
        <w:t xml:space="preserve"> million par value for consideration of NIS </w:t>
      </w:r>
      <w:r w:rsidR="00E34283">
        <w:rPr>
          <w:rFonts w:asciiTheme="majorBidi" w:hAnsiTheme="majorBidi" w:cstheme="majorBidi"/>
          <w:sz w:val="21"/>
        </w:rPr>
        <w:t>121</w:t>
      </w:r>
      <w:r w:rsidRPr="0085581F">
        <w:rPr>
          <w:rFonts w:asciiTheme="majorBidi" w:hAnsiTheme="majorBidi" w:cstheme="majorBidi"/>
          <w:sz w:val="21"/>
        </w:rPr>
        <w:t xml:space="preserve"> million. </w:t>
      </w:r>
    </w:p>
    <w:p w14:paraId="6132BD55" w14:textId="77777777" w:rsidR="0085581F" w:rsidRPr="0085581F" w:rsidRDefault="0085581F" w:rsidP="0085581F">
      <w:pPr>
        <w:keepLines/>
        <w:tabs>
          <w:tab w:val="left" w:pos="1133"/>
        </w:tabs>
        <w:contextualSpacing/>
        <w:rPr>
          <w:rFonts w:asciiTheme="majorBidi" w:hAnsiTheme="majorBidi" w:cstheme="majorBidi"/>
          <w:sz w:val="21"/>
          <w:szCs w:val="21"/>
        </w:rPr>
      </w:pPr>
      <w:r w:rsidRPr="0085581F">
        <w:rPr>
          <w:rFonts w:asciiTheme="majorBidi" w:hAnsiTheme="majorBidi" w:cstheme="majorBidi"/>
          <w:sz w:val="21"/>
        </w:rPr>
        <w:t>As of Q1 2023, the gains from early redemption of the debentures, which reflects a higher return at redemption compared to the issued return of the same debentures (i.e. The effective interest of those debentures) throughout the useful life of the debentures included in the FFO calculation.</w:t>
      </w:r>
    </w:p>
    <w:p w14:paraId="7296560B" w14:textId="77777777" w:rsidR="0085581F" w:rsidRPr="0085581F" w:rsidRDefault="0085581F" w:rsidP="0085581F">
      <w:pPr>
        <w:keepLines/>
        <w:tabs>
          <w:tab w:val="left" w:pos="1133"/>
        </w:tabs>
        <w:contextualSpacing/>
        <w:rPr>
          <w:rFonts w:asciiTheme="majorBidi" w:hAnsiTheme="majorBidi" w:cstheme="majorBidi"/>
          <w:sz w:val="21"/>
          <w:szCs w:val="21"/>
        </w:rPr>
      </w:pPr>
      <w:r w:rsidRPr="0085581F">
        <w:rPr>
          <w:rFonts w:asciiTheme="majorBidi" w:hAnsiTheme="majorBidi" w:cstheme="majorBidi"/>
          <w:sz w:val="21"/>
        </w:rPr>
        <w:t>The Company believes that, in view of the materiality of such gains, this approach more appropriately represents the FFO calculation of its operations, taking into account the use of its financial sources.</w:t>
      </w:r>
    </w:p>
    <w:p w14:paraId="0C6FE0FB" w14:textId="77777777" w:rsidR="0085581F" w:rsidRPr="0085581F" w:rsidRDefault="0085581F" w:rsidP="0085581F">
      <w:pPr>
        <w:keepNext/>
        <w:keepLines/>
        <w:tabs>
          <w:tab w:val="left" w:pos="1133"/>
        </w:tabs>
        <w:contextualSpacing/>
        <w:rPr>
          <w:rFonts w:asciiTheme="majorBidi" w:hAnsiTheme="majorBidi" w:cstheme="majorBidi"/>
          <w:sz w:val="21"/>
          <w:szCs w:val="21"/>
        </w:rPr>
      </w:pPr>
      <w:r w:rsidRPr="0085581F">
        <w:rPr>
          <w:rFonts w:asciiTheme="majorBidi" w:hAnsiTheme="majorBidi" w:cstheme="majorBidi"/>
          <w:sz w:val="21"/>
        </w:rPr>
        <w:t>In addition, to complete the picture, the table below presents the future cash flow savings reflected in the return to redemption of the acquired debentures based on their purchase price until the original redemption data of these debentures that adds to decreasing the interest and principal payments that the Company was meant to pay on these debentures.</w:t>
      </w:r>
    </w:p>
    <w:tbl>
      <w:tblPr>
        <w:tblStyle w:val="TableGrid"/>
        <w:tblW w:w="0" w:type="auto"/>
        <w:tblLook w:val="04A0" w:firstRow="1" w:lastRow="0" w:firstColumn="1" w:lastColumn="0" w:noHBand="0" w:noVBand="1"/>
      </w:tblPr>
      <w:tblGrid>
        <w:gridCol w:w="2469"/>
        <w:gridCol w:w="2477"/>
        <w:gridCol w:w="2483"/>
        <w:gridCol w:w="2483"/>
      </w:tblGrid>
      <w:tr w:rsidR="0085581F" w:rsidRPr="0085581F" w14:paraId="71074F2F" w14:textId="77777777" w:rsidTr="00A65A6F">
        <w:tc>
          <w:tcPr>
            <w:tcW w:w="2534" w:type="dxa"/>
            <w:shd w:val="clear" w:color="auto" w:fill="000031"/>
          </w:tcPr>
          <w:p w14:paraId="3B16AFC3" w14:textId="77777777" w:rsidR="0085581F" w:rsidRPr="00FF2608" w:rsidRDefault="0085581F" w:rsidP="0085581F">
            <w:pPr>
              <w:keepLines/>
              <w:tabs>
                <w:tab w:val="left" w:pos="1133"/>
              </w:tabs>
              <w:contextualSpacing/>
              <w:jc w:val="center"/>
              <w:rPr>
                <w:rFonts w:asciiTheme="majorBidi" w:hAnsiTheme="majorBidi" w:cstheme="majorBidi"/>
                <w:color w:val="FFFFFF" w:themeColor="background1"/>
                <w:sz w:val="21"/>
                <w:szCs w:val="21"/>
              </w:rPr>
            </w:pPr>
            <w:r w:rsidRPr="00FF2608">
              <w:rPr>
                <w:rFonts w:asciiTheme="majorBidi" w:hAnsiTheme="majorBidi" w:cstheme="majorBidi"/>
                <w:color w:val="FFFFFF" w:themeColor="background1"/>
                <w:sz w:val="21"/>
                <w:szCs w:val="21"/>
              </w:rPr>
              <w:t>Period</w:t>
            </w:r>
          </w:p>
        </w:tc>
        <w:tc>
          <w:tcPr>
            <w:tcW w:w="2534" w:type="dxa"/>
            <w:shd w:val="clear" w:color="auto" w:fill="000031"/>
          </w:tcPr>
          <w:p w14:paraId="7061969E" w14:textId="77777777" w:rsidR="0085581F" w:rsidRPr="00FF2608" w:rsidRDefault="0085581F" w:rsidP="0085581F">
            <w:pPr>
              <w:keepLines/>
              <w:tabs>
                <w:tab w:val="left" w:pos="1133"/>
              </w:tabs>
              <w:contextualSpacing/>
              <w:jc w:val="center"/>
              <w:rPr>
                <w:rFonts w:asciiTheme="majorBidi" w:hAnsiTheme="majorBidi" w:cstheme="majorBidi"/>
                <w:color w:val="FFFFFF" w:themeColor="background1"/>
                <w:sz w:val="21"/>
                <w:szCs w:val="21"/>
              </w:rPr>
            </w:pPr>
            <w:r w:rsidRPr="00FF2608">
              <w:rPr>
                <w:rFonts w:asciiTheme="majorBidi" w:hAnsiTheme="majorBidi" w:cstheme="majorBidi"/>
                <w:color w:val="FFFFFF" w:themeColor="background1"/>
                <w:sz w:val="21"/>
                <w:szCs w:val="21"/>
              </w:rPr>
              <w:t>Par value Acquired in the period</w:t>
            </w:r>
          </w:p>
        </w:tc>
        <w:tc>
          <w:tcPr>
            <w:tcW w:w="2534" w:type="dxa"/>
            <w:shd w:val="clear" w:color="auto" w:fill="000031"/>
          </w:tcPr>
          <w:p w14:paraId="6ADC0FE0" w14:textId="77777777" w:rsidR="0085581F" w:rsidRPr="00FF2608" w:rsidRDefault="0085581F" w:rsidP="0085581F">
            <w:pPr>
              <w:keepLines/>
              <w:tabs>
                <w:tab w:val="left" w:pos="1133"/>
              </w:tabs>
              <w:contextualSpacing/>
              <w:jc w:val="center"/>
              <w:rPr>
                <w:rFonts w:asciiTheme="majorBidi" w:hAnsiTheme="majorBidi" w:cstheme="majorBidi"/>
                <w:color w:val="FFFFFF" w:themeColor="background1"/>
                <w:sz w:val="21"/>
                <w:szCs w:val="21"/>
              </w:rPr>
            </w:pPr>
            <w:r w:rsidRPr="00FF2608">
              <w:rPr>
                <w:rFonts w:asciiTheme="majorBidi" w:hAnsiTheme="majorBidi" w:cstheme="majorBidi"/>
                <w:color w:val="FFFFFF" w:themeColor="background1"/>
                <w:sz w:val="21"/>
                <w:szCs w:val="21"/>
              </w:rPr>
              <w:t>Total gains recognized in the period</w:t>
            </w:r>
          </w:p>
        </w:tc>
        <w:tc>
          <w:tcPr>
            <w:tcW w:w="2535" w:type="dxa"/>
            <w:shd w:val="clear" w:color="auto" w:fill="000031"/>
          </w:tcPr>
          <w:p w14:paraId="1759F48C" w14:textId="77777777" w:rsidR="0085581F" w:rsidRPr="00FF2608" w:rsidRDefault="0085581F" w:rsidP="0085581F">
            <w:pPr>
              <w:keepLines/>
              <w:tabs>
                <w:tab w:val="left" w:pos="1133"/>
              </w:tabs>
              <w:contextualSpacing/>
              <w:jc w:val="center"/>
              <w:rPr>
                <w:rFonts w:asciiTheme="majorBidi" w:hAnsiTheme="majorBidi" w:cstheme="majorBidi"/>
                <w:color w:val="FFFFFF" w:themeColor="background1"/>
                <w:sz w:val="21"/>
                <w:szCs w:val="21"/>
              </w:rPr>
            </w:pPr>
            <w:r w:rsidRPr="00FF2608">
              <w:rPr>
                <w:rFonts w:asciiTheme="majorBidi" w:hAnsiTheme="majorBidi" w:cstheme="majorBidi"/>
                <w:color w:val="FFFFFF" w:themeColor="background1"/>
                <w:sz w:val="21"/>
                <w:szCs w:val="21"/>
              </w:rPr>
              <w:t>Total cash flow savings over the useful life of the debentures</w:t>
            </w:r>
          </w:p>
        </w:tc>
      </w:tr>
      <w:tr w:rsidR="0085581F" w:rsidRPr="0085581F" w14:paraId="1E01DEC4" w14:textId="77777777" w:rsidTr="00A65A6F">
        <w:tc>
          <w:tcPr>
            <w:tcW w:w="2534" w:type="dxa"/>
          </w:tcPr>
          <w:p w14:paraId="4075C459" w14:textId="77777777" w:rsidR="0085581F" w:rsidRPr="0085581F" w:rsidRDefault="0085581F" w:rsidP="0085581F">
            <w:pPr>
              <w:keepLines/>
              <w:tabs>
                <w:tab w:val="left" w:pos="1133"/>
              </w:tabs>
              <w:contextualSpacing/>
              <w:jc w:val="center"/>
              <w:rPr>
                <w:rFonts w:asciiTheme="majorBidi" w:hAnsiTheme="majorBidi" w:cstheme="majorBidi"/>
                <w:sz w:val="21"/>
                <w:szCs w:val="21"/>
                <w:rtl/>
              </w:rPr>
            </w:pPr>
          </w:p>
        </w:tc>
        <w:tc>
          <w:tcPr>
            <w:tcW w:w="7603" w:type="dxa"/>
            <w:gridSpan w:val="3"/>
          </w:tcPr>
          <w:p w14:paraId="00FA50FE"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NIS million</w:t>
            </w:r>
          </w:p>
        </w:tc>
      </w:tr>
      <w:tr w:rsidR="0085581F" w:rsidRPr="0085581F" w14:paraId="3EE54B2E" w14:textId="77777777" w:rsidTr="00A65A6F">
        <w:tc>
          <w:tcPr>
            <w:tcW w:w="2534" w:type="dxa"/>
          </w:tcPr>
          <w:p w14:paraId="48CBCB69"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Q1-23</w:t>
            </w:r>
          </w:p>
        </w:tc>
        <w:tc>
          <w:tcPr>
            <w:tcW w:w="2534" w:type="dxa"/>
          </w:tcPr>
          <w:p w14:paraId="4D47680D"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109.4</w:t>
            </w:r>
          </w:p>
        </w:tc>
        <w:tc>
          <w:tcPr>
            <w:tcW w:w="2534" w:type="dxa"/>
          </w:tcPr>
          <w:p w14:paraId="476FA845"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19.2</w:t>
            </w:r>
          </w:p>
        </w:tc>
        <w:tc>
          <w:tcPr>
            <w:tcW w:w="2535" w:type="dxa"/>
          </w:tcPr>
          <w:p w14:paraId="219727F9"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1.4</w:t>
            </w:r>
          </w:p>
        </w:tc>
      </w:tr>
      <w:tr w:rsidR="0085581F" w:rsidRPr="0085581F" w14:paraId="7697533D" w14:textId="77777777" w:rsidTr="00A65A6F">
        <w:tc>
          <w:tcPr>
            <w:tcW w:w="2534" w:type="dxa"/>
          </w:tcPr>
          <w:p w14:paraId="7D8207BD"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Q2-23</w:t>
            </w:r>
          </w:p>
        </w:tc>
        <w:tc>
          <w:tcPr>
            <w:tcW w:w="2534" w:type="dxa"/>
          </w:tcPr>
          <w:p w14:paraId="006FCA4F"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308.4</w:t>
            </w:r>
          </w:p>
        </w:tc>
        <w:tc>
          <w:tcPr>
            <w:tcW w:w="2534" w:type="dxa"/>
          </w:tcPr>
          <w:p w14:paraId="5BB0FADC"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86.4</w:t>
            </w:r>
          </w:p>
        </w:tc>
        <w:tc>
          <w:tcPr>
            <w:tcW w:w="2535" w:type="dxa"/>
          </w:tcPr>
          <w:p w14:paraId="2F94B2AD"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7.6</w:t>
            </w:r>
          </w:p>
        </w:tc>
      </w:tr>
      <w:tr w:rsidR="0085581F" w:rsidRPr="0085581F" w14:paraId="044021EB" w14:textId="77777777" w:rsidTr="00A65A6F">
        <w:tc>
          <w:tcPr>
            <w:tcW w:w="2534" w:type="dxa"/>
          </w:tcPr>
          <w:p w14:paraId="26613470"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Q3-23</w:t>
            </w:r>
          </w:p>
        </w:tc>
        <w:tc>
          <w:tcPr>
            <w:tcW w:w="2534" w:type="dxa"/>
          </w:tcPr>
          <w:p w14:paraId="7A25681A"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241.7</w:t>
            </w:r>
          </w:p>
        </w:tc>
        <w:tc>
          <w:tcPr>
            <w:tcW w:w="2534" w:type="dxa"/>
          </w:tcPr>
          <w:p w14:paraId="0817AF3A"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40.7</w:t>
            </w:r>
          </w:p>
        </w:tc>
        <w:tc>
          <w:tcPr>
            <w:tcW w:w="2535" w:type="dxa"/>
          </w:tcPr>
          <w:p w14:paraId="0FA9E844"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10.5</w:t>
            </w:r>
          </w:p>
        </w:tc>
      </w:tr>
      <w:tr w:rsidR="0085581F" w:rsidRPr="0085581F" w14:paraId="63C0D568" w14:textId="77777777" w:rsidTr="00A65A6F">
        <w:tc>
          <w:tcPr>
            <w:tcW w:w="2534" w:type="dxa"/>
          </w:tcPr>
          <w:p w14:paraId="2B61E41A"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Q4-23</w:t>
            </w:r>
          </w:p>
        </w:tc>
        <w:tc>
          <w:tcPr>
            <w:tcW w:w="2534" w:type="dxa"/>
          </w:tcPr>
          <w:p w14:paraId="657887F8"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298.8</w:t>
            </w:r>
          </w:p>
        </w:tc>
        <w:tc>
          <w:tcPr>
            <w:tcW w:w="2534" w:type="dxa"/>
          </w:tcPr>
          <w:p w14:paraId="5C051CB8"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73.8</w:t>
            </w:r>
          </w:p>
        </w:tc>
        <w:tc>
          <w:tcPr>
            <w:tcW w:w="2535" w:type="dxa"/>
          </w:tcPr>
          <w:p w14:paraId="4B2BA0B3"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16.6</w:t>
            </w:r>
          </w:p>
        </w:tc>
      </w:tr>
      <w:tr w:rsidR="0085581F" w:rsidRPr="0085581F" w14:paraId="1600DBC2" w14:textId="77777777" w:rsidTr="00A65A6F">
        <w:tc>
          <w:tcPr>
            <w:tcW w:w="2534" w:type="dxa"/>
          </w:tcPr>
          <w:p w14:paraId="77C7E393"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Q1-24</w:t>
            </w:r>
          </w:p>
        </w:tc>
        <w:tc>
          <w:tcPr>
            <w:tcW w:w="2534" w:type="dxa"/>
          </w:tcPr>
          <w:p w14:paraId="4A7274B7"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272.6</w:t>
            </w:r>
          </w:p>
        </w:tc>
        <w:tc>
          <w:tcPr>
            <w:tcW w:w="2534" w:type="dxa"/>
          </w:tcPr>
          <w:p w14:paraId="23F46321" w14:textId="7A2AF8D4" w:rsidR="0085581F" w:rsidRPr="0085581F" w:rsidRDefault="00E34283" w:rsidP="0085581F">
            <w:pPr>
              <w:keepLines/>
              <w:tabs>
                <w:tab w:val="left" w:pos="1133"/>
              </w:tabs>
              <w:contextualSpacing/>
              <w:jc w:val="center"/>
              <w:rPr>
                <w:rFonts w:asciiTheme="majorBidi" w:hAnsiTheme="majorBidi" w:cstheme="majorBidi"/>
                <w:sz w:val="21"/>
                <w:szCs w:val="21"/>
              </w:rPr>
            </w:pPr>
            <w:r>
              <w:rPr>
                <w:rFonts w:asciiTheme="majorBidi" w:hAnsiTheme="majorBidi" w:cstheme="majorBidi"/>
                <w:sz w:val="21"/>
              </w:rPr>
              <w:t>33</w:t>
            </w:r>
            <w:r w:rsidR="0085581F" w:rsidRPr="0085581F">
              <w:rPr>
                <w:rFonts w:asciiTheme="majorBidi" w:hAnsiTheme="majorBidi" w:cstheme="majorBidi"/>
                <w:sz w:val="21"/>
              </w:rPr>
              <w:t>.</w:t>
            </w:r>
            <w:r>
              <w:rPr>
                <w:rFonts w:asciiTheme="majorBidi" w:hAnsiTheme="majorBidi" w:cstheme="majorBidi"/>
                <w:sz w:val="21"/>
              </w:rPr>
              <w:t>2</w:t>
            </w:r>
          </w:p>
        </w:tc>
        <w:tc>
          <w:tcPr>
            <w:tcW w:w="2535" w:type="dxa"/>
          </w:tcPr>
          <w:p w14:paraId="718BA9E0" w14:textId="21B16136"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19.</w:t>
            </w:r>
            <w:r w:rsidR="00E34283">
              <w:rPr>
                <w:rFonts w:asciiTheme="majorBidi" w:hAnsiTheme="majorBidi" w:cstheme="majorBidi"/>
                <w:sz w:val="21"/>
              </w:rPr>
              <w:t>7</w:t>
            </w:r>
          </w:p>
        </w:tc>
      </w:tr>
      <w:tr w:rsidR="0085581F" w:rsidRPr="0085581F" w14:paraId="658F12C1" w14:textId="77777777" w:rsidTr="00A65A6F">
        <w:tc>
          <w:tcPr>
            <w:tcW w:w="2534" w:type="dxa"/>
          </w:tcPr>
          <w:p w14:paraId="39FB4BD0"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Q2-24</w:t>
            </w:r>
          </w:p>
        </w:tc>
        <w:tc>
          <w:tcPr>
            <w:tcW w:w="2534" w:type="dxa"/>
          </w:tcPr>
          <w:p w14:paraId="78983616" w14:textId="41BD84E6" w:rsidR="0085581F" w:rsidRPr="0085581F" w:rsidRDefault="00E34283" w:rsidP="0085581F">
            <w:pPr>
              <w:keepLines/>
              <w:tabs>
                <w:tab w:val="left" w:pos="1133"/>
              </w:tabs>
              <w:contextualSpacing/>
              <w:jc w:val="center"/>
              <w:rPr>
                <w:rFonts w:asciiTheme="majorBidi" w:hAnsiTheme="majorBidi" w:cstheme="majorBidi"/>
                <w:sz w:val="21"/>
                <w:szCs w:val="21"/>
              </w:rPr>
            </w:pPr>
            <w:r>
              <w:rPr>
                <w:rFonts w:asciiTheme="majorBidi" w:hAnsiTheme="majorBidi" w:cstheme="majorBidi"/>
                <w:sz w:val="21"/>
              </w:rPr>
              <w:t>387</w:t>
            </w:r>
            <w:r w:rsidR="0085581F" w:rsidRPr="0085581F">
              <w:rPr>
                <w:rFonts w:asciiTheme="majorBidi" w:hAnsiTheme="majorBidi" w:cstheme="majorBidi"/>
                <w:sz w:val="21"/>
              </w:rPr>
              <w:t>.</w:t>
            </w:r>
            <w:r>
              <w:rPr>
                <w:rFonts w:asciiTheme="majorBidi" w:hAnsiTheme="majorBidi" w:cstheme="majorBidi"/>
                <w:sz w:val="21"/>
              </w:rPr>
              <w:t>2</w:t>
            </w:r>
          </w:p>
        </w:tc>
        <w:tc>
          <w:tcPr>
            <w:tcW w:w="2534" w:type="dxa"/>
          </w:tcPr>
          <w:p w14:paraId="025FEDCC" w14:textId="70003785" w:rsidR="0085581F" w:rsidRPr="0085581F" w:rsidRDefault="00E34283" w:rsidP="0085581F">
            <w:pPr>
              <w:keepLines/>
              <w:tabs>
                <w:tab w:val="left" w:pos="1133"/>
              </w:tabs>
              <w:contextualSpacing/>
              <w:jc w:val="center"/>
              <w:rPr>
                <w:rFonts w:asciiTheme="majorBidi" w:hAnsiTheme="majorBidi" w:cstheme="majorBidi"/>
                <w:sz w:val="21"/>
                <w:szCs w:val="21"/>
              </w:rPr>
            </w:pPr>
            <w:r>
              <w:rPr>
                <w:rFonts w:asciiTheme="majorBidi" w:hAnsiTheme="majorBidi" w:cstheme="majorBidi"/>
                <w:sz w:val="21"/>
              </w:rPr>
              <w:t>56.5</w:t>
            </w:r>
          </w:p>
        </w:tc>
        <w:tc>
          <w:tcPr>
            <w:tcW w:w="2535" w:type="dxa"/>
          </w:tcPr>
          <w:p w14:paraId="35324BB4" w14:textId="65EB9C10" w:rsidR="0085581F" w:rsidRPr="0085581F" w:rsidRDefault="00E34283" w:rsidP="0085581F">
            <w:pPr>
              <w:keepLines/>
              <w:tabs>
                <w:tab w:val="left" w:pos="1133"/>
              </w:tabs>
              <w:contextualSpacing/>
              <w:jc w:val="center"/>
              <w:rPr>
                <w:rFonts w:asciiTheme="majorBidi" w:hAnsiTheme="majorBidi" w:cstheme="majorBidi"/>
                <w:sz w:val="21"/>
                <w:szCs w:val="21"/>
              </w:rPr>
            </w:pPr>
            <w:r>
              <w:rPr>
                <w:rFonts w:asciiTheme="majorBidi" w:hAnsiTheme="majorBidi" w:cstheme="majorBidi"/>
                <w:sz w:val="21"/>
              </w:rPr>
              <w:t>25</w:t>
            </w:r>
            <w:r w:rsidR="0085581F" w:rsidRPr="0085581F">
              <w:rPr>
                <w:rFonts w:asciiTheme="majorBidi" w:hAnsiTheme="majorBidi" w:cstheme="majorBidi"/>
                <w:sz w:val="21"/>
              </w:rPr>
              <w:t>.</w:t>
            </w:r>
            <w:r>
              <w:rPr>
                <w:rFonts w:asciiTheme="majorBidi" w:hAnsiTheme="majorBidi" w:cstheme="majorBidi"/>
                <w:sz w:val="21"/>
              </w:rPr>
              <w:t>0</w:t>
            </w:r>
          </w:p>
        </w:tc>
      </w:tr>
      <w:tr w:rsidR="0085581F" w:rsidRPr="0085581F" w14:paraId="410103FE" w14:textId="77777777" w:rsidTr="00A65A6F">
        <w:tc>
          <w:tcPr>
            <w:tcW w:w="2534" w:type="dxa"/>
          </w:tcPr>
          <w:p w14:paraId="3CCF6934"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Q3-24</w:t>
            </w:r>
          </w:p>
        </w:tc>
        <w:tc>
          <w:tcPr>
            <w:tcW w:w="2534" w:type="dxa"/>
          </w:tcPr>
          <w:p w14:paraId="7C03C9BA" w14:textId="77777777" w:rsidR="0085581F" w:rsidRPr="0085581F" w:rsidRDefault="0085581F" w:rsidP="0085581F">
            <w:pPr>
              <w:keepLines/>
              <w:tabs>
                <w:tab w:val="left" w:pos="1133"/>
              </w:tabs>
              <w:contextualSpacing/>
              <w:jc w:val="center"/>
              <w:rPr>
                <w:rFonts w:asciiTheme="majorBidi" w:hAnsiTheme="majorBidi" w:cstheme="majorBidi"/>
                <w:sz w:val="21"/>
                <w:szCs w:val="21"/>
                <w:rtl/>
              </w:rPr>
            </w:pPr>
          </w:p>
        </w:tc>
        <w:tc>
          <w:tcPr>
            <w:tcW w:w="2534" w:type="dxa"/>
          </w:tcPr>
          <w:p w14:paraId="385EDC9B" w14:textId="77777777" w:rsidR="0085581F" w:rsidRPr="0085581F" w:rsidRDefault="0085581F" w:rsidP="0085581F">
            <w:pPr>
              <w:keepLines/>
              <w:tabs>
                <w:tab w:val="left" w:pos="1133"/>
              </w:tabs>
              <w:contextualSpacing/>
              <w:jc w:val="center"/>
              <w:rPr>
                <w:rFonts w:asciiTheme="majorBidi" w:hAnsiTheme="majorBidi" w:cstheme="majorBidi"/>
                <w:sz w:val="21"/>
                <w:szCs w:val="21"/>
                <w:rtl/>
              </w:rPr>
            </w:pPr>
          </w:p>
        </w:tc>
        <w:tc>
          <w:tcPr>
            <w:tcW w:w="2535" w:type="dxa"/>
          </w:tcPr>
          <w:p w14:paraId="2A41FFD9" w14:textId="0956CF71" w:rsidR="0085581F" w:rsidRPr="0085581F" w:rsidRDefault="00E34283" w:rsidP="0085581F">
            <w:pPr>
              <w:keepLines/>
              <w:tabs>
                <w:tab w:val="left" w:pos="1133"/>
              </w:tabs>
              <w:contextualSpacing/>
              <w:jc w:val="center"/>
              <w:rPr>
                <w:rFonts w:asciiTheme="majorBidi" w:hAnsiTheme="majorBidi" w:cstheme="majorBidi"/>
                <w:sz w:val="21"/>
                <w:szCs w:val="21"/>
              </w:rPr>
            </w:pPr>
            <w:r w:rsidRPr="00E34283">
              <w:rPr>
                <w:rFonts w:asciiTheme="majorBidi" w:hAnsiTheme="majorBidi" w:cstheme="majorBidi"/>
                <w:sz w:val="21"/>
              </w:rPr>
              <w:t>25.0</w:t>
            </w:r>
          </w:p>
        </w:tc>
      </w:tr>
      <w:tr w:rsidR="0085581F" w:rsidRPr="0085581F" w14:paraId="5BCEEB56" w14:textId="77777777" w:rsidTr="00A65A6F">
        <w:tc>
          <w:tcPr>
            <w:tcW w:w="2534" w:type="dxa"/>
          </w:tcPr>
          <w:p w14:paraId="5F031125"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Q4-24</w:t>
            </w:r>
          </w:p>
        </w:tc>
        <w:tc>
          <w:tcPr>
            <w:tcW w:w="2534" w:type="dxa"/>
          </w:tcPr>
          <w:p w14:paraId="13B5AB89" w14:textId="77777777" w:rsidR="0085581F" w:rsidRPr="0085581F" w:rsidRDefault="0085581F" w:rsidP="0085581F">
            <w:pPr>
              <w:keepLines/>
              <w:tabs>
                <w:tab w:val="left" w:pos="1133"/>
              </w:tabs>
              <w:contextualSpacing/>
              <w:jc w:val="center"/>
              <w:rPr>
                <w:rFonts w:asciiTheme="majorBidi" w:hAnsiTheme="majorBidi" w:cstheme="majorBidi"/>
                <w:sz w:val="21"/>
                <w:szCs w:val="21"/>
                <w:rtl/>
              </w:rPr>
            </w:pPr>
          </w:p>
        </w:tc>
        <w:tc>
          <w:tcPr>
            <w:tcW w:w="2534" w:type="dxa"/>
          </w:tcPr>
          <w:p w14:paraId="3B825A3F" w14:textId="77777777" w:rsidR="0085581F" w:rsidRPr="0085581F" w:rsidRDefault="0085581F" w:rsidP="0085581F">
            <w:pPr>
              <w:keepLines/>
              <w:tabs>
                <w:tab w:val="left" w:pos="1133"/>
              </w:tabs>
              <w:contextualSpacing/>
              <w:jc w:val="center"/>
              <w:rPr>
                <w:rFonts w:asciiTheme="majorBidi" w:hAnsiTheme="majorBidi" w:cstheme="majorBidi"/>
                <w:sz w:val="21"/>
                <w:szCs w:val="21"/>
                <w:rtl/>
              </w:rPr>
            </w:pPr>
          </w:p>
        </w:tc>
        <w:tc>
          <w:tcPr>
            <w:tcW w:w="2535" w:type="dxa"/>
          </w:tcPr>
          <w:p w14:paraId="12CCF490" w14:textId="1ED79AA9" w:rsidR="0085581F" w:rsidRPr="0085581F" w:rsidRDefault="00E34283" w:rsidP="0085581F">
            <w:pPr>
              <w:keepLines/>
              <w:tabs>
                <w:tab w:val="left" w:pos="1133"/>
              </w:tabs>
              <w:contextualSpacing/>
              <w:jc w:val="center"/>
              <w:rPr>
                <w:rFonts w:asciiTheme="majorBidi" w:hAnsiTheme="majorBidi" w:cstheme="majorBidi"/>
                <w:sz w:val="21"/>
                <w:szCs w:val="21"/>
              </w:rPr>
            </w:pPr>
            <w:r w:rsidRPr="00E34283">
              <w:rPr>
                <w:rFonts w:asciiTheme="majorBidi" w:hAnsiTheme="majorBidi" w:cstheme="majorBidi"/>
                <w:sz w:val="21"/>
              </w:rPr>
              <w:t>25.0</w:t>
            </w:r>
          </w:p>
        </w:tc>
      </w:tr>
      <w:tr w:rsidR="0085581F" w:rsidRPr="0085581F" w14:paraId="2C00C551" w14:textId="77777777" w:rsidTr="00A65A6F">
        <w:tc>
          <w:tcPr>
            <w:tcW w:w="2534" w:type="dxa"/>
          </w:tcPr>
          <w:p w14:paraId="2C2736D5"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2025</w:t>
            </w:r>
          </w:p>
        </w:tc>
        <w:tc>
          <w:tcPr>
            <w:tcW w:w="2534" w:type="dxa"/>
          </w:tcPr>
          <w:p w14:paraId="776F5521" w14:textId="77777777" w:rsidR="0085581F" w:rsidRPr="0085581F" w:rsidRDefault="0085581F" w:rsidP="0085581F">
            <w:pPr>
              <w:keepLines/>
              <w:tabs>
                <w:tab w:val="left" w:pos="1133"/>
              </w:tabs>
              <w:contextualSpacing/>
              <w:jc w:val="center"/>
              <w:rPr>
                <w:rFonts w:asciiTheme="majorBidi" w:hAnsiTheme="majorBidi" w:cstheme="majorBidi"/>
                <w:sz w:val="21"/>
                <w:szCs w:val="21"/>
                <w:rtl/>
              </w:rPr>
            </w:pPr>
          </w:p>
        </w:tc>
        <w:tc>
          <w:tcPr>
            <w:tcW w:w="2534" w:type="dxa"/>
          </w:tcPr>
          <w:p w14:paraId="0521C555" w14:textId="77777777" w:rsidR="0085581F" w:rsidRPr="0085581F" w:rsidRDefault="0085581F" w:rsidP="0085581F">
            <w:pPr>
              <w:keepLines/>
              <w:tabs>
                <w:tab w:val="left" w:pos="1133"/>
              </w:tabs>
              <w:contextualSpacing/>
              <w:jc w:val="center"/>
              <w:rPr>
                <w:rFonts w:asciiTheme="majorBidi" w:hAnsiTheme="majorBidi" w:cstheme="majorBidi"/>
                <w:sz w:val="21"/>
                <w:szCs w:val="21"/>
                <w:rtl/>
              </w:rPr>
            </w:pPr>
          </w:p>
        </w:tc>
        <w:tc>
          <w:tcPr>
            <w:tcW w:w="2535" w:type="dxa"/>
          </w:tcPr>
          <w:p w14:paraId="7B9C088B" w14:textId="2EE3EEAF" w:rsidR="0085581F" w:rsidRPr="0085581F" w:rsidRDefault="00E34283" w:rsidP="0085581F">
            <w:pPr>
              <w:keepLines/>
              <w:tabs>
                <w:tab w:val="left" w:pos="1133"/>
              </w:tabs>
              <w:contextualSpacing/>
              <w:jc w:val="center"/>
              <w:rPr>
                <w:rFonts w:asciiTheme="majorBidi" w:hAnsiTheme="majorBidi" w:cstheme="majorBidi"/>
                <w:sz w:val="21"/>
                <w:szCs w:val="21"/>
              </w:rPr>
            </w:pPr>
            <w:r>
              <w:rPr>
                <w:rFonts w:asciiTheme="majorBidi" w:hAnsiTheme="majorBidi" w:cstheme="majorBidi"/>
                <w:sz w:val="21"/>
              </w:rPr>
              <w:t>93.6</w:t>
            </w:r>
          </w:p>
        </w:tc>
      </w:tr>
      <w:tr w:rsidR="0085581F" w:rsidRPr="0085581F" w14:paraId="6C79D7B2" w14:textId="77777777" w:rsidTr="00A65A6F">
        <w:tc>
          <w:tcPr>
            <w:tcW w:w="2534" w:type="dxa"/>
          </w:tcPr>
          <w:p w14:paraId="349E81FA"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2026</w:t>
            </w:r>
          </w:p>
        </w:tc>
        <w:tc>
          <w:tcPr>
            <w:tcW w:w="2534" w:type="dxa"/>
          </w:tcPr>
          <w:p w14:paraId="3FED2D96" w14:textId="77777777" w:rsidR="0085581F" w:rsidRPr="0085581F" w:rsidRDefault="0085581F" w:rsidP="0085581F">
            <w:pPr>
              <w:keepLines/>
              <w:tabs>
                <w:tab w:val="left" w:pos="1133"/>
              </w:tabs>
              <w:contextualSpacing/>
              <w:jc w:val="center"/>
              <w:rPr>
                <w:rFonts w:asciiTheme="majorBidi" w:hAnsiTheme="majorBidi" w:cstheme="majorBidi"/>
                <w:sz w:val="21"/>
                <w:szCs w:val="21"/>
                <w:rtl/>
              </w:rPr>
            </w:pPr>
          </w:p>
        </w:tc>
        <w:tc>
          <w:tcPr>
            <w:tcW w:w="2534" w:type="dxa"/>
          </w:tcPr>
          <w:p w14:paraId="08FA9E33" w14:textId="77777777" w:rsidR="0085581F" w:rsidRPr="0085581F" w:rsidRDefault="0085581F" w:rsidP="0085581F">
            <w:pPr>
              <w:keepLines/>
              <w:tabs>
                <w:tab w:val="left" w:pos="1133"/>
              </w:tabs>
              <w:contextualSpacing/>
              <w:jc w:val="center"/>
              <w:rPr>
                <w:rFonts w:asciiTheme="majorBidi" w:hAnsiTheme="majorBidi" w:cstheme="majorBidi"/>
                <w:sz w:val="21"/>
                <w:szCs w:val="21"/>
                <w:rtl/>
              </w:rPr>
            </w:pPr>
          </w:p>
        </w:tc>
        <w:tc>
          <w:tcPr>
            <w:tcW w:w="2535" w:type="dxa"/>
          </w:tcPr>
          <w:p w14:paraId="1193C1AD" w14:textId="509F6936" w:rsidR="0085581F" w:rsidRPr="0085581F" w:rsidRDefault="00E34283" w:rsidP="0085581F">
            <w:pPr>
              <w:keepLines/>
              <w:tabs>
                <w:tab w:val="left" w:pos="1133"/>
              </w:tabs>
              <w:contextualSpacing/>
              <w:jc w:val="center"/>
              <w:rPr>
                <w:rFonts w:asciiTheme="majorBidi" w:hAnsiTheme="majorBidi" w:cstheme="majorBidi"/>
                <w:sz w:val="21"/>
                <w:szCs w:val="21"/>
              </w:rPr>
            </w:pPr>
            <w:r>
              <w:rPr>
                <w:rFonts w:asciiTheme="majorBidi" w:hAnsiTheme="majorBidi" w:cstheme="majorBidi"/>
                <w:sz w:val="21"/>
              </w:rPr>
              <w:t>60.2</w:t>
            </w:r>
          </w:p>
        </w:tc>
      </w:tr>
      <w:tr w:rsidR="0085581F" w:rsidRPr="0085581F" w14:paraId="05B7CE52" w14:textId="77777777" w:rsidTr="00A65A6F">
        <w:tc>
          <w:tcPr>
            <w:tcW w:w="2534" w:type="dxa"/>
          </w:tcPr>
          <w:p w14:paraId="1954BD4E"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2027</w:t>
            </w:r>
          </w:p>
        </w:tc>
        <w:tc>
          <w:tcPr>
            <w:tcW w:w="2534" w:type="dxa"/>
          </w:tcPr>
          <w:p w14:paraId="62EF13B4" w14:textId="77777777" w:rsidR="0085581F" w:rsidRPr="0085581F" w:rsidRDefault="0085581F" w:rsidP="0085581F">
            <w:pPr>
              <w:keepLines/>
              <w:tabs>
                <w:tab w:val="left" w:pos="1133"/>
              </w:tabs>
              <w:contextualSpacing/>
              <w:jc w:val="center"/>
              <w:rPr>
                <w:rFonts w:asciiTheme="majorBidi" w:hAnsiTheme="majorBidi" w:cstheme="majorBidi"/>
                <w:sz w:val="21"/>
                <w:szCs w:val="21"/>
                <w:rtl/>
              </w:rPr>
            </w:pPr>
          </w:p>
        </w:tc>
        <w:tc>
          <w:tcPr>
            <w:tcW w:w="2534" w:type="dxa"/>
          </w:tcPr>
          <w:p w14:paraId="08D3CD57" w14:textId="77777777" w:rsidR="0085581F" w:rsidRPr="0085581F" w:rsidRDefault="0085581F" w:rsidP="0085581F">
            <w:pPr>
              <w:keepLines/>
              <w:tabs>
                <w:tab w:val="left" w:pos="1133"/>
              </w:tabs>
              <w:contextualSpacing/>
              <w:jc w:val="center"/>
              <w:rPr>
                <w:rFonts w:asciiTheme="majorBidi" w:hAnsiTheme="majorBidi" w:cstheme="majorBidi"/>
                <w:sz w:val="21"/>
                <w:szCs w:val="21"/>
                <w:rtl/>
              </w:rPr>
            </w:pPr>
          </w:p>
        </w:tc>
        <w:tc>
          <w:tcPr>
            <w:tcW w:w="2535" w:type="dxa"/>
          </w:tcPr>
          <w:p w14:paraId="40793A21" w14:textId="6F6D1982" w:rsidR="0085581F" w:rsidRPr="0085581F" w:rsidRDefault="00E34283" w:rsidP="0085581F">
            <w:pPr>
              <w:keepLines/>
              <w:tabs>
                <w:tab w:val="left" w:pos="1133"/>
              </w:tabs>
              <w:contextualSpacing/>
              <w:jc w:val="center"/>
              <w:rPr>
                <w:rFonts w:asciiTheme="majorBidi" w:hAnsiTheme="majorBidi" w:cstheme="majorBidi"/>
                <w:sz w:val="21"/>
                <w:szCs w:val="21"/>
              </w:rPr>
            </w:pPr>
            <w:r>
              <w:rPr>
                <w:rFonts w:asciiTheme="majorBidi" w:hAnsiTheme="majorBidi" w:cstheme="majorBidi"/>
                <w:sz w:val="21"/>
              </w:rPr>
              <w:t>21.3</w:t>
            </w:r>
          </w:p>
        </w:tc>
      </w:tr>
      <w:tr w:rsidR="0085581F" w:rsidRPr="0085581F" w14:paraId="1B70BC6C" w14:textId="77777777" w:rsidTr="00A65A6F">
        <w:tc>
          <w:tcPr>
            <w:tcW w:w="2534" w:type="dxa"/>
          </w:tcPr>
          <w:p w14:paraId="7772DA74" w14:textId="77777777" w:rsidR="0085581F" w:rsidRPr="0085581F" w:rsidRDefault="0085581F" w:rsidP="0085581F">
            <w:pPr>
              <w:keepLines/>
              <w:tabs>
                <w:tab w:val="left" w:pos="1133"/>
              </w:tabs>
              <w:contextualSpacing/>
              <w:jc w:val="center"/>
              <w:rPr>
                <w:rFonts w:asciiTheme="majorBidi" w:hAnsiTheme="majorBidi" w:cstheme="majorBidi"/>
                <w:sz w:val="21"/>
                <w:szCs w:val="21"/>
              </w:rPr>
            </w:pPr>
            <w:r w:rsidRPr="0085581F">
              <w:rPr>
                <w:rFonts w:asciiTheme="majorBidi" w:hAnsiTheme="majorBidi" w:cstheme="majorBidi"/>
                <w:sz w:val="21"/>
              </w:rPr>
              <w:t>2028</w:t>
            </w:r>
          </w:p>
        </w:tc>
        <w:tc>
          <w:tcPr>
            <w:tcW w:w="2534" w:type="dxa"/>
          </w:tcPr>
          <w:p w14:paraId="0C339CF7" w14:textId="77777777" w:rsidR="0085581F" w:rsidRPr="0085581F" w:rsidRDefault="0085581F" w:rsidP="0085581F">
            <w:pPr>
              <w:keepLines/>
              <w:tabs>
                <w:tab w:val="left" w:pos="1133"/>
              </w:tabs>
              <w:contextualSpacing/>
              <w:jc w:val="center"/>
              <w:rPr>
                <w:rFonts w:asciiTheme="majorBidi" w:hAnsiTheme="majorBidi" w:cstheme="majorBidi"/>
                <w:sz w:val="21"/>
                <w:szCs w:val="21"/>
                <w:rtl/>
              </w:rPr>
            </w:pPr>
          </w:p>
        </w:tc>
        <w:tc>
          <w:tcPr>
            <w:tcW w:w="2534" w:type="dxa"/>
          </w:tcPr>
          <w:p w14:paraId="331956EB" w14:textId="77777777" w:rsidR="0085581F" w:rsidRPr="0085581F" w:rsidRDefault="0085581F" w:rsidP="0085581F">
            <w:pPr>
              <w:keepLines/>
              <w:tabs>
                <w:tab w:val="left" w:pos="1133"/>
              </w:tabs>
              <w:contextualSpacing/>
              <w:jc w:val="center"/>
              <w:rPr>
                <w:rFonts w:asciiTheme="majorBidi" w:hAnsiTheme="majorBidi" w:cstheme="majorBidi"/>
                <w:sz w:val="21"/>
                <w:szCs w:val="21"/>
                <w:rtl/>
              </w:rPr>
            </w:pPr>
          </w:p>
        </w:tc>
        <w:tc>
          <w:tcPr>
            <w:tcW w:w="2535" w:type="dxa"/>
          </w:tcPr>
          <w:p w14:paraId="6E284F22" w14:textId="6CEE0D92" w:rsidR="0085581F" w:rsidRPr="0085581F" w:rsidRDefault="00E34283" w:rsidP="0085581F">
            <w:pPr>
              <w:keepLines/>
              <w:tabs>
                <w:tab w:val="left" w:pos="1133"/>
              </w:tabs>
              <w:contextualSpacing/>
              <w:jc w:val="center"/>
              <w:rPr>
                <w:rFonts w:asciiTheme="majorBidi" w:hAnsiTheme="majorBidi" w:cstheme="majorBidi"/>
                <w:sz w:val="21"/>
                <w:szCs w:val="21"/>
              </w:rPr>
            </w:pPr>
            <w:r>
              <w:rPr>
                <w:rFonts w:asciiTheme="majorBidi" w:hAnsiTheme="majorBidi" w:cstheme="majorBidi"/>
                <w:sz w:val="21"/>
              </w:rPr>
              <w:t>3.9</w:t>
            </w:r>
          </w:p>
        </w:tc>
      </w:tr>
      <w:tr w:rsidR="0085581F" w:rsidRPr="0085581F" w14:paraId="68B8BBBB" w14:textId="77777777" w:rsidTr="00A65A6F">
        <w:tc>
          <w:tcPr>
            <w:tcW w:w="2534" w:type="dxa"/>
          </w:tcPr>
          <w:p w14:paraId="4EF93275" w14:textId="77777777" w:rsidR="0085581F" w:rsidRPr="0085581F" w:rsidRDefault="0085581F" w:rsidP="0085581F">
            <w:pPr>
              <w:keepLines/>
              <w:tabs>
                <w:tab w:val="left" w:pos="1133"/>
              </w:tabs>
              <w:contextualSpacing/>
              <w:jc w:val="center"/>
              <w:rPr>
                <w:rFonts w:asciiTheme="majorBidi" w:hAnsiTheme="majorBidi" w:cstheme="majorBidi"/>
                <w:b/>
                <w:bCs/>
                <w:sz w:val="21"/>
                <w:szCs w:val="21"/>
              </w:rPr>
            </w:pPr>
            <w:r w:rsidRPr="0085581F">
              <w:rPr>
                <w:rFonts w:asciiTheme="majorBidi" w:hAnsiTheme="majorBidi" w:cstheme="majorBidi"/>
                <w:b/>
                <w:sz w:val="21"/>
              </w:rPr>
              <w:t>Total</w:t>
            </w:r>
          </w:p>
        </w:tc>
        <w:tc>
          <w:tcPr>
            <w:tcW w:w="2534" w:type="dxa"/>
          </w:tcPr>
          <w:p w14:paraId="49118753" w14:textId="5ADC3975" w:rsidR="0085581F" w:rsidRPr="0085581F" w:rsidRDefault="0085581F" w:rsidP="0085581F">
            <w:pPr>
              <w:keepLines/>
              <w:tabs>
                <w:tab w:val="left" w:pos="1133"/>
              </w:tabs>
              <w:contextualSpacing/>
              <w:jc w:val="center"/>
              <w:rPr>
                <w:rFonts w:asciiTheme="majorBidi" w:hAnsiTheme="majorBidi" w:cstheme="majorBidi"/>
                <w:b/>
                <w:bCs/>
                <w:sz w:val="21"/>
                <w:szCs w:val="21"/>
              </w:rPr>
            </w:pPr>
            <w:r w:rsidRPr="0085581F">
              <w:rPr>
                <w:rFonts w:asciiTheme="majorBidi" w:hAnsiTheme="majorBidi" w:cstheme="majorBidi"/>
                <w:b/>
                <w:sz w:val="21"/>
              </w:rPr>
              <w:t>1,</w:t>
            </w:r>
            <w:r w:rsidR="00E34283">
              <w:rPr>
                <w:rFonts w:asciiTheme="majorBidi" w:hAnsiTheme="majorBidi" w:cstheme="majorBidi"/>
                <w:b/>
                <w:sz w:val="21"/>
              </w:rPr>
              <w:t>618</w:t>
            </w:r>
            <w:r w:rsidRPr="0085581F">
              <w:rPr>
                <w:rFonts w:asciiTheme="majorBidi" w:hAnsiTheme="majorBidi" w:cstheme="majorBidi"/>
                <w:b/>
                <w:sz w:val="21"/>
              </w:rPr>
              <w:t>.</w:t>
            </w:r>
            <w:r w:rsidR="00E34283">
              <w:rPr>
                <w:rFonts w:asciiTheme="majorBidi" w:hAnsiTheme="majorBidi" w:cstheme="majorBidi"/>
                <w:b/>
                <w:sz w:val="21"/>
              </w:rPr>
              <w:t>1</w:t>
            </w:r>
          </w:p>
        </w:tc>
        <w:tc>
          <w:tcPr>
            <w:tcW w:w="2534" w:type="dxa"/>
          </w:tcPr>
          <w:p w14:paraId="4081464E" w14:textId="38B6652C" w:rsidR="0085581F" w:rsidRPr="0085581F" w:rsidRDefault="00E34283" w:rsidP="0085581F">
            <w:pPr>
              <w:keepLines/>
              <w:tabs>
                <w:tab w:val="left" w:pos="1133"/>
              </w:tabs>
              <w:contextualSpacing/>
              <w:jc w:val="center"/>
              <w:rPr>
                <w:rFonts w:asciiTheme="majorBidi" w:hAnsiTheme="majorBidi" w:cstheme="majorBidi"/>
                <w:b/>
                <w:bCs/>
                <w:sz w:val="21"/>
                <w:szCs w:val="21"/>
              </w:rPr>
            </w:pPr>
            <w:r>
              <w:rPr>
                <w:rFonts w:asciiTheme="majorBidi" w:hAnsiTheme="majorBidi" w:cstheme="majorBidi"/>
                <w:b/>
                <w:sz w:val="21"/>
              </w:rPr>
              <w:t>309.8</w:t>
            </w:r>
          </w:p>
        </w:tc>
        <w:tc>
          <w:tcPr>
            <w:tcW w:w="2535" w:type="dxa"/>
          </w:tcPr>
          <w:p w14:paraId="3A72FF4B" w14:textId="12D60217" w:rsidR="0085581F" w:rsidRPr="0085581F" w:rsidRDefault="00E34283" w:rsidP="0085581F">
            <w:pPr>
              <w:keepLines/>
              <w:tabs>
                <w:tab w:val="left" w:pos="1133"/>
              </w:tabs>
              <w:contextualSpacing/>
              <w:jc w:val="center"/>
              <w:rPr>
                <w:rFonts w:asciiTheme="majorBidi" w:hAnsiTheme="majorBidi" w:cstheme="majorBidi"/>
                <w:b/>
                <w:bCs/>
                <w:sz w:val="21"/>
                <w:szCs w:val="21"/>
              </w:rPr>
            </w:pPr>
            <w:r>
              <w:rPr>
                <w:rFonts w:asciiTheme="majorBidi" w:hAnsiTheme="majorBidi" w:cstheme="majorBidi"/>
                <w:b/>
                <w:sz w:val="21"/>
              </w:rPr>
              <w:t>309.8</w:t>
            </w:r>
          </w:p>
        </w:tc>
      </w:tr>
    </w:tbl>
    <w:p w14:paraId="237F6024" w14:textId="69CF5B0D" w:rsidR="0085581F" w:rsidRPr="0085581F" w:rsidRDefault="0085581F" w:rsidP="00271F4D">
      <w:pPr>
        <w:keepNext/>
        <w:keepLines/>
        <w:pageBreakBefore/>
        <w:tabs>
          <w:tab w:val="left" w:pos="425"/>
          <w:tab w:val="left" w:pos="1133"/>
        </w:tabs>
        <w:outlineLvl w:val="3"/>
        <w:rPr>
          <w:rFonts w:asciiTheme="majorBidi" w:hAnsiTheme="majorBidi" w:cstheme="majorBidi"/>
          <w:sz w:val="21"/>
          <w:szCs w:val="21"/>
          <w:u w:val="single"/>
        </w:rPr>
      </w:pPr>
      <w:bookmarkStart w:id="34" w:name="RG_MARKER_56910"/>
      <w:bookmarkStart w:id="35" w:name="H4_EPRA_Earnings_FFO____________1"/>
      <w:r w:rsidRPr="0085581F">
        <w:rPr>
          <w:rFonts w:asciiTheme="majorBidi" w:hAnsiTheme="majorBidi" w:cstheme="majorBidi"/>
          <w:sz w:val="21"/>
        </w:rPr>
        <w:lastRenderedPageBreak/>
        <w:t xml:space="preserve">2.5. </w:t>
      </w:r>
      <w:bookmarkStart w:id="36" w:name="RG_MARKER_56618"/>
      <w:bookmarkStart w:id="37" w:name="H4_שווי_נכסי_נקי_EPRA_NAV_ו_EPRA_NNNAV__"/>
      <w:bookmarkEnd w:id="34"/>
      <w:bookmarkEnd w:id="35"/>
      <w:bookmarkEnd w:id="36"/>
      <w:r w:rsidRPr="0085581F">
        <w:rPr>
          <w:rFonts w:asciiTheme="majorBidi" w:hAnsiTheme="majorBidi" w:cstheme="majorBidi"/>
          <w:u w:val="single"/>
        </w:rPr>
        <w:t>Net property value (EPRA NTA, EPRA NRV and EPRA NDV)</w:t>
      </w:r>
    </w:p>
    <w:p w14:paraId="68980464" w14:textId="77777777" w:rsidR="0085581F" w:rsidRPr="0085581F" w:rsidRDefault="0085581F" w:rsidP="0085581F">
      <w:pPr>
        <w:keepLines/>
        <w:widowControl w:val="0"/>
        <w:tabs>
          <w:tab w:val="left" w:pos="425"/>
          <w:tab w:val="left" w:pos="1133"/>
        </w:tabs>
        <w:contextualSpacing/>
        <w:rPr>
          <w:rFonts w:asciiTheme="majorBidi" w:hAnsiTheme="majorBidi" w:cstheme="majorBidi"/>
          <w:sz w:val="21"/>
          <w:szCs w:val="21"/>
        </w:rPr>
      </w:pPr>
      <w:r w:rsidRPr="0085581F">
        <w:rPr>
          <w:rFonts w:asciiTheme="majorBidi" w:hAnsiTheme="majorBidi" w:cstheme="majorBidi"/>
          <w:sz w:val="21"/>
        </w:rPr>
        <w:t>As is customary in the European countries in which the Group operates, and in line with the EPRA position paper, whose objective is to promote greater transparency, uniformity and comparability of the financial information reported by real estate companies, the Company publishes net asset value data (EPRA NRV), which is a measure that reflects the net asset value of the Company, as reflected by the Company’s statement of financial position with certain adjustments, e.g., the exclusion of deferred taxes with respect to the revaluation of investment property and investment property under development to their fair value and the exclusion of the fair value of financial derivatives (with the exception of financial derivatives used for currency hedging for which the difference between the fair value and intrinsic value is excluded); the EPRA NTA data, which is another measure reflecting net asset value on the assumption that the Company buys and sells assets with certain adjustments to some of the reserves for deferred taxes with respect to the revaluation of investment property and investment property under development to their fair value and less the fair value of the foregoing type of financial derivatives; and the EPRA NDV data that is another measure reflecting the net fair value of assets adjusted to the fair value of the financial liabilities.</w:t>
      </w:r>
    </w:p>
    <w:bookmarkEnd w:id="37"/>
    <w:p w14:paraId="2AED5CD3" w14:textId="77777777" w:rsidR="0085581F" w:rsidRPr="0085581F" w:rsidRDefault="0085581F" w:rsidP="0085581F">
      <w:pPr>
        <w:keepLines/>
        <w:widowControl w:val="0"/>
        <w:tabs>
          <w:tab w:val="left" w:pos="425"/>
          <w:tab w:val="left" w:pos="1133"/>
        </w:tabs>
        <w:contextualSpacing/>
        <w:rPr>
          <w:rFonts w:asciiTheme="majorBidi" w:hAnsiTheme="majorBidi" w:cstheme="majorBidi"/>
          <w:sz w:val="21"/>
          <w:szCs w:val="21"/>
        </w:rPr>
      </w:pPr>
      <w:r w:rsidRPr="0085581F">
        <w:rPr>
          <w:rFonts w:asciiTheme="majorBidi" w:hAnsiTheme="majorBidi" w:cstheme="majorBidi"/>
        </w:rPr>
        <w:t>The Company believes that the presentation of the EPRA NTA, EPRA NRV and EPRA NDV data enables the net value data of the Company’s properties to be compared with those of other European real estate companies.</w:t>
      </w:r>
      <w:r w:rsidRPr="0085581F">
        <w:rPr>
          <w:rFonts w:asciiTheme="majorBidi" w:hAnsiTheme="majorBidi" w:cstheme="majorBidi"/>
          <w:sz w:val="21"/>
        </w:rPr>
        <w:t xml:space="preserve"> </w:t>
      </w:r>
      <w:r w:rsidRPr="0085581F">
        <w:rPr>
          <w:rFonts w:asciiTheme="majorBidi" w:hAnsiTheme="majorBidi" w:cstheme="majorBidi"/>
        </w:rPr>
        <w:t>However, such data do not constitute a valuation of the Company and do not replace the data presented in the financial statements, but rather provide an additional aspect of the Company’s net asset value (NAV) in accordance with the EPRA recommendations.</w:t>
      </w:r>
      <w:r w:rsidRPr="0085581F">
        <w:rPr>
          <w:rFonts w:asciiTheme="majorBidi" w:hAnsiTheme="majorBidi" w:cstheme="majorBidi"/>
          <w:sz w:val="21"/>
        </w:rPr>
        <w:t xml:space="preserve"> It is clarified that such data are not audited by the Company’s independent auditors.</w:t>
      </w:r>
    </w:p>
    <w:p w14:paraId="6F0EE517" w14:textId="77777777" w:rsidR="0085581F" w:rsidRPr="0085581F" w:rsidRDefault="0085581F" w:rsidP="0085581F">
      <w:pPr>
        <w:keepNext/>
        <w:keepLines/>
        <w:widowControl w:val="0"/>
        <w:tabs>
          <w:tab w:val="left" w:pos="425"/>
          <w:tab w:val="left" w:pos="1133"/>
        </w:tabs>
        <w:contextualSpacing/>
        <w:rPr>
          <w:rFonts w:asciiTheme="majorBidi" w:hAnsiTheme="majorBidi" w:cstheme="majorBidi"/>
          <w:sz w:val="21"/>
          <w:szCs w:val="21"/>
        </w:rPr>
      </w:pPr>
      <w:r w:rsidRPr="0085581F">
        <w:rPr>
          <w:rFonts w:asciiTheme="majorBidi" w:hAnsiTheme="majorBidi" w:cstheme="majorBidi"/>
          <w:sz w:val="21"/>
        </w:rPr>
        <w:t>Below is the calculation of the Company’s EPRA NTA, EPRA NRV and EPRA NDV:</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85581F" w:rsidRPr="0085581F" w14:paraId="3BCE2107" w14:textId="77777777" w:rsidTr="00A65A6F">
        <w:trPr>
          <w:cantSplit/>
          <w:jc w:val="center"/>
        </w:trPr>
        <w:tc>
          <w:tcPr>
            <w:tcW w:w="5000" w:type="pct"/>
          </w:tcPr>
          <w:tbl>
            <w:tblPr>
              <w:tblStyle w:val="CDMRange120"/>
              <w:tblW w:w="9922" w:type="dxa"/>
              <w:tblLook w:val="0600" w:firstRow="0" w:lastRow="0" w:firstColumn="0" w:lastColumn="0" w:noHBand="1" w:noVBand="1"/>
              <w:tblCaption w:val="Print_Area"/>
            </w:tblPr>
            <w:tblGrid>
              <w:gridCol w:w="472"/>
              <w:gridCol w:w="5526"/>
              <w:gridCol w:w="1207"/>
              <w:gridCol w:w="1011"/>
              <w:gridCol w:w="136"/>
              <w:gridCol w:w="1570"/>
            </w:tblGrid>
            <w:tr w:rsidR="0085581F" w:rsidRPr="0085581F" w14:paraId="3360BD63" w14:textId="77777777" w:rsidTr="00A65A6F">
              <w:trPr>
                <w:trHeight w:val="300"/>
              </w:trPr>
              <w:tc>
                <w:tcPr>
                  <w:tcW w:w="459" w:type="dxa"/>
                  <w:tcBorders>
                    <w:top w:val="nil"/>
                    <w:left w:val="nil"/>
                    <w:bottom w:val="nil"/>
                    <w:right w:val="nil"/>
                    <w:tl2br w:val="nil"/>
                    <w:tr2bl w:val="nil"/>
                  </w:tcBorders>
                  <w:shd w:val="clear" w:color="FFFFFF" w:fill="000031"/>
                  <w:noWrap/>
                  <w:tcMar>
                    <w:left w:w="0" w:type="dxa"/>
                    <w:right w:w="0" w:type="dxa"/>
                  </w:tcMar>
                  <w:vAlign w:val="bottom"/>
                </w:tcPr>
                <w:p w14:paraId="2977866A"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21"/>
                    </w:rPr>
                  </w:pPr>
                </w:p>
              </w:tc>
              <w:tc>
                <w:tcPr>
                  <w:tcW w:w="5559" w:type="dxa"/>
                  <w:tcBorders>
                    <w:top w:val="nil"/>
                    <w:left w:val="nil"/>
                    <w:bottom w:val="nil"/>
                    <w:right w:val="nil"/>
                    <w:tl2br w:val="nil"/>
                    <w:tr2bl w:val="nil"/>
                  </w:tcBorders>
                  <w:shd w:val="clear" w:color="FFFFFF" w:fill="000031"/>
                  <w:noWrap/>
                  <w:tcMar>
                    <w:left w:w="0" w:type="dxa"/>
                    <w:right w:w="0" w:type="dxa"/>
                  </w:tcMar>
                  <w:vAlign w:val="bottom"/>
                </w:tcPr>
                <w:p w14:paraId="696C4914" w14:textId="77777777" w:rsidR="0085581F" w:rsidRPr="0085581F" w:rsidRDefault="0085581F" w:rsidP="0085581F">
                  <w:pPr>
                    <w:spacing w:before="0" w:after="0" w:line="240" w:lineRule="auto"/>
                    <w:jc w:val="right"/>
                    <w:rPr>
                      <w:rFonts w:asciiTheme="majorBidi" w:eastAsia="Ploni ML Medium AAA Medium" w:hAnsiTheme="majorBidi" w:cstheme="majorBidi"/>
                      <w:color w:val="FFFFFF"/>
                      <w:sz w:val="21"/>
                    </w:rPr>
                  </w:pPr>
                </w:p>
              </w:tc>
              <w:tc>
                <w:tcPr>
                  <w:tcW w:w="2204" w:type="dxa"/>
                  <w:gridSpan w:val="2"/>
                  <w:tcBorders>
                    <w:top w:val="nil"/>
                    <w:left w:val="nil"/>
                    <w:bottom w:val="nil"/>
                    <w:right w:val="nil"/>
                    <w:tl2br w:val="nil"/>
                    <w:tr2bl w:val="nil"/>
                  </w:tcBorders>
                  <w:shd w:val="clear" w:color="FFFFFF" w:fill="000031"/>
                  <w:tcMar>
                    <w:left w:w="43" w:type="dxa"/>
                    <w:right w:w="43" w:type="dxa"/>
                  </w:tcMar>
                  <w:vAlign w:val="bottom"/>
                </w:tcPr>
                <w:p w14:paraId="7A3C636C"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At June 30</w:t>
                  </w:r>
                </w:p>
              </w:tc>
              <w:tc>
                <w:tcPr>
                  <w:tcW w:w="1700" w:type="dxa"/>
                  <w:gridSpan w:val="2"/>
                  <w:tcBorders>
                    <w:top w:val="nil"/>
                    <w:left w:val="nil"/>
                    <w:bottom w:val="nil"/>
                    <w:right w:val="nil"/>
                    <w:tl2br w:val="nil"/>
                    <w:tr2bl w:val="nil"/>
                  </w:tcBorders>
                  <w:shd w:val="clear" w:color="FFFFFF" w:fill="000031"/>
                  <w:tcMar>
                    <w:left w:w="43" w:type="dxa"/>
                    <w:right w:w="43" w:type="dxa"/>
                  </w:tcMar>
                  <w:vAlign w:val="bottom"/>
                </w:tcPr>
                <w:p w14:paraId="79BF1A4C"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At December 31</w:t>
                  </w:r>
                </w:p>
              </w:tc>
            </w:tr>
            <w:tr w:rsidR="0085581F" w:rsidRPr="0085581F" w14:paraId="3F0A7A1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59" w:type="dxa"/>
                  <w:tcBorders>
                    <w:top w:val="nil"/>
                    <w:left w:val="nil"/>
                    <w:bottom w:val="nil"/>
                    <w:right w:val="nil"/>
                    <w:tl2br w:val="nil"/>
                    <w:tr2bl w:val="nil"/>
                  </w:tcBorders>
                  <w:shd w:val="clear" w:color="auto" w:fill="auto"/>
                  <w:noWrap/>
                  <w:tcMar>
                    <w:left w:w="0" w:type="dxa"/>
                    <w:right w:w="0" w:type="dxa"/>
                  </w:tcMar>
                  <w:vAlign w:val="bottom"/>
                </w:tcPr>
                <w:p w14:paraId="214E4879"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5559" w:type="dxa"/>
                  <w:tcBorders>
                    <w:top w:val="nil"/>
                    <w:left w:val="nil"/>
                    <w:bottom w:val="nil"/>
                    <w:right w:val="nil"/>
                    <w:tl2br w:val="nil"/>
                    <w:tr2bl w:val="nil"/>
                  </w:tcBorders>
                  <w:shd w:val="clear" w:color="auto" w:fill="auto"/>
                  <w:noWrap/>
                  <w:tcMar>
                    <w:left w:w="0" w:type="dxa"/>
                    <w:right w:w="0" w:type="dxa"/>
                  </w:tcMar>
                  <w:vAlign w:val="bottom"/>
                </w:tcPr>
                <w:p w14:paraId="533F04B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200" w:type="dxa"/>
                  <w:tcBorders>
                    <w:top w:val="nil"/>
                    <w:left w:val="nil"/>
                    <w:bottom w:val="nil"/>
                    <w:right w:val="nil"/>
                    <w:tl2br w:val="nil"/>
                    <w:tr2bl w:val="nil"/>
                  </w:tcBorders>
                  <w:shd w:val="clear" w:color="auto" w:fill="auto"/>
                  <w:noWrap/>
                  <w:tcMar>
                    <w:left w:w="43" w:type="dxa"/>
                    <w:right w:w="178" w:type="dxa"/>
                  </w:tcMar>
                  <w:vAlign w:val="bottom"/>
                </w:tcPr>
                <w:p w14:paraId="33A4307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u w:val="single"/>
                    </w:rPr>
                  </w:pPr>
                  <w:r w:rsidRPr="0085581F">
                    <w:rPr>
                      <w:rFonts w:asciiTheme="majorBidi" w:hAnsiTheme="majorBidi" w:cstheme="majorBidi"/>
                      <w:color w:val="000000"/>
                      <w:sz w:val="21"/>
                      <w:u w:val="single"/>
                    </w:rPr>
                    <w:t>2024</w:t>
                  </w:r>
                </w:p>
              </w:tc>
              <w:tc>
                <w:tcPr>
                  <w:tcW w:w="1138" w:type="dxa"/>
                  <w:gridSpan w:val="2"/>
                  <w:tcBorders>
                    <w:top w:val="nil"/>
                    <w:left w:val="nil"/>
                    <w:bottom w:val="nil"/>
                    <w:right w:val="nil"/>
                    <w:tl2br w:val="nil"/>
                    <w:tr2bl w:val="nil"/>
                  </w:tcBorders>
                  <w:shd w:val="clear" w:color="auto" w:fill="auto"/>
                  <w:noWrap/>
                  <w:tcMar>
                    <w:left w:w="43" w:type="dxa"/>
                    <w:right w:w="178" w:type="dxa"/>
                  </w:tcMar>
                  <w:vAlign w:val="bottom"/>
                </w:tcPr>
                <w:p w14:paraId="3CE39B6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u w:val="single"/>
                    </w:rPr>
                  </w:pPr>
                  <w:r w:rsidRPr="0085581F">
                    <w:rPr>
                      <w:rFonts w:asciiTheme="majorBidi" w:hAnsiTheme="majorBidi" w:cstheme="majorBidi"/>
                      <w:color w:val="000000"/>
                      <w:sz w:val="21"/>
                      <w:u w:val="single"/>
                    </w:rPr>
                    <w:t>2023</w:t>
                  </w:r>
                </w:p>
              </w:tc>
              <w:tc>
                <w:tcPr>
                  <w:tcW w:w="1566" w:type="dxa"/>
                  <w:tcBorders>
                    <w:top w:val="nil"/>
                    <w:left w:val="nil"/>
                    <w:bottom w:val="nil"/>
                    <w:right w:val="nil"/>
                    <w:tl2br w:val="nil"/>
                    <w:tr2bl w:val="nil"/>
                  </w:tcBorders>
                  <w:shd w:val="clear" w:color="auto" w:fill="auto"/>
                  <w:noWrap/>
                  <w:tcMar>
                    <w:left w:w="43" w:type="dxa"/>
                    <w:right w:w="178" w:type="dxa"/>
                  </w:tcMar>
                  <w:vAlign w:val="bottom"/>
                </w:tcPr>
                <w:p w14:paraId="02CE4A7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u w:val="single"/>
                    </w:rPr>
                  </w:pPr>
                  <w:r w:rsidRPr="0085581F">
                    <w:rPr>
                      <w:rFonts w:asciiTheme="majorBidi" w:hAnsiTheme="majorBidi" w:cstheme="majorBidi"/>
                      <w:color w:val="000000"/>
                      <w:sz w:val="21"/>
                      <w:u w:val="single"/>
                    </w:rPr>
                    <w:t>2023</w:t>
                  </w:r>
                </w:p>
              </w:tc>
            </w:tr>
            <w:tr w:rsidR="0085581F" w:rsidRPr="0085581F" w14:paraId="74B8DE0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59" w:type="dxa"/>
                  <w:tcBorders>
                    <w:top w:val="nil"/>
                    <w:left w:val="nil"/>
                    <w:bottom w:val="nil"/>
                    <w:right w:val="nil"/>
                    <w:tl2br w:val="nil"/>
                    <w:tr2bl w:val="nil"/>
                  </w:tcBorders>
                  <w:shd w:val="clear" w:color="FFFFFF" w:fill="000031"/>
                  <w:noWrap/>
                  <w:tcMar>
                    <w:left w:w="0" w:type="dxa"/>
                    <w:right w:w="0" w:type="dxa"/>
                  </w:tcMar>
                  <w:vAlign w:val="bottom"/>
                </w:tcPr>
                <w:p w14:paraId="0FFB72B2"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21"/>
                    </w:rPr>
                  </w:pPr>
                </w:p>
              </w:tc>
              <w:tc>
                <w:tcPr>
                  <w:tcW w:w="5559" w:type="dxa"/>
                  <w:tcBorders>
                    <w:top w:val="nil"/>
                    <w:left w:val="nil"/>
                    <w:bottom w:val="nil"/>
                    <w:right w:val="nil"/>
                    <w:tl2br w:val="nil"/>
                    <w:tr2bl w:val="nil"/>
                  </w:tcBorders>
                  <w:shd w:val="clear" w:color="FFFFFF" w:fill="000031"/>
                  <w:noWrap/>
                  <w:tcMar>
                    <w:left w:w="0" w:type="dxa"/>
                    <w:right w:w="0" w:type="dxa"/>
                  </w:tcMar>
                  <w:vAlign w:val="bottom"/>
                </w:tcPr>
                <w:p w14:paraId="3C6BDE12"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sz w:val="21"/>
                    </w:rPr>
                  </w:pPr>
                </w:p>
              </w:tc>
              <w:tc>
                <w:tcPr>
                  <w:tcW w:w="3904" w:type="dxa"/>
                  <w:gridSpan w:val="4"/>
                  <w:tcBorders>
                    <w:top w:val="nil"/>
                    <w:left w:val="nil"/>
                    <w:bottom w:val="nil"/>
                    <w:right w:val="nil"/>
                    <w:tl2br w:val="nil"/>
                    <w:tr2bl w:val="nil"/>
                  </w:tcBorders>
                  <w:shd w:val="clear" w:color="FFFFFF" w:fill="000031"/>
                  <w:noWrap/>
                  <w:tcMar>
                    <w:left w:w="0" w:type="dxa"/>
                    <w:right w:w="0" w:type="dxa"/>
                  </w:tcMar>
                  <w:vAlign w:val="bottom"/>
                </w:tcPr>
                <w:p w14:paraId="1133365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21"/>
                    </w:rPr>
                  </w:pPr>
                </w:p>
              </w:tc>
            </w:tr>
            <w:tr w:rsidR="0085581F" w:rsidRPr="0085581F" w14:paraId="5B54761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6018" w:type="dxa"/>
                  <w:gridSpan w:val="2"/>
                  <w:tcBorders>
                    <w:top w:val="nil"/>
                    <w:left w:val="nil"/>
                    <w:bottom w:val="nil"/>
                    <w:right w:val="nil"/>
                    <w:tl2br w:val="nil"/>
                    <w:tr2bl w:val="nil"/>
                  </w:tcBorders>
                  <w:shd w:val="clear" w:color="auto" w:fill="auto"/>
                  <w:noWrap/>
                  <w:tcMar>
                    <w:left w:w="43" w:type="dxa"/>
                    <w:right w:w="178" w:type="dxa"/>
                  </w:tcMar>
                  <w:vAlign w:val="bottom"/>
                </w:tcPr>
                <w:p w14:paraId="732BA43D"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u w:val="single"/>
                    </w:rPr>
                  </w:pPr>
                  <w:r w:rsidRPr="0085581F">
                    <w:rPr>
                      <w:rFonts w:asciiTheme="majorBidi" w:hAnsiTheme="majorBidi" w:cstheme="majorBidi"/>
                      <w:color w:val="000000"/>
                      <w:sz w:val="21"/>
                      <w:u w:val="single"/>
                    </w:rPr>
                    <w:t>EPRA NRV</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C489A6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38" w:type="dxa"/>
                  <w:gridSpan w:val="2"/>
                  <w:tcBorders>
                    <w:top w:val="nil"/>
                    <w:left w:val="nil"/>
                    <w:bottom w:val="nil"/>
                    <w:right w:val="nil"/>
                    <w:tl2br w:val="nil"/>
                    <w:tr2bl w:val="nil"/>
                  </w:tcBorders>
                  <w:shd w:val="clear" w:color="auto" w:fill="auto"/>
                  <w:noWrap/>
                  <w:tcMar>
                    <w:left w:w="0" w:type="dxa"/>
                    <w:right w:w="0" w:type="dxa"/>
                  </w:tcMar>
                  <w:vAlign w:val="bottom"/>
                </w:tcPr>
                <w:p w14:paraId="3857CD4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566" w:type="dxa"/>
                  <w:tcBorders>
                    <w:top w:val="nil"/>
                    <w:left w:val="nil"/>
                    <w:bottom w:val="nil"/>
                    <w:right w:val="nil"/>
                    <w:tl2br w:val="nil"/>
                    <w:tr2bl w:val="nil"/>
                  </w:tcBorders>
                  <w:shd w:val="clear" w:color="auto" w:fill="auto"/>
                  <w:noWrap/>
                  <w:tcMar>
                    <w:left w:w="0" w:type="dxa"/>
                    <w:right w:w="0" w:type="dxa"/>
                  </w:tcMar>
                  <w:vAlign w:val="bottom"/>
                </w:tcPr>
                <w:p w14:paraId="1B6A629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73A78CD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6018" w:type="dxa"/>
                  <w:gridSpan w:val="2"/>
                  <w:tcBorders>
                    <w:top w:val="nil"/>
                    <w:left w:val="nil"/>
                    <w:bottom w:val="nil"/>
                    <w:right w:val="nil"/>
                    <w:tl2br w:val="nil"/>
                    <w:tr2bl w:val="nil"/>
                  </w:tcBorders>
                  <w:shd w:val="clear" w:color="auto" w:fill="auto"/>
                  <w:noWrap/>
                  <w:tcMar>
                    <w:left w:w="43" w:type="dxa"/>
                    <w:right w:w="178" w:type="dxa"/>
                  </w:tcMar>
                  <w:vAlign w:val="bottom"/>
                </w:tcPr>
                <w:p w14:paraId="5242741E"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Equity attributable to the shareholders of the Company, per the financial statements</w:t>
                  </w:r>
                </w:p>
              </w:tc>
              <w:tc>
                <w:tcPr>
                  <w:tcW w:w="1200" w:type="dxa"/>
                  <w:tcBorders>
                    <w:top w:val="nil"/>
                    <w:left w:val="nil"/>
                    <w:bottom w:val="nil"/>
                    <w:right w:val="nil"/>
                    <w:tl2br w:val="nil"/>
                    <w:tr2bl w:val="nil"/>
                  </w:tcBorders>
                  <w:shd w:val="clear" w:color="auto" w:fill="auto"/>
                  <w:noWrap/>
                  <w:tcMar>
                    <w:left w:w="43" w:type="dxa"/>
                    <w:right w:w="178" w:type="dxa"/>
                  </w:tcMar>
                  <w:vAlign w:val="bottom"/>
                </w:tcPr>
                <w:p w14:paraId="5A6D8C1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4,925</w:t>
                  </w:r>
                </w:p>
              </w:tc>
              <w:tc>
                <w:tcPr>
                  <w:tcW w:w="1138" w:type="dxa"/>
                  <w:gridSpan w:val="2"/>
                  <w:tcBorders>
                    <w:top w:val="nil"/>
                    <w:left w:val="nil"/>
                    <w:bottom w:val="nil"/>
                    <w:right w:val="nil"/>
                    <w:tl2br w:val="nil"/>
                    <w:tr2bl w:val="nil"/>
                  </w:tcBorders>
                  <w:shd w:val="clear" w:color="auto" w:fill="auto"/>
                  <w:noWrap/>
                  <w:tcMar>
                    <w:left w:w="43" w:type="dxa"/>
                    <w:right w:w="178" w:type="dxa"/>
                  </w:tcMar>
                  <w:vAlign w:val="bottom"/>
                </w:tcPr>
                <w:p w14:paraId="37A475D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5,396</w:t>
                  </w:r>
                </w:p>
              </w:tc>
              <w:tc>
                <w:tcPr>
                  <w:tcW w:w="1566" w:type="dxa"/>
                  <w:tcBorders>
                    <w:top w:val="nil"/>
                    <w:left w:val="nil"/>
                    <w:bottom w:val="nil"/>
                    <w:right w:val="nil"/>
                    <w:tl2br w:val="nil"/>
                    <w:tr2bl w:val="nil"/>
                  </w:tcBorders>
                  <w:shd w:val="clear" w:color="auto" w:fill="auto"/>
                  <w:noWrap/>
                  <w:tcMar>
                    <w:left w:w="43" w:type="dxa"/>
                    <w:right w:w="178" w:type="dxa"/>
                  </w:tcMar>
                  <w:vAlign w:val="bottom"/>
                </w:tcPr>
                <w:p w14:paraId="3B48D1D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4,837</w:t>
                  </w:r>
                </w:p>
              </w:tc>
            </w:tr>
            <w:tr w:rsidR="0085581F" w:rsidRPr="0085581F" w14:paraId="5F851DE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18" w:type="dxa"/>
                  <w:gridSpan w:val="2"/>
                  <w:tcBorders>
                    <w:top w:val="nil"/>
                    <w:left w:val="nil"/>
                    <w:bottom w:val="nil"/>
                    <w:right w:val="nil"/>
                    <w:tl2br w:val="nil"/>
                    <w:tr2bl w:val="nil"/>
                  </w:tcBorders>
                  <w:shd w:val="clear" w:color="auto" w:fill="auto"/>
                  <w:tcMar>
                    <w:left w:w="43" w:type="dxa"/>
                    <w:right w:w="178" w:type="dxa"/>
                  </w:tcMar>
                  <w:vAlign w:val="bottom"/>
                </w:tcPr>
                <w:p w14:paraId="7DD3A6A4"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Exclusion of deferred tax liability on revaluation of investment property to fair value (net of minority's share) </w:t>
                  </w:r>
                  <w:r w:rsidRPr="0085581F">
                    <w:rPr>
                      <w:rFonts w:asciiTheme="majorBidi" w:hAnsiTheme="majorBidi" w:cstheme="majorBidi"/>
                      <w:color w:val="000000"/>
                      <w:sz w:val="21"/>
                      <w:vertAlign w:val="superscript"/>
                    </w:rPr>
                    <w:t>1</w:t>
                  </w:r>
                </w:p>
              </w:tc>
              <w:tc>
                <w:tcPr>
                  <w:tcW w:w="1200" w:type="dxa"/>
                  <w:tcBorders>
                    <w:top w:val="nil"/>
                    <w:left w:val="nil"/>
                    <w:bottom w:val="nil"/>
                    <w:right w:val="nil"/>
                    <w:tl2br w:val="nil"/>
                    <w:tr2bl w:val="nil"/>
                  </w:tcBorders>
                  <w:shd w:val="clear" w:color="auto" w:fill="auto"/>
                  <w:noWrap/>
                  <w:tcMar>
                    <w:left w:w="43" w:type="dxa"/>
                    <w:right w:w="178" w:type="dxa"/>
                  </w:tcMar>
                  <w:vAlign w:val="bottom"/>
                </w:tcPr>
                <w:p w14:paraId="3BACCFC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872</w:t>
                  </w:r>
                </w:p>
              </w:tc>
              <w:tc>
                <w:tcPr>
                  <w:tcW w:w="1138" w:type="dxa"/>
                  <w:gridSpan w:val="2"/>
                  <w:tcBorders>
                    <w:top w:val="nil"/>
                    <w:left w:val="nil"/>
                    <w:bottom w:val="nil"/>
                    <w:right w:val="nil"/>
                    <w:tl2br w:val="nil"/>
                    <w:tr2bl w:val="nil"/>
                  </w:tcBorders>
                  <w:shd w:val="clear" w:color="auto" w:fill="auto"/>
                  <w:noWrap/>
                  <w:tcMar>
                    <w:left w:w="43" w:type="dxa"/>
                    <w:right w:w="178" w:type="dxa"/>
                  </w:tcMar>
                  <w:vAlign w:val="bottom"/>
                </w:tcPr>
                <w:p w14:paraId="6FACA67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935</w:t>
                  </w:r>
                </w:p>
              </w:tc>
              <w:tc>
                <w:tcPr>
                  <w:tcW w:w="1566" w:type="dxa"/>
                  <w:tcBorders>
                    <w:top w:val="nil"/>
                    <w:left w:val="nil"/>
                    <w:bottom w:val="nil"/>
                    <w:right w:val="nil"/>
                    <w:tl2br w:val="nil"/>
                    <w:tr2bl w:val="nil"/>
                  </w:tcBorders>
                  <w:shd w:val="clear" w:color="auto" w:fill="auto"/>
                  <w:noWrap/>
                  <w:tcMar>
                    <w:left w:w="43" w:type="dxa"/>
                    <w:right w:w="178" w:type="dxa"/>
                  </w:tcMar>
                  <w:vAlign w:val="bottom"/>
                </w:tcPr>
                <w:p w14:paraId="4D7A150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841</w:t>
                  </w:r>
                </w:p>
              </w:tc>
            </w:tr>
            <w:tr w:rsidR="0085581F" w:rsidRPr="0085581F" w14:paraId="0F92467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18" w:type="dxa"/>
                  <w:gridSpan w:val="2"/>
                  <w:tcBorders>
                    <w:top w:val="nil"/>
                    <w:left w:val="nil"/>
                    <w:bottom w:val="single" w:sz="4" w:space="0" w:color="000000"/>
                    <w:right w:val="nil"/>
                    <w:tl2br w:val="nil"/>
                    <w:tr2bl w:val="nil"/>
                  </w:tcBorders>
                  <w:shd w:val="clear" w:color="auto" w:fill="auto"/>
                  <w:tcMar>
                    <w:left w:w="43" w:type="dxa"/>
                    <w:right w:w="178" w:type="dxa"/>
                  </w:tcMar>
                  <w:vAlign w:val="bottom"/>
                </w:tcPr>
                <w:p w14:paraId="10D8425E"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Fair value asset adjustment for financial derivatives, net </w:t>
                  </w:r>
                  <w:r w:rsidRPr="0085581F">
                    <w:rPr>
                      <w:rFonts w:asciiTheme="majorBidi" w:hAnsiTheme="majorBidi" w:cstheme="majorBidi"/>
                      <w:color w:val="000000"/>
                      <w:sz w:val="21"/>
                      <w:vertAlign w:val="superscript"/>
                    </w:rPr>
                    <w:t>2</w:t>
                  </w:r>
                </w:p>
              </w:tc>
              <w:tc>
                <w:tcPr>
                  <w:tcW w:w="120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376CCC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(89)</w:t>
                  </w:r>
                </w:p>
              </w:tc>
              <w:tc>
                <w:tcPr>
                  <w:tcW w:w="1138" w:type="dxa"/>
                  <w:gridSpan w:val="2"/>
                  <w:tcBorders>
                    <w:top w:val="nil"/>
                    <w:left w:val="nil"/>
                    <w:bottom w:val="single" w:sz="4" w:space="0" w:color="000000"/>
                    <w:right w:val="nil"/>
                    <w:tl2br w:val="nil"/>
                    <w:tr2bl w:val="nil"/>
                  </w:tcBorders>
                  <w:shd w:val="clear" w:color="auto" w:fill="auto"/>
                  <w:noWrap/>
                  <w:tcMar>
                    <w:left w:w="43" w:type="dxa"/>
                    <w:right w:w="178" w:type="dxa"/>
                  </w:tcMar>
                  <w:vAlign w:val="bottom"/>
                </w:tcPr>
                <w:p w14:paraId="0F9A530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(145)</w:t>
                  </w:r>
                </w:p>
              </w:tc>
              <w:tc>
                <w:tcPr>
                  <w:tcW w:w="156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E6FBC2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(33)</w:t>
                  </w:r>
                </w:p>
              </w:tc>
            </w:tr>
            <w:tr w:rsidR="0085581F" w:rsidRPr="0085581F" w14:paraId="1FB32F4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18" w:type="dxa"/>
                  <w:gridSpan w:val="2"/>
                  <w:tcBorders>
                    <w:top w:val="single" w:sz="4" w:space="0" w:color="000000"/>
                    <w:left w:val="nil"/>
                    <w:bottom w:val="double" w:sz="6" w:space="0" w:color="000000"/>
                    <w:right w:val="nil"/>
                    <w:tl2br w:val="nil"/>
                    <w:tr2bl w:val="nil"/>
                  </w:tcBorders>
                  <w:shd w:val="clear" w:color="auto" w:fill="auto"/>
                  <w:tcMar>
                    <w:left w:w="43" w:type="dxa"/>
                    <w:right w:w="178" w:type="dxa"/>
                  </w:tcMar>
                  <w:vAlign w:val="bottom"/>
                </w:tcPr>
                <w:p w14:paraId="79A60756"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EPRA NRV</w:t>
                  </w:r>
                </w:p>
              </w:tc>
              <w:tc>
                <w:tcPr>
                  <w:tcW w:w="120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717472B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5,708</w:t>
                  </w:r>
                </w:p>
              </w:tc>
              <w:tc>
                <w:tcPr>
                  <w:tcW w:w="1138" w:type="dxa"/>
                  <w:gridSpan w:val="2"/>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1B61B5B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6,186</w:t>
                  </w:r>
                </w:p>
              </w:tc>
              <w:tc>
                <w:tcPr>
                  <w:tcW w:w="1566"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0E85023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5,645</w:t>
                  </w:r>
                </w:p>
              </w:tc>
            </w:tr>
            <w:tr w:rsidR="0085581F" w:rsidRPr="0085581F" w14:paraId="20DA54C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18" w:type="dxa"/>
                  <w:gridSpan w:val="2"/>
                  <w:tcBorders>
                    <w:top w:val="double" w:sz="6" w:space="0" w:color="000000"/>
                    <w:left w:val="nil"/>
                    <w:bottom w:val="double" w:sz="6" w:space="0" w:color="000000"/>
                    <w:right w:val="nil"/>
                    <w:tl2br w:val="nil"/>
                    <w:tr2bl w:val="nil"/>
                  </w:tcBorders>
                  <w:shd w:val="clear" w:color="auto" w:fill="auto"/>
                  <w:tcMar>
                    <w:left w:w="43" w:type="dxa"/>
                    <w:right w:w="178" w:type="dxa"/>
                  </w:tcMar>
                  <w:vAlign w:val="bottom"/>
                </w:tcPr>
                <w:p w14:paraId="3828B5B1"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EPRA NRV per share (in NIS)</w:t>
                  </w:r>
                </w:p>
              </w:tc>
              <w:tc>
                <w:tcPr>
                  <w:tcW w:w="1200" w:type="dxa"/>
                  <w:tcBorders>
                    <w:top w:val="double" w:sz="6" w:space="0" w:color="000000"/>
                    <w:left w:val="nil"/>
                    <w:bottom w:val="double" w:sz="6" w:space="0" w:color="000000"/>
                    <w:right w:val="nil"/>
                    <w:tl2br w:val="nil"/>
                    <w:tr2bl w:val="nil"/>
                  </w:tcBorders>
                  <w:shd w:val="clear" w:color="auto" w:fill="auto"/>
                  <w:noWrap/>
                  <w:tcMar>
                    <w:left w:w="43" w:type="dxa"/>
                    <w:right w:w="178" w:type="dxa"/>
                  </w:tcMar>
                  <w:vAlign w:val="bottom"/>
                </w:tcPr>
                <w:p w14:paraId="0CCF226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30.8</w:t>
                  </w:r>
                </w:p>
              </w:tc>
              <w:tc>
                <w:tcPr>
                  <w:tcW w:w="1138" w:type="dxa"/>
                  <w:gridSpan w:val="2"/>
                  <w:tcBorders>
                    <w:top w:val="double" w:sz="6" w:space="0" w:color="000000"/>
                    <w:left w:val="nil"/>
                    <w:bottom w:val="double" w:sz="6" w:space="0" w:color="000000"/>
                    <w:right w:val="nil"/>
                    <w:tl2br w:val="nil"/>
                    <w:tr2bl w:val="nil"/>
                  </w:tcBorders>
                  <w:shd w:val="clear" w:color="auto" w:fill="auto"/>
                  <w:noWrap/>
                  <w:tcMar>
                    <w:left w:w="43" w:type="dxa"/>
                    <w:right w:w="178" w:type="dxa"/>
                  </w:tcMar>
                  <w:vAlign w:val="bottom"/>
                </w:tcPr>
                <w:p w14:paraId="0168118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34.6</w:t>
                  </w:r>
                </w:p>
              </w:tc>
              <w:tc>
                <w:tcPr>
                  <w:tcW w:w="1566" w:type="dxa"/>
                  <w:tcBorders>
                    <w:top w:val="double" w:sz="6" w:space="0" w:color="000000"/>
                    <w:left w:val="nil"/>
                    <w:bottom w:val="double" w:sz="6" w:space="0" w:color="000000"/>
                    <w:right w:val="nil"/>
                    <w:tl2br w:val="nil"/>
                    <w:tr2bl w:val="nil"/>
                  </w:tcBorders>
                  <w:shd w:val="clear" w:color="auto" w:fill="auto"/>
                  <w:noWrap/>
                  <w:tcMar>
                    <w:left w:w="43" w:type="dxa"/>
                    <w:right w:w="178" w:type="dxa"/>
                  </w:tcMar>
                  <w:vAlign w:val="bottom"/>
                </w:tcPr>
                <w:p w14:paraId="10762E4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30.3</w:t>
                  </w:r>
                </w:p>
              </w:tc>
            </w:tr>
            <w:tr w:rsidR="0085581F" w:rsidRPr="0085581F" w14:paraId="5ECF009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6018" w:type="dxa"/>
                  <w:gridSpan w:val="2"/>
                  <w:tcBorders>
                    <w:top w:val="double" w:sz="6" w:space="0" w:color="000000"/>
                    <w:left w:val="nil"/>
                    <w:bottom w:val="nil"/>
                    <w:right w:val="nil"/>
                    <w:tl2br w:val="nil"/>
                    <w:tr2bl w:val="nil"/>
                  </w:tcBorders>
                  <w:shd w:val="clear" w:color="auto" w:fill="auto"/>
                  <w:noWrap/>
                  <w:tcMar>
                    <w:left w:w="43" w:type="dxa"/>
                    <w:right w:w="178" w:type="dxa"/>
                  </w:tcMar>
                  <w:vAlign w:val="bottom"/>
                </w:tcPr>
                <w:p w14:paraId="72F231DC"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u w:val="single"/>
                    </w:rPr>
                  </w:pPr>
                  <w:r w:rsidRPr="0085581F">
                    <w:rPr>
                      <w:rFonts w:asciiTheme="majorBidi" w:hAnsiTheme="majorBidi" w:cstheme="majorBidi"/>
                      <w:color w:val="000000"/>
                      <w:sz w:val="21"/>
                      <w:u w:val="single"/>
                    </w:rPr>
                    <w:t>EPRA NTA</w:t>
                  </w:r>
                </w:p>
              </w:tc>
              <w:tc>
                <w:tcPr>
                  <w:tcW w:w="120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06FC0E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38" w:type="dxa"/>
                  <w:gridSpan w:val="2"/>
                  <w:tcBorders>
                    <w:top w:val="double" w:sz="6" w:space="0" w:color="000000"/>
                    <w:left w:val="nil"/>
                    <w:bottom w:val="nil"/>
                    <w:right w:val="nil"/>
                    <w:tl2br w:val="nil"/>
                    <w:tr2bl w:val="nil"/>
                  </w:tcBorders>
                  <w:shd w:val="clear" w:color="auto" w:fill="auto"/>
                  <w:noWrap/>
                  <w:tcMar>
                    <w:left w:w="0" w:type="dxa"/>
                    <w:right w:w="135" w:type="dxa"/>
                  </w:tcMar>
                  <w:vAlign w:val="bottom"/>
                </w:tcPr>
                <w:p w14:paraId="6A47C5B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56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E78E3F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0ADF895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6018" w:type="dxa"/>
                  <w:gridSpan w:val="2"/>
                  <w:tcBorders>
                    <w:top w:val="nil"/>
                    <w:left w:val="nil"/>
                    <w:bottom w:val="nil"/>
                    <w:right w:val="nil"/>
                    <w:tl2br w:val="nil"/>
                    <w:tr2bl w:val="nil"/>
                  </w:tcBorders>
                  <w:shd w:val="clear" w:color="auto" w:fill="auto"/>
                  <w:noWrap/>
                  <w:tcMar>
                    <w:left w:w="43" w:type="dxa"/>
                    <w:right w:w="178" w:type="dxa"/>
                  </w:tcMar>
                  <w:vAlign w:val="bottom"/>
                </w:tcPr>
                <w:p w14:paraId="46570DC7"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Equity attributable to the shareholders of the Company, per the financial statements</w:t>
                  </w:r>
                </w:p>
              </w:tc>
              <w:tc>
                <w:tcPr>
                  <w:tcW w:w="1200" w:type="dxa"/>
                  <w:tcBorders>
                    <w:top w:val="nil"/>
                    <w:left w:val="nil"/>
                    <w:bottom w:val="nil"/>
                    <w:right w:val="nil"/>
                    <w:tl2br w:val="nil"/>
                    <w:tr2bl w:val="nil"/>
                  </w:tcBorders>
                  <w:shd w:val="clear" w:color="auto" w:fill="auto"/>
                  <w:noWrap/>
                  <w:tcMar>
                    <w:left w:w="43" w:type="dxa"/>
                    <w:right w:w="178" w:type="dxa"/>
                  </w:tcMar>
                  <w:vAlign w:val="bottom"/>
                </w:tcPr>
                <w:p w14:paraId="14B8727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4,925</w:t>
                  </w:r>
                </w:p>
              </w:tc>
              <w:tc>
                <w:tcPr>
                  <w:tcW w:w="1138" w:type="dxa"/>
                  <w:gridSpan w:val="2"/>
                  <w:tcBorders>
                    <w:top w:val="nil"/>
                    <w:left w:val="nil"/>
                    <w:bottom w:val="nil"/>
                    <w:right w:val="nil"/>
                    <w:tl2br w:val="nil"/>
                    <w:tr2bl w:val="nil"/>
                  </w:tcBorders>
                  <w:shd w:val="clear" w:color="auto" w:fill="auto"/>
                  <w:noWrap/>
                  <w:tcMar>
                    <w:left w:w="43" w:type="dxa"/>
                    <w:right w:w="178" w:type="dxa"/>
                  </w:tcMar>
                  <w:vAlign w:val="bottom"/>
                </w:tcPr>
                <w:p w14:paraId="030C440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5,396</w:t>
                  </w:r>
                </w:p>
              </w:tc>
              <w:tc>
                <w:tcPr>
                  <w:tcW w:w="1566" w:type="dxa"/>
                  <w:tcBorders>
                    <w:top w:val="nil"/>
                    <w:left w:val="nil"/>
                    <w:bottom w:val="nil"/>
                    <w:right w:val="nil"/>
                    <w:tl2br w:val="nil"/>
                    <w:tr2bl w:val="nil"/>
                  </w:tcBorders>
                  <w:shd w:val="clear" w:color="auto" w:fill="auto"/>
                  <w:noWrap/>
                  <w:tcMar>
                    <w:left w:w="43" w:type="dxa"/>
                    <w:right w:w="178" w:type="dxa"/>
                  </w:tcMar>
                  <w:vAlign w:val="bottom"/>
                </w:tcPr>
                <w:p w14:paraId="0899AF1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4,837</w:t>
                  </w:r>
                </w:p>
              </w:tc>
            </w:tr>
            <w:tr w:rsidR="0085581F" w:rsidRPr="0085581F" w14:paraId="6297CF6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18" w:type="dxa"/>
                  <w:gridSpan w:val="2"/>
                  <w:tcBorders>
                    <w:top w:val="nil"/>
                    <w:left w:val="nil"/>
                    <w:bottom w:val="nil"/>
                    <w:right w:val="nil"/>
                    <w:tl2br w:val="nil"/>
                    <w:tr2bl w:val="nil"/>
                  </w:tcBorders>
                  <w:shd w:val="clear" w:color="auto" w:fill="auto"/>
                  <w:tcMar>
                    <w:left w:w="43" w:type="dxa"/>
                    <w:right w:w="178" w:type="dxa"/>
                  </w:tcMar>
                  <w:vAlign w:val="bottom"/>
                </w:tcPr>
                <w:p w14:paraId="3CA56422"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Exclusion of deferred tax liability on revaluation of investment property to fair value (net of minority's share) </w:t>
                  </w:r>
                  <w:r w:rsidRPr="0085581F">
                    <w:rPr>
                      <w:rFonts w:asciiTheme="majorBidi" w:hAnsiTheme="majorBidi" w:cstheme="majorBidi"/>
                      <w:color w:val="000000"/>
                      <w:sz w:val="21"/>
                      <w:vertAlign w:val="superscript"/>
                    </w:rPr>
                    <w:t>1</w:t>
                  </w:r>
                </w:p>
              </w:tc>
              <w:tc>
                <w:tcPr>
                  <w:tcW w:w="1200" w:type="dxa"/>
                  <w:tcBorders>
                    <w:top w:val="nil"/>
                    <w:left w:val="nil"/>
                    <w:bottom w:val="nil"/>
                    <w:right w:val="nil"/>
                    <w:tl2br w:val="nil"/>
                    <w:tr2bl w:val="nil"/>
                  </w:tcBorders>
                  <w:shd w:val="clear" w:color="auto" w:fill="auto"/>
                  <w:noWrap/>
                  <w:tcMar>
                    <w:left w:w="43" w:type="dxa"/>
                    <w:right w:w="178" w:type="dxa"/>
                  </w:tcMar>
                  <w:vAlign w:val="bottom"/>
                </w:tcPr>
                <w:p w14:paraId="2FFF2F2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494</w:t>
                  </w:r>
                </w:p>
              </w:tc>
              <w:tc>
                <w:tcPr>
                  <w:tcW w:w="1138" w:type="dxa"/>
                  <w:gridSpan w:val="2"/>
                  <w:tcBorders>
                    <w:top w:val="nil"/>
                    <w:left w:val="nil"/>
                    <w:bottom w:val="nil"/>
                    <w:right w:val="nil"/>
                    <w:tl2br w:val="nil"/>
                    <w:tr2bl w:val="nil"/>
                  </w:tcBorders>
                  <w:shd w:val="clear" w:color="auto" w:fill="auto"/>
                  <w:noWrap/>
                  <w:tcMar>
                    <w:left w:w="43" w:type="dxa"/>
                    <w:right w:w="178" w:type="dxa"/>
                  </w:tcMar>
                  <w:vAlign w:val="bottom"/>
                </w:tcPr>
                <w:p w14:paraId="6BC0534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530</w:t>
                  </w:r>
                </w:p>
              </w:tc>
              <w:tc>
                <w:tcPr>
                  <w:tcW w:w="1566" w:type="dxa"/>
                  <w:tcBorders>
                    <w:top w:val="nil"/>
                    <w:left w:val="nil"/>
                    <w:bottom w:val="nil"/>
                    <w:right w:val="nil"/>
                    <w:tl2br w:val="nil"/>
                    <w:tr2bl w:val="nil"/>
                  </w:tcBorders>
                  <w:shd w:val="clear" w:color="auto" w:fill="auto"/>
                  <w:noWrap/>
                  <w:tcMar>
                    <w:left w:w="43" w:type="dxa"/>
                    <w:right w:w="178" w:type="dxa"/>
                  </w:tcMar>
                  <w:vAlign w:val="bottom"/>
                </w:tcPr>
                <w:p w14:paraId="4C4733B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484</w:t>
                  </w:r>
                </w:p>
              </w:tc>
            </w:tr>
            <w:tr w:rsidR="0085581F" w:rsidRPr="0085581F" w14:paraId="57DEFD3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18" w:type="dxa"/>
                  <w:gridSpan w:val="2"/>
                  <w:tcBorders>
                    <w:top w:val="nil"/>
                    <w:left w:val="nil"/>
                    <w:bottom w:val="nil"/>
                    <w:right w:val="nil"/>
                    <w:tl2br w:val="nil"/>
                    <w:tr2bl w:val="nil"/>
                  </w:tcBorders>
                  <w:shd w:val="clear" w:color="auto" w:fill="auto"/>
                  <w:tcMar>
                    <w:left w:w="43" w:type="dxa"/>
                    <w:right w:w="178" w:type="dxa"/>
                  </w:tcMar>
                  <w:vAlign w:val="bottom"/>
                </w:tcPr>
                <w:p w14:paraId="74FD10D6"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Goodwill adjustment attributable to assets</w:t>
                  </w:r>
                </w:p>
              </w:tc>
              <w:tc>
                <w:tcPr>
                  <w:tcW w:w="1200" w:type="dxa"/>
                  <w:tcBorders>
                    <w:top w:val="nil"/>
                    <w:left w:val="nil"/>
                    <w:bottom w:val="nil"/>
                    <w:right w:val="nil"/>
                    <w:tl2br w:val="nil"/>
                    <w:tr2bl w:val="nil"/>
                  </w:tcBorders>
                  <w:shd w:val="clear" w:color="auto" w:fill="auto"/>
                  <w:noWrap/>
                  <w:tcMar>
                    <w:left w:w="43" w:type="dxa"/>
                    <w:right w:w="178" w:type="dxa"/>
                  </w:tcMar>
                  <w:vAlign w:val="bottom"/>
                </w:tcPr>
                <w:p w14:paraId="2B7BE13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(214)</w:t>
                  </w:r>
                </w:p>
              </w:tc>
              <w:tc>
                <w:tcPr>
                  <w:tcW w:w="1138" w:type="dxa"/>
                  <w:gridSpan w:val="2"/>
                  <w:tcBorders>
                    <w:top w:val="nil"/>
                    <w:left w:val="nil"/>
                    <w:bottom w:val="nil"/>
                    <w:right w:val="nil"/>
                    <w:tl2br w:val="nil"/>
                    <w:tr2bl w:val="nil"/>
                  </w:tcBorders>
                  <w:shd w:val="clear" w:color="auto" w:fill="auto"/>
                  <w:noWrap/>
                  <w:tcMar>
                    <w:left w:w="43" w:type="dxa"/>
                    <w:right w:w="178" w:type="dxa"/>
                  </w:tcMar>
                  <w:vAlign w:val="bottom"/>
                </w:tcPr>
                <w:p w14:paraId="4A7B13F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(228)</w:t>
                  </w:r>
                </w:p>
              </w:tc>
              <w:tc>
                <w:tcPr>
                  <w:tcW w:w="1566" w:type="dxa"/>
                  <w:tcBorders>
                    <w:top w:val="nil"/>
                    <w:left w:val="nil"/>
                    <w:bottom w:val="nil"/>
                    <w:right w:val="nil"/>
                    <w:tl2br w:val="nil"/>
                    <w:tr2bl w:val="nil"/>
                  </w:tcBorders>
                  <w:shd w:val="clear" w:color="auto" w:fill="auto"/>
                  <w:noWrap/>
                  <w:tcMar>
                    <w:left w:w="43" w:type="dxa"/>
                    <w:right w:w="178" w:type="dxa"/>
                  </w:tcMar>
                  <w:vAlign w:val="bottom"/>
                </w:tcPr>
                <w:p w14:paraId="6EB95AD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(228)</w:t>
                  </w:r>
                </w:p>
              </w:tc>
            </w:tr>
            <w:tr w:rsidR="0085581F" w:rsidRPr="0085581F" w14:paraId="06C997F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18" w:type="dxa"/>
                  <w:gridSpan w:val="2"/>
                  <w:tcBorders>
                    <w:top w:val="nil"/>
                    <w:left w:val="nil"/>
                    <w:bottom w:val="single" w:sz="4" w:space="0" w:color="000000"/>
                    <w:right w:val="nil"/>
                    <w:tl2br w:val="nil"/>
                    <w:tr2bl w:val="nil"/>
                  </w:tcBorders>
                  <w:shd w:val="clear" w:color="auto" w:fill="auto"/>
                  <w:tcMar>
                    <w:left w:w="43" w:type="dxa"/>
                    <w:right w:w="178" w:type="dxa"/>
                  </w:tcMar>
                  <w:vAlign w:val="bottom"/>
                </w:tcPr>
                <w:p w14:paraId="20A409DC"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Fair value asset adjustment for financial derivatives, net </w:t>
                  </w:r>
                  <w:r w:rsidRPr="0085581F">
                    <w:rPr>
                      <w:rFonts w:asciiTheme="majorBidi" w:hAnsiTheme="majorBidi" w:cstheme="majorBidi"/>
                      <w:color w:val="000000"/>
                      <w:sz w:val="21"/>
                      <w:vertAlign w:val="superscript"/>
                    </w:rPr>
                    <w:t>2</w:t>
                  </w:r>
                </w:p>
              </w:tc>
              <w:tc>
                <w:tcPr>
                  <w:tcW w:w="120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01AF43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(89)</w:t>
                  </w:r>
                </w:p>
              </w:tc>
              <w:tc>
                <w:tcPr>
                  <w:tcW w:w="1138" w:type="dxa"/>
                  <w:gridSpan w:val="2"/>
                  <w:tcBorders>
                    <w:top w:val="nil"/>
                    <w:left w:val="nil"/>
                    <w:bottom w:val="single" w:sz="4" w:space="0" w:color="000000"/>
                    <w:right w:val="nil"/>
                    <w:tl2br w:val="nil"/>
                    <w:tr2bl w:val="nil"/>
                  </w:tcBorders>
                  <w:shd w:val="clear" w:color="auto" w:fill="auto"/>
                  <w:noWrap/>
                  <w:tcMar>
                    <w:left w:w="43" w:type="dxa"/>
                    <w:right w:w="178" w:type="dxa"/>
                  </w:tcMar>
                  <w:vAlign w:val="bottom"/>
                </w:tcPr>
                <w:p w14:paraId="3517E42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(145)</w:t>
                  </w:r>
                </w:p>
              </w:tc>
              <w:tc>
                <w:tcPr>
                  <w:tcW w:w="156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097B36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(33)</w:t>
                  </w:r>
                </w:p>
              </w:tc>
            </w:tr>
            <w:tr w:rsidR="0085581F" w:rsidRPr="0085581F" w14:paraId="34F7776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18" w:type="dxa"/>
                  <w:gridSpan w:val="2"/>
                  <w:tcBorders>
                    <w:top w:val="single" w:sz="4" w:space="0" w:color="000000"/>
                    <w:left w:val="nil"/>
                    <w:bottom w:val="single" w:sz="4" w:space="0" w:color="000000"/>
                    <w:right w:val="nil"/>
                    <w:tl2br w:val="nil"/>
                    <w:tr2bl w:val="nil"/>
                  </w:tcBorders>
                  <w:shd w:val="clear" w:color="auto" w:fill="auto"/>
                  <w:tcMar>
                    <w:left w:w="43" w:type="dxa"/>
                    <w:right w:w="178" w:type="dxa"/>
                  </w:tcMar>
                  <w:vAlign w:val="bottom"/>
                </w:tcPr>
                <w:p w14:paraId="7ED683DD"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EPRA NTA</w:t>
                  </w:r>
                </w:p>
              </w:tc>
              <w:tc>
                <w:tcPr>
                  <w:tcW w:w="120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68D9F8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5,116</w:t>
                  </w:r>
                </w:p>
              </w:tc>
              <w:tc>
                <w:tcPr>
                  <w:tcW w:w="1138" w:type="dxa"/>
                  <w:gridSpan w:val="2"/>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22E142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5,553</w:t>
                  </w:r>
                </w:p>
              </w:tc>
              <w:tc>
                <w:tcPr>
                  <w:tcW w:w="1566"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3CC6E2C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5,060</w:t>
                  </w:r>
                </w:p>
              </w:tc>
            </w:tr>
            <w:tr w:rsidR="0085581F" w:rsidRPr="0085581F" w14:paraId="006EFD6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18" w:type="dxa"/>
                  <w:gridSpan w:val="2"/>
                  <w:tcBorders>
                    <w:top w:val="single" w:sz="4" w:space="0" w:color="000000"/>
                    <w:left w:val="nil"/>
                    <w:bottom w:val="double" w:sz="6" w:space="0" w:color="000000"/>
                    <w:right w:val="nil"/>
                    <w:tl2br w:val="nil"/>
                    <w:tr2bl w:val="nil"/>
                  </w:tcBorders>
                  <w:shd w:val="clear" w:color="auto" w:fill="auto"/>
                  <w:tcMar>
                    <w:left w:w="43" w:type="dxa"/>
                    <w:right w:w="178" w:type="dxa"/>
                  </w:tcMar>
                  <w:vAlign w:val="bottom"/>
                </w:tcPr>
                <w:p w14:paraId="14ACFD0B"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EPRA NTA per share (in NIS)</w:t>
                  </w:r>
                </w:p>
              </w:tc>
              <w:tc>
                <w:tcPr>
                  <w:tcW w:w="120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4B74592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27.6</w:t>
                  </w:r>
                </w:p>
              </w:tc>
              <w:tc>
                <w:tcPr>
                  <w:tcW w:w="1138" w:type="dxa"/>
                  <w:gridSpan w:val="2"/>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498DE67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31.1</w:t>
                  </w:r>
                </w:p>
              </w:tc>
              <w:tc>
                <w:tcPr>
                  <w:tcW w:w="1566"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63CE67B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27.1</w:t>
                  </w:r>
                </w:p>
              </w:tc>
            </w:tr>
            <w:tr w:rsidR="0085581F" w:rsidRPr="0085581F" w14:paraId="7B58F08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6018" w:type="dxa"/>
                  <w:gridSpan w:val="2"/>
                  <w:tcBorders>
                    <w:top w:val="double" w:sz="6" w:space="0" w:color="000000"/>
                    <w:left w:val="nil"/>
                    <w:bottom w:val="nil"/>
                    <w:right w:val="nil"/>
                    <w:tl2br w:val="nil"/>
                    <w:tr2bl w:val="nil"/>
                  </w:tcBorders>
                  <w:shd w:val="clear" w:color="auto" w:fill="auto"/>
                  <w:noWrap/>
                  <w:tcMar>
                    <w:left w:w="43" w:type="dxa"/>
                    <w:right w:w="178" w:type="dxa"/>
                  </w:tcMar>
                  <w:vAlign w:val="bottom"/>
                </w:tcPr>
                <w:p w14:paraId="3CFC2B4A"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u w:val="single"/>
                    </w:rPr>
                  </w:pPr>
                  <w:r w:rsidRPr="0085581F">
                    <w:rPr>
                      <w:rFonts w:asciiTheme="majorBidi" w:hAnsiTheme="majorBidi" w:cstheme="majorBidi"/>
                      <w:color w:val="000000"/>
                      <w:sz w:val="21"/>
                      <w:u w:val="single"/>
                    </w:rPr>
                    <w:t>EPRA NDV</w:t>
                  </w:r>
                </w:p>
              </w:tc>
              <w:tc>
                <w:tcPr>
                  <w:tcW w:w="120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1158BA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38" w:type="dxa"/>
                  <w:gridSpan w:val="2"/>
                  <w:tcBorders>
                    <w:top w:val="double" w:sz="6" w:space="0" w:color="000000"/>
                    <w:left w:val="nil"/>
                    <w:bottom w:val="nil"/>
                    <w:right w:val="nil"/>
                    <w:tl2br w:val="nil"/>
                    <w:tr2bl w:val="nil"/>
                  </w:tcBorders>
                  <w:shd w:val="clear" w:color="auto" w:fill="auto"/>
                  <w:noWrap/>
                  <w:tcMar>
                    <w:left w:w="0" w:type="dxa"/>
                    <w:right w:w="135" w:type="dxa"/>
                  </w:tcMar>
                  <w:vAlign w:val="bottom"/>
                </w:tcPr>
                <w:p w14:paraId="229C505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56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1C2703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1B93801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6018" w:type="dxa"/>
                  <w:gridSpan w:val="2"/>
                  <w:tcBorders>
                    <w:top w:val="nil"/>
                    <w:left w:val="nil"/>
                    <w:bottom w:val="nil"/>
                    <w:right w:val="nil"/>
                    <w:tl2br w:val="nil"/>
                    <w:tr2bl w:val="nil"/>
                  </w:tcBorders>
                  <w:shd w:val="clear" w:color="auto" w:fill="auto"/>
                  <w:noWrap/>
                  <w:tcMar>
                    <w:left w:w="43" w:type="dxa"/>
                    <w:right w:w="178" w:type="dxa"/>
                  </w:tcMar>
                  <w:vAlign w:val="bottom"/>
                </w:tcPr>
                <w:p w14:paraId="1E1094D5"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Equity attributable to the shareholders of the Company, per the financial statements</w:t>
                  </w:r>
                </w:p>
              </w:tc>
              <w:tc>
                <w:tcPr>
                  <w:tcW w:w="1200" w:type="dxa"/>
                  <w:tcBorders>
                    <w:top w:val="nil"/>
                    <w:left w:val="nil"/>
                    <w:bottom w:val="nil"/>
                    <w:right w:val="nil"/>
                    <w:tl2br w:val="nil"/>
                    <w:tr2bl w:val="nil"/>
                  </w:tcBorders>
                  <w:shd w:val="clear" w:color="auto" w:fill="auto"/>
                  <w:noWrap/>
                  <w:tcMar>
                    <w:left w:w="43" w:type="dxa"/>
                    <w:right w:w="178" w:type="dxa"/>
                  </w:tcMar>
                  <w:vAlign w:val="bottom"/>
                </w:tcPr>
                <w:p w14:paraId="7D2A79E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4,925</w:t>
                  </w:r>
                </w:p>
              </w:tc>
              <w:tc>
                <w:tcPr>
                  <w:tcW w:w="1138" w:type="dxa"/>
                  <w:gridSpan w:val="2"/>
                  <w:tcBorders>
                    <w:top w:val="nil"/>
                    <w:left w:val="nil"/>
                    <w:bottom w:val="nil"/>
                    <w:right w:val="nil"/>
                    <w:tl2br w:val="nil"/>
                    <w:tr2bl w:val="nil"/>
                  </w:tcBorders>
                  <w:shd w:val="clear" w:color="auto" w:fill="auto"/>
                  <w:noWrap/>
                  <w:tcMar>
                    <w:left w:w="43" w:type="dxa"/>
                    <w:right w:w="178" w:type="dxa"/>
                  </w:tcMar>
                  <w:vAlign w:val="bottom"/>
                </w:tcPr>
                <w:p w14:paraId="6194956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5,396</w:t>
                  </w:r>
                </w:p>
              </w:tc>
              <w:tc>
                <w:tcPr>
                  <w:tcW w:w="1566" w:type="dxa"/>
                  <w:tcBorders>
                    <w:top w:val="nil"/>
                    <w:left w:val="nil"/>
                    <w:bottom w:val="nil"/>
                    <w:right w:val="nil"/>
                    <w:tl2br w:val="nil"/>
                    <w:tr2bl w:val="nil"/>
                  </w:tcBorders>
                  <w:shd w:val="clear" w:color="auto" w:fill="auto"/>
                  <w:noWrap/>
                  <w:tcMar>
                    <w:left w:w="43" w:type="dxa"/>
                    <w:right w:w="178" w:type="dxa"/>
                  </w:tcMar>
                  <w:vAlign w:val="bottom"/>
                </w:tcPr>
                <w:p w14:paraId="1C34404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4,837</w:t>
                  </w:r>
                </w:p>
              </w:tc>
            </w:tr>
            <w:tr w:rsidR="0085581F" w:rsidRPr="0085581F" w14:paraId="122CB23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18" w:type="dxa"/>
                  <w:gridSpan w:val="2"/>
                  <w:tcBorders>
                    <w:top w:val="nil"/>
                    <w:left w:val="nil"/>
                    <w:bottom w:val="nil"/>
                    <w:right w:val="nil"/>
                    <w:tl2br w:val="nil"/>
                    <w:tr2bl w:val="nil"/>
                  </w:tcBorders>
                  <w:shd w:val="clear" w:color="auto" w:fill="auto"/>
                  <w:tcMar>
                    <w:left w:w="43" w:type="dxa"/>
                    <w:right w:w="178" w:type="dxa"/>
                  </w:tcMar>
                  <w:vAlign w:val="bottom"/>
                </w:tcPr>
                <w:p w14:paraId="04A511ED"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Goodwill adjustment attributable to assets</w:t>
                  </w:r>
                </w:p>
              </w:tc>
              <w:tc>
                <w:tcPr>
                  <w:tcW w:w="1200" w:type="dxa"/>
                  <w:tcBorders>
                    <w:top w:val="nil"/>
                    <w:left w:val="nil"/>
                    <w:bottom w:val="nil"/>
                    <w:right w:val="nil"/>
                    <w:tl2br w:val="nil"/>
                    <w:tr2bl w:val="nil"/>
                  </w:tcBorders>
                  <w:shd w:val="clear" w:color="auto" w:fill="auto"/>
                  <w:noWrap/>
                  <w:tcMar>
                    <w:left w:w="43" w:type="dxa"/>
                    <w:right w:w="178" w:type="dxa"/>
                  </w:tcMar>
                  <w:vAlign w:val="bottom"/>
                </w:tcPr>
                <w:p w14:paraId="4BAD6D5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(214)</w:t>
                  </w:r>
                </w:p>
              </w:tc>
              <w:tc>
                <w:tcPr>
                  <w:tcW w:w="1138" w:type="dxa"/>
                  <w:gridSpan w:val="2"/>
                  <w:tcBorders>
                    <w:top w:val="nil"/>
                    <w:left w:val="nil"/>
                    <w:bottom w:val="nil"/>
                    <w:right w:val="nil"/>
                    <w:tl2br w:val="nil"/>
                    <w:tr2bl w:val="nil"/>
                  </w:tcBorders>
                  <w:shd w:val="clear" w:color="auto" w:fill="auto"/>
                  <w:noWrap/>
                  <w:tcMar>
                    <w:left w:w="43" w:type="dxa"/>
                    <w:right w:w="178" w:type="dxa"/>
                  </w:tcMar>
                  <w:vAlign w:val="bottom"/>
                </w:tcPr>
                <w:p w14:paraId="57487DF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(228)</w:t>
                  </w:r>
                </w:p>
              </w:tc>
              <w:tc>
                <w:tcPr>
                  <w:tcW w:w="1566" w:type="dxa"/>
                  <w:tcBorders>
                    <w:top w:val="nil"/>
                    <w:left w:val="nil"/>
                    <w:bottom w:val="nil"/>
                    <w:right w:val="nil"/>
                    <w:tl2br w:val="nil"/>
                    <w:tr2bl w:val="nil"/>
                  </w:tcBorders>
                  <w:shd w:val="clear" w:color="auto" w:fill="auto"/>
                  <w:noWrap/>
                  <w:tcMar>
                    <w:left w:w="43" w:type="dxa"/>
                    <w:right w:w="178" w:type="dxa"/>
                  </w:tcMar>
                  <w:vAlign w:val="bottom"/>
                </w:tcPr>
                <w:p w14:paraId="1314708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(228)</w:t>
                  </w:r>
                </w:p>
              </w:tc>
            </w:tr>
            <w:tr w:rsidR="0085581F" w:rsidRPr="0085581F" w14:paraId="3983133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18" w:type="dxa"/>
                  <w:gridSpan w:val="2"/>
                  <w:tcBorders>
                    <w:top w:val="nil"/>
                    <w:left w:val="nil"/>
                    <w:bottom w:val="single" w:sz="4" w:space="0" w:color="000000"/>
                    <w:right w:val="nil"/>
                    <w:tl2br w:val="nil"/>
                    <w:tr2bl w:val="nil"/>
                  </w:tcBorders>
                  <w:shd w:val="clear" w:color="auto" w:fill="auto"/>
                  <w:tcMar>
                    <w:left w:w="43" w:type="dxa"/>
                    <w:right w:w="178" w:type="dxa"/>
                  </w:tcMar>
                  <w:vAlign w:val="bottom"/>
                </w:tcPr>
                <w:p w14:paraId="57BCFDE2"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Adjustment of financial liabilities to fair value</w:t>
                  </w:r>
                </w:p>
              </w:tc>
              <w:tc>
                <w:tcPr>
                  <w:tcW w:w="120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0864992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861</w:t>
                  </w:r>
                </w:p>
              </w:tc>
              <w:tc>
                <w:tcPr>
                  <w:tcW w:w="1138" w:type="dxa"/>
                  <w:gridSpan w:val="2"/>
                  <w:tcBorders>
                    <w:top w:val="nil"/>
                    <w:left w:val="nil"/>
                    <w:bottom w:val="single" w:sz="4" w:space="0" w:color="000000"/>
                    <w:right w:val="nil"/>
                    <w:tl2br w:val="nil"/>
                    <w:tr2bl w:val="nil"/>
                  </w:tcBorders>
                  <w:shd w:val="clear" w:color="auto" w:fill="auto"/>
                  <w:noWrap/>
                  <w:tcMar>
                    <w:left w:w="43" w:type="dxa"/>
                    <w:right w:w="178" w:type="dxa"/>
                  </w:tcMar>
                  <w:vAlign w:val="bottom"/>
                </w:tcPr>
                <w:p w14:paraId="16541CA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2,596</w:t>
                  </w:r>
                </w:p>
              </w:tc>
              <w:tc>
                <w:tcPr>
                  <w:tcW w:w="156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3DCD27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1,209</w:t>
                  </w:r>
                </w:p>
              </w:tc>
            </w:tr>
            <w:tr w:rsidR="0085581F" w:rsidRPr="0085581F" w14:paraId="36B7CCC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18" w:type="dxa"/>
                  <w:gridSpan w:val="2"/>
                  <w:tcBorders>
                    <w:top w:val="single" w:sz="4" w:space="0" w:color="000000"/>
                    <w:left w:val="nil"/>
                    <w:bottom w:val="double" w:sz="6" w:space="0" w:color="000000"/>
                    <w:right w:val="nil"/>
                    <w:tl2br w:val="nil"/>
                    <w:tr2bl w:val="nil"/>
                  </w:tcBorders>
                  <w:shd w:val="clear" w:color="auto" w:fill="auto"/>
                  <w:tcMar>
                    <w:left w:w="43" w:type="dxa"/>
                    <w:right w:w="178" w:type="dxa"/>
                  </w:tcMar>
                  <w:vAlign w:val="bottom"/>
                </w:tcPr>
                <w:p w14:paraId="74852C13"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EPRA NDV</w:t>
                  </w:r>
                </w:p>
              </w:tc>
              <w:tc>
                <w:tcPr>
                  <w:tcW w:w="120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33F8C1D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5,572</w:t>
                  </w:r>
                </w:p>
              </w:tc>
              <w:tc>
                <w:tcPr>
                  <w:tcW w:w="1138" w:type="dxa"/>
                  <w:gridSpan w:val="2"/>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69317FD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7,764</w:t>
                  </w:r>
                </w:p>
              </w:tc>
              <w:tc>
                <w:tcPr>
                  <w:tcW w:w="1566"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2B033FE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5,818</w:t>
                  </w:r>
                </w:p>
              </w:tc>
            </w:tr>
            <w:tr w:rsidR="0085581F" w:rsidRPr="0085581F" w14:paraId="0D973A3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18" w:type="dxa"/>
                  <w:gridSpan w:val="2"/>
                  <w:tcBorders>
                    <w:top w:val="double" w:sz="6" w:space="0" w:color="000000"/>
                    <w:left w:val="nil"/>
                    <w:bottom w:val="double" w:sz="6" w:space="0" w:color="000000"/>
                    <w:right w:val="nil"/>
                    <w:tl2br w:val="nil"/>
                    <w:tr2bl w:val="nil"/>
                  </w:tcBorders>
                  <w:shd w:val="clear" w:color="auto" w:fill="auto"/>
                  <w:tcMar>
                    <w:left w:w="43" w:type="dxa"/>
                    <w:right w:w="178" w:type="dxa"/>
                  </w:tcMar>
                  <w:vAlign w:val="bottom"/>
                </w:tcPr>
                <w:p w14:paraId="44389151"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EPRA NDV per share (in NIS)</w:t>
                  </w:r>
                </w:p>
              </w:tc>
              <w:tc>
                <w:tcPr>
                  <w:tcW w:w="1200" w:type="dxa"/>
                  <w:tcBorders>
                    <w:top w:val="double" w:sz="6" w:space="0" w:color="000000"/>
                    <w:left w:val="nil"/>
                    <w:bottom w:val="double" w:sz="6" w:space="0" w:color="000000"/>
                    <w:right w:val="nil"/>
                    <w:tl2br w:val="nil"/>
                    <w:tr2bl w:val="nil"/>
                  </w:tcBorders>
                  <w:shd w:val="clear" w:color="auto" w:fill="auto"/>
                  <w:noWrap/>
                  <w:tcMar>
                    <w:left w:w="43" w:type="dxa"/>
                    <w:right w:w="178" w:type="dxa"/>
                  </w:tcMar>
                  <w:vAlign w:val="bottom"/>
                </w:tcPr>
                <w:p w14:paraId="492B96C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30.1</w:t>
                  </w:r>
                </w:p>
              </w:tc>
              <w:tc>
                <w:tcPr>
                  <w:tcW w:w="1138" w:type="dxa"/>
                  <w:gridSpan w:val="2"/>
                  <w:tcBorders>
                    <w:top w:val="double" w:sz="6" w:space="0" w:color="000000"/>
                    <w:left w:val="nil"/>
                    <w:bottom w:val="double" w:sz="6" w:space="0" w:color="000000"/>
                    <w:right w:val="nil"/>
                    <w:tl2br w:val="nil"/>
                    <w:tr2bl w:val="nil"/>
                  </w:tcBorders>
                  <w:shd w:val="clear" w:color="auto" w:fill="auto"/>
                  <w:noWrap/>
                  <w:tcMar>
                    <w:left w:w="43" w:type="dxa"/>
                    <w:right w:w="178" w:type="dxa"/>
                  </w:tcMar>
                  <w:vAlign w:val="bottom"/>
                </w:tcPr>
                <w:p w14:paraId="2844660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43.5</w:t>
                  </w:r>
                </w:p>
              </w:tc>
              <w:tc>
                <w:tcPr>
                  <w:tcW w:w="1566" w:type="dxa"/>
                  <w:tcBorders>
                    <w:top w:val="double" w:sz="6" w:space="0" w:color="000000"/>
                    <w:left w:val="nil"/>
                    <w:bottom w:val="double" w:sz="6" w:space="0" w:color="000000"/>
                    <w:right w:val="nil"/>
                    <w:tl2br w:val="nil"/>
                    <w:tr2bl w:val="nil"/>
                  </w:tcBorders>
                  <w:shd w:val="clear" w:color="auto" w:fill="auto"/>
                  <w:noWrap/>
                  <w:tcMar>
                    <w:left w:w="43" w:type="dxa"/>
                    <w:right w:w="178" w:type="dxa"/>
                  </w:tcMar>
                  <w:vAlign w:val="bottom"/>
                </w:tcPr>
                <w:p w14:paraId="6309E4B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31.2</w:t>
                  </w:r>
                </w:p>
              </w:tc>
            </w:tr>
            <w:tr w:rsidR="0085581F" w:rsidRPr="0085581F" w14:paraId="5601A9A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18" w:type="dxa"/>
                  <w:gridSpan w:val="2"/>
                  <w:tcBorders>
                    <w:top w:val="double" w:sz="6" w:space="0" w:color="000000"/>
                    <w:left w:val="nil"/>
                    <w:bottom w:val="double" w:sz="6" w:space="0" w:color="000000"/>
                    <w:right w:val="nil"/>
                    <w:tl2br w:val="nil"/>
                    <w:tr2bl w:val="nil"/>
                  </w:tcBorders>
                  <w:shd w:val="clear" w:color="auto" w:fill="auto"/>
                  <w:tcMar>
                    <w:left w:w="43" w:type="dxa"/>
                    <w:right w:w="178" w:type="dxa"/>
                  </w:tcMar>
                  <w:vAlign w:val="bottom"/>
                </w:tcPr>
                <w:p w14:paraId="7DA0F045"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Number of issued shares of the Company used in the calculation (in thousands) </w:t>
                  </w:r>
                  <w:r w:rsidRPr="0085581F">
                    <w:rPr>
                      <w:rFonts w:asciiTheme="majorBidi" w:hAnsiTheme="majorBidi" w:cstheme="majorBidi"/>
                      <w:color w:val="000000"/>
                      <w:sz w:val="21"/>
                      <w:vertAlign w:val="superscript"/>
                    </w:rPr>
                    <w:t>3</w:t>
                  </w:r>
                </w:p>
              </w:tc>
              <w:tc>
                <w:tcPr>
                  <w:tcW w:w="1200" w:type="dxa"/>
                  <w:tcBorders>
                    <w:top w:val="double" w:sz="6" w:space="0" w:color="000000"/>
                    <w:left w:val="nil"/>
                    <w:bottom w:val="double" w:sz="6" w:space="0" w:color="000000"/>
                    <w:right w:val="nil"/>
                    <w:tl2br w:val="nil"/>
                    <w:tr2bl w:val="nil"/>
                  </w:tcBorders>
                  <w:shd w:val="clear" w:color="auto" w:fill="auto"/>
                  <w:noWrap/>
                  <w:tcMar>
                    <w:left w:w="43" w:type="dxa"/>
                    <w:right w:w="178" w:type="dxa"/>
                  </w:tcMar>
                  <w:vAlign w:val="bottom"/>
                </w:tcPr>
                <w:p w14:paraId="222E924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185,251</w:t>
                  </w:r>
                </w:p>
              </w:tc>
              <w:tc>
                <w:tcPr>
                  <w:tcW w:w="1138" w:type="dxa"/>
                  <w:gridSpan w:val="2"/>
                  <w:tcBorders>
                    <w:top w:val="double" w:sz="6" w:space="0" w:color="000000"/>
                    <w:left w:val="nil"/>
                    <w:bottom w:val="double" w:sz="6" w:space="0" w:color="000000"/>
                    <w:right w:val="nil"/>
                    <w:tl2br w:val="nil"/>
                    <w:tr2bl w:val="nil"/>
                  </w:tcBorders>
                  <w:shd w:val="clear" w:color="auto" w:fill="auto"/>
                  <w:noWrap/>
                  <w:tcMar>
                    <w:left w:w="43" w:type="dxa"/>
                    <w:right w:w="178" w:type="dxa"/>
                  </w:tcMar>
                  <w:vAlign w:val="bottom"/>
                </w:tcPr>
                <w:p w14:paraId="6FAEC0E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178,687</w:t>
                  </w:r>
                </w:p>
              </w:tc>
              <w:tc>
                <w:tcPr>
                  <w:tcW w:w="1566" w:type="dxa"/>
                  <w:tcBorders>
                    <w:top w:val="double" w:sz="6" w:space="0" w:color="000000"/>
                    <w:left w:val="nil"/>
                    <w:bottom w:val="double" w:sz="6" w:space="0" w:color="000000"/>
                    <w:right w:val="nil"/>
                    <w:tl2br w:val="nil"/>
                    <w:tr2bl w:val="nil"/>
                  </w:tcBorders>
                  <w:shd w:val="clear" w:color="auto" w:fill="auto"/>
                  <w:noWrap/>
                  <w:tcMar>
                    <w:left w:w="43" w:type="dxa"/>
                    <w:right w:w="178" w:type="dxa"/>
                  </w:tcMar>
                  <w:vAlign w:val="bottom"/>
                </w:tcPr>
                <w:p w14:paraId="1E2A40B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186,378</w:t>
                  </w:r>
                </w:p>
              </w:tc>
            </w:tr>
            <w:tr w:rsidR="0085581F" w:rsidRPr="0085581F" w14:paraId="576ECAE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8"/>
              </w:trPr>
              <w:tc>
                <w:tcPr>
                  <w:tcW w:w="459" w:type="dxa"/>
                  <w:tcBorders>
                    <w:top w:val="double" w:sz="6" w:space="0" w:color="000000"/>
                    <w:left w:val="nil"/>
                    <w:bottom w:val="nil"/>
                    <w:right w:val="nil"/>
                    <w:tl2br w:val="nil"/>
                    <w:tr2bl w:val="nil"/>
                  </w:tcBorders>
                  <w:shd w:val="clear" w:color="auto" w:fill="auto"/>
                  <w:noWrap/>
                  <w:tcMar>
                    <w:left w:w="43" w:type="dxa"/>
                    <w:right w:w="43" w:type="dxa"/>
                  </w:tcMar>
                </w:tcPr>
                <w:p w14:paraId="18D78C6C"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vertAlign w:val="superscript"/>
                    </w:rPr>
                  </w:pPr>
                  <w:r w:rsidRPr="0085581F">
                    <w:rPr>
                      <w:rFonts w:asciiTheme="majorBidi" w:hAnsiTheme="majorBidi" w:cstheme="majorBidi"/>
                      <w:color w:val="000000"/>
                      <w:sz w:val="21"/>
                      <w:vertAlign w:val="superscript"/>
                    </w:rPr>
                    <w:t>1.</w:t>
                  </w:r>
                </w:p>
              </w:tc>
              <w:tc>
                <w:tcPr>
                  <w:tcW w:w="9463" w:type="dxa"/>
                  <w:gridSpan w:val="5"/>
                  <w:tcBorders>
                    <w:top w:val="double" w:sz="6" w:space="0" w:color="000000"/>
                    <w:left w:val="nil"/>
                    <w:bottom w:val="nil"/>
                    <w:right w:val="nil"/>
                    <w:tl2br w:val="nil"/>
                    <w:tr2bl w:val="nil"/>
                  </w:tcBorders>
                  <w:shd w:val="clear" w:color="auto" w:fill="auto"/>
                  <w:noWrap/>
                  <w:tcMar>
                    <w:left w:w="43" w:type="dxa"/>
                    <w:right w:w="43" w:type="dxa"/>
                  </w:tcMar>
                </w:tcPr>
                <w:p w14:paraId="2032C9A7"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Net of goodwill generated in business combinations against deferred tax reserves. In EPRA NTA calculation, 50% of the tax reserve is used.</w:t>
                  </w:r>
                </w:p>
              </w:tc>
            </w:tr>
            <w:tr w:rsidR="0085581F" w:rsidRPr="0085581F" w14:paraId="5DF80F2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459" w:type="dxa"/>
                  <w:tcBorders>
                    <w:top w:val="nil"/>
                    <w:left w:val="nil"/>
                    <w:bottom w:val="nil"/>
                    <w:right w:val="nil"/>
                    <w:tl2br w:val="nil"/>
                    <w:tr2bl w:val="nil"/>
                  </w:tcBorders>
                  <w:shd w:val="clear" w:color="auto" w:fill="auto"/>
                  <w:noWrap/>
                  <w:tcMar>
                    <w:left w:w="43" w:type="dxa"/>
                    <w:right w:w="43" w:type="dxa"/>
                  </w:tcMar>
                </w:tcPr>
                <w:p w14:paraId="506B0BCF"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vertAlign w:val="superscript"/>
                    </w:rPr>
                  </w:pPr>
                  <w:r w:rsidRPr="0085581F">
                    <w:rPr>
                      <w:rFonts w:asciiTheme="majorBidi" w:hAnsiTheme="majorBidi" w:cstheme="majorBidi"/>
                      <w:color w:val="000000"/>
                      <w:sz w:val="21"/>
                      <w:vertAlign w:val="superscript"/>
                    </w:rPr>
                    <w:t>2.</w:t>
                  </w:r>
                </w:p>
              </w:tc>
              <w:tc>
                <w:tcPr>
                  <w:tcW w:w="9463" w:type="dxa"/>
                  <w:gridSpan w:val="5"/>
                  <w:tcBorders>
                    <w:top w:val="nil"/>
                    <w:left w:val="nil"/>
                    <w:bottom w:val="nil"/>
                    <w:right w:val="nil"/>
                    <w:tl2br w:val="nil"/>
                    <w:tr2bl w:val="nil"/>
                  </w:tcBorders>
                  <w:shd w:val="clear" w:color="auto" w:fill="auto"/>
                  <w:noWrap/>
                  <w:tcMar>
                    <w:left w:w="43" w:type="dxa"/>
                    <w:right w:w="43" w:type="dxa"/>
                  </w:tcMar>
                </w:tcPr>
                <w:p w14:paraId="35B0E2C2"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The amount represents the fair value less the intrinsic value of currency hedging transactions.</w:t>
                  </w:r>
                </w:p>
              </w:tc>
            </w:tr>
            <w:tr w:rsidR="0085581F" w:rsidRPr="0085581F" w14:paraId="76E49B1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459" w:type="dxa"/>
                  <w:tcBorders>
                    <w:top w:val="nil"/>
                    <w:left w:val="nil"/>
                    <w:bottom w:val="nil"/>
                    <w:right w:val="nil"/>
                    <w:tl2br w:val="nil"/>
                    <w:tr2bl w:val="nil"/>
                  </w:tcBorders>
                  <w:shd w:val="clear" w:color="auto" w:fill="auto"/>
                  <w:noWrap/>
                  <w:tcMar>
                    <w:left w:w="43" w:type="dxa"/>
                    <w:right w:w="43" w:type="dxa"/>
                  </w:tcMar>
                </w:tcPr>
                <w:p w14:paraId="106A53D7"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vertAlign w:val="superscript"/>
                    </w:rPr>
                  </w:pPr>
                  <w:r w:rsidRPr="0085581F">
                    <w:rPr>
                      <w:rFonts w:asciiTheme="majorBidi" w:hAnsiTheme="majorBidi" w:cstheme="majorBidi"/>
                      <w:color w:val="000000"/>
                      <w:sz w:val="21"/>
                      <w:vertAlign w:val="superscript"/>
                    </w:rPr>
                    <w:t>3.</w:t>
                  </w:r>
                </w:p>
              </w:tc>
              <w:tc>
                <w:tcPr>
                  <w:tcW w:w="9463" w:type="dxa"/>
                  <w:gridSpan w:val="5"/>
                  <w:tcBorders>
                    <w:top w:val="nil"/>
                    <w:left w:val="nil"/>
                    <w:bottom w:val="nil"/>
                    <w:right w:val="nil"/>
                    <w:tl2br w:val="nil"/>
                    <w:tr2bl w:val="nil"/>
                  </w:tcBorders>
                  <w:shd w:val="clear" w:color="auto" w:fill="auto"/>
                  <w:noWrap/>
                  <w:tcMar>
                    <w:left w:w="43" w:type="dxa"/>
                    <w:right w:w="43" w:type="dxa"/>
                  </w:tcMar>
                </w:tcPr>
                <w:p w14:paraId="5A1F1E92"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8"/>
                      <w:szCs w:val="18"/>
                    </w:rPr>
                  </w:pPr>
                  <w:r w:rsidRPr="0085581F">
                    <w:rPr>
                      <w:rFonts w:asciiTheme="majorBidi" w:hAnsiTheme="majorBidi" w:cstheme="majorBidi"/>
                      <w:color w:val="000000"/>
                      <w:sz w:val="18"/>
                      <w:szCs w:val="18"/>
                    </w:rPr>
                    <w:t>Represents the diluted number of issued shares (in thousands), excluding treasury shares held by the Company.</w:t>
                  </w:r>
                </w:p>
              </w:tc>
            </w:tr>
          </w:tbl>
          <w:p w14:paraId="3B1F535E" w14:textId="77777777" w:rsidR="0085581F" w:rsidRPr="0085581F" w:rsidRDefault="0085581F" w:rsidP="0085581F">
            <w:pPr>
              <w:rPr>
                <w:rFonts w:asciiTheme="majorBidi" w:hAnsiTheme="majorBidi" w:cstheme="majorBidi"/>
              </w:rPr>
            </w:pPr>
          </w:p>
        </w:tc>
      </w:tr>
    </w:tbl>
    <w:p w14:paraId="6DD5E840" w14:textId="77777777" w:rsidR="0085581F" w:rsidRPr="0085581F" w:rsidRDefault="0085581F" w:rsidP="004D7A72">
      <w:pPr>
        <w:keepNext/>
        <w:keepLines/>
        <w:pageBreakBefore/>
        <w:numPr>
          <w:ilvl w:val="0"/>
          <w:numId w:val="30"/>
        </w:numPr>
        <w:tabs>
          <w:tab w:val="left" w:pos="425"/>
          <w:tab w:val="left" w:pos="707"/>
        </w:tabs>
        <w:ind w:left="425" w:hanging="425"/>
        <w:contextualSpacing/>
        <w:outlineLvl w:val="2"/>
        <w:rPr>
          <w:rFonts w:asciiTheme="majorBidi" w:hAnsiTheme="majorBidi" w:cstheme="majorBidi"/>
          <w:sz w:val="21"/>
          <w:szCs w:val="21"/>
        </w:rPr>
      </w:pPr>
      <w:bookmarkStart w:id="38" w:name="RG_MARKER_56577"/>
      <w:bookmarkStart w:id="39" w:name="RG_MARKER_56621"/>
      <w:bookmarkStart w:id="40" w:name="H3_3הסברי_הדירקטוריון_למצב_עסקי_התאגיד_ת"/>
      <w:r w:rsidRPr="0085581F">
        <w:rPr>
          <w:rFonts w:asciiTheme="majorBidi" w:hAnsiTheme="majorBidi" w:cstheme="majorBidi"/>
          <w:sz w:val="21"/>
        </w:rPr>
        <w:lastRenderedPageBreak/>
        <w:t>Explanations of the Board of Directors for the Company’s Business Position, its Results of Operations, its Equity and its Cash Flows</w:t>
      </w:r>
      <w:bookmarkEnd w:id="38"/>
      <w:bookmarkEnd w:id="39"/>
    </w:p>
    <w:p w14:paraId="423BCFDE" w14:textId="77777777" w:rsidR="0085581F" w:rsidRPr="0085581F" w:rsidRDefault="0085581F" w:rsidP="004D7A72">
      <w:pPr>
        <w:keepNext/>
        <w:keepLines/>
        <w:numPr>
          <w:ilvl w:val="0"/>
          <w:numId w:val="31"/>
        </w:numPr>
        <w:tabs>
          <w:tab w:val="left" w:pos="425"/>
          <w:tab w:val="left" w:pos="707"/>
        </w:tabs>
        <w:ind w:left="425" w:hanging="425"/>
        <w:contextualSpacing/>
        <w:outlineLvl w:val="2"/>
        <w:rPr>
          <w:rFonts w:asciiTheme="majorBidi" w:hAnsiTheme="majorBidi" w:cstheme="majorBidi"/>
          <w:sz w:val="21"/>
          <w:szCs w:val="21"/>
        </w:rPr>
      </w:pPr>
      <w:bookmarkStart w:id="41" w:name="H4_31השקעות_ומימושים_עיקריים_של_נדלן_להש"/>
      <w:bookmarkEnd w:id="40"/>
      <w:r w:rsidRPr="0085581F">
        <w:rPr>
          <w:rFonts w:asciiTheme="majorBidi" w:hAnsiTheme="majorBidi" w:cstheme="majorBidi"/>
          <w:sz w:val="21"/>
        </w:rPr>
        <w:t>Key investments and disposals of investment real estate</w:t>
      </w:r>
    </w:p>
    <w:p w14:paraId="0BA251CA" w14:textId="77777777" w:rsidR="0085581F" w:rsidRPr="0085581F" w:rsidRDefault="0085581F" w:rsidP="004D7A72">
      <w:pPr>
        <w:numPr>
          <w:ilvl w:val="0"/>
          <w:numId w:val="32"/>
        </w:numPr>
        <w:tabs>
          <w:tab w:val="left" w:pos="709"/>
          <w:tab w:val="left" w:pos="1133"/>
        </w:tabs>
        <w:ind w:left="709" w:hanging="283"/>
        <w:contextualSpacing/>
        <w:rPr>
          <w:rFonts w:asciiTheme="majorBidi" w:hAnsiTheme="majorBidi" w:cstheme="majorBidi"/>
          <w:sz w:val="21"/>
          <w:szCs w:val="21"/>
          <w:bdr w:val="none" w:sz="0" w:space="0" w:color="auto" w:frame="1"/>
        </w:rPr>
      </w:pPr>
      <w:bookmarkStart w:id="42" w:name="_Hlk135232751"/>
      <w:bookmarkEnd w:id="41"/>
      <w:r w:rsidRPr="0085581F">
        <w:rPr>
          <w:rFonts w:asciiTheme="majorBidi" w:hAnsiTheme="majorBidi" w:cstheme="majorBidi"/>
          <w:sz w:val="21"/>
        </w:rPr>
        <w:t xml:space="preserve">In January 2024, G Europe completed the sale of the Arkady </w:t>
      </w:r>
      <w:proofErr w:type="spellStart"/>
      <w:r w:rsidRPr="0085581F">
        <w:rPr>
          <w:rFonts w:asciiTheme="majorBidi" w:hAnsiTheme="majorBidi" w:cstheme="majorBidi"/>
          <w:sz w:val="21"/>
        </w:rPr>
        <w:t>Pasnkrac</w:t>
      </w:r>
      <w:proofErr w:type="spellEnd"/>
      <w:r w:rsidRPr="0085581F">
        <w:rPr>
          <w:rFonts w:asciiTheme="majorBidi" w:hAnsiTheme="majorBidi" w:cstheme="majorBidi"/>
          <w:sz w:val="21"/>
        </w:rPr>
        <w:t xml:space="preserve"> property located in Prague, the Czech Republic, for gross proceeds of EUR 259 million.</w:t>
      </w:r>
    </w:p>
    <w:p w14:paraId="6D287990" w14:textId="77777777" w:rsidR="0085581F" w:rsidRPr="0085581F" w:rsidRDefault="0085581F" w:rsidP="004D7A72">
      <w:pPr>
        <w:numPr>
          <w:ilvl w:val="0"/>
          <w:numId w:val="32"/>
        </w:numPr>
        <w:tabs>
          <w:tab w:val="left" w:pos="709"/>
          <w:tab w:val="left" w:pos="1133"/>
        </w:tabs>
        <w:ind w:left="709" w:hanging="283"/>
        <w:contextualSpacing/>
        <w:rPr>
          <w:rFonts w:asciiTheme="majorBidi" w:hAnsiTheme="majorBidi" w:cstheme="majorBidi"/>
          <w:sz w:val="21"/>
          <w:szCs w:val="21"/>
          <w:bdr w:val="none" w:sz="0" w:space="0" w:color="auto" w:frame="1"/>
        </w:rPr>
      </w:pPr>
      <w:r w:rsidRPr="0085581F">
        <w:rPr>
          <w:rFonts w:asciiTheme="majorBidi" w:hAnsiTheme="majorBidi" w:cstheme="majorBidi"/>
          <w:sz w:val="21"/>
        </w:rPr>
        <w:t>In January 2024, Gazit Horizons completed the sale of the Bridge Tower property located in New York City in the US, for proceeds of USD 153 million.</w:t>
      </w:r>
    </w:p>
    <w:p w14:paraId="44CC7895" w14:textId="77777777" w:rsidR="0085581F" w:rsidRPr="0085581F" w:rsidRDefault="0085581F" w:rsidP="004D7A72">
      <w:pPr>
        <w:numPr>
          <w:ilvl w:val="0"/>
          <w:numId w:val="32"/>
        </w:numPr>
        <w:tabs>
          <w:tab w:val="left" w:pos="709"/>
          <w:tab w:val="left" w:pos="1133"/>
        </w:tabs>
        <w:ind w:left="709" w:hanging="283"/>
        <w:contextualSpacing/>
        <w:rPr>
          <w:rFonts w:asciiTheme="majorBidi" w:hAnsiTheme="majorBidi" w:cstheme="majorBidi"/>
          <w:sz w:val="21"/>
          <w:szCs w:val="21"/>
          <w:bdr w:val="none" w:sz="0" w:space="0" w:color="auto" w:frame="1"/>
        </w:rPr>
      </w:pPr>
      <w:r w:rsidRPr="0085581F">
        <w:rPr>
          <w:rFonts w:asciiTheme="majorBidi" w:hAnsiTheme="majorBidi" w:cstheme="majorBidi"/>
          <w:sz w:val="21"/>
          <w:bdr w:val="none" w:sz="0" w:space="0" w:color="auto" w:frame="1"/>
        </w:rPr>
        <w:t xml:space="preserve">In February 2024, CTY completed the acquisition of the partners share (50%) in the </w:t>
      </w:r>
      <w:proofErr w:type="spellStart"/>
      <w:r w:rsidRPr="0085581F">
        <w:rPr>
          <w:rFonts w:asciiTheme="majorBidi" w:hAnsiTheme="majorBidi" w:cstheme="majorBidi"/>
          <w:sz w:val="21"/>
          <w:bdr w:val="none" w:sz="0" w:space="0" w:color="auto" w:frame="1"/>
        </w:rPr>
        <w:t>Kista</w:t>
      </w:r>
      <w:proofErr w:type="spellEnd"/>
      <w:r w:rsidRPr="0085581F">
        <w:rPr>
          <w:rFonts w:asciiTheme="majorBidi" w:hAnsiTheme="majorBidi" w:cstheme="majorBidi"/>
          <w:sz w:val="21"/>
          <w:bdr w:val="none" w:sz="0" w:space="0" w:color="auto" w:frame="1"/>
        </w:rPr>
        <w:t xml:space="preserve"> Galleria property located in Stockholm, Sweden, for proceeds of EUR 2.5 million. Under this acquisition, CTY assumed the entire debt of the property in the amount of SEK 2.4 billion (NIS 850 million).</w:t>
      </w:r>
    </w:p>
    <w:bookmarkEnd w:id="42"/>
    <w:p w14:paraId="733ABBED" w14:textId="22FBF49F" w:rsidR="0085581F" w:rsidRPr="0085581F" w:rsidRDefault="0085581F" w:rsidP="004D7A72">
      <w:pPr>
        <w:numPr>
          <w:ilvl w:val="0"/>
          <w:numId w:val="32"/>
        </w:numPr>
        <w:tabs>
          <w:tab w:val="left" w:pos="709"/>
          <w:tab w:val="left" w:pos="1133"/>
        </w:tabs>
        <w:ind w:left="709" w:hanging="283"/>
        <w:contextualSpacing/>
        <w:rPr>
          <w:rFonts w:asciiTheme="majorBidi" w:hAnsiTheme="majorBidi" w:cstheme="majorBidi"/>
          <w:sz w:val="21"/>
          <w:szCs w:val="21"/>
        </w:rPr>
      </w:pPr>
      <w:r w:rsidRPr="0085581F">
        <w:rPr>
          <w:rFonts w:asciiTheme="majorBidi" w:hAnsiTheme="majorBidi" w:cstheme="majorBidi"/>
          <w:sz w:val="21"/>
        </w:rPr>
        <w:t xml:space="preserve">In February 2024, Gazit Malls completed </w:t>
      </w:r>
      <w:r w:rsidR="00E676D2" w:rsidRPr="0085581F">
        <w:rPr>
          <w:rFonts w:asciiTheme="majorBidi" w:hAnsiTheme="majorBidi" w:cstheme="majorBidi"/>
          <w:sz w:val="21"/>
        </w:rPr>
        <w:t>an</w:t>
      </w:r>
      <w:r w:rsidRPr="0085581F">
        <w:rPr>
          <w:rFonts w:asciiTheme="majorBidi" w:hAnsiTheme="majorBidi" w:cstheme="majorBidi"/>
          <w:sz w:val="21"/>
        </w:rPr>
        <w:t xml:space="preserve"> </w:t>
      </w:r>
      <w:r w:rsidR="00E676D2">
        <w:rPr>
          <w:rFonts w:asciiTheme="majorBidi" w:hAnsiTheme="majorBidi" w:cstheme="majorBidi"/>
          <w:sz w:val="21"/>
        </w:rPr>
        <w:t>IPO</w:t>
      </w:r>
      <w:r w:rsidRPr="0085581F">
        <w:rPr>
          <w:rFonts w:asciiTheme="majorBidi" w:hAnsiTheme="majorBidi" w:cstheme="majorBidi"/>
          <w:sz w:val="21"/>
        </w:rPr>
        <w:t xml:space="preserve"> of its shares in an amount of BRL 301 million (NIS 226 million) by way of a </w:t>
      </w:r>
      <w:r w:rsidR="00A453F4">
        <w:rPr>
          <w:rFonts w:asciiTheme="majorBidi" w:hAnsiTheme="majorBidi" w:cstheme="majorBidi"/>
          <w:sz w:val="21"/>
        </w:rPr>
        <w:t>tender offer</w:t>
      </w:r>
      <w:r w:rsidRPr="0085581F">
        <w:rPr>
          <w:rFonts w:asciiTheme="majorBidi" w:hAnsiTheme="majorBidi" w:cstheme="majorBidi"/>
          <w:sz w:val="21"/>
        </w:rPr>
        <w:t xml:space="preserve"> on part of the Company's holdings. </w:t>
      </w:r>
      <w:r w:rsidR="00271F4D">
        <w:rPr>
          <w:rFonts w:asciiTheme="majorBidi" w:hAnsiTheme="majorBidi" w:cstheme="majorBidi"/>
          <w:sz w:val="21"/>
        </w:rPr>
        <w:t xml:space="preserve">Gazit </w:t>
      </w:r>
      <w:proofErr w:type="spellStart"/>
      <w:r w:rsidR="00271F4D">
        <w:rPr>
          <w:rFonts w:asciiTheme="majorBidi" w:hAnsiTheme="majorBidi" w:cstheme="majorBidi"/>
          <w:sz w:val="21"/>
        </w:rPr>
        <w:t>Brasil</w:t>
      </w:r>
      <w:proofErr w:type="spellEnd"/>
      <w:r w:rsidRPr="0085581F">
        <w:rPr>
          <w:rFonts w:asciiTheme="majorBidi" w:hAnsiTheme="majorBidi" w:cstheme="majorBidi"/>
          <w:sz w:val="21"/>
        </w:rPr>
        <w:t xml:space="preserve"> acquired, within 30 days after the issue, 223 thousand shares through regular trading for an amount of BRL 16 million under an expanded market making plan at the time the </w:t>
      </w:r>
      <w:r w:rsidR="00E676D2">
        <w:rPr>
          <w:rFonts w:asciiTheme="majorBidi" w:hAnsiTheme="majorBidi" w:cstheme="majorBidi"/>
          <w:sz w:val="21"/>
        </w:rPr>
        <w:t>IPO</w:t>
      </w:r>
      <w:r w:rsidRPr="0085581F">
        <w:rPr>
          <w:rFonts w:asciiTheme="majorBidi" w:hAnsiTheme="majorBidi" w:cstheme="majorBidi"/>
          <w:sz w:val="21"/>
        </w:rPr>
        <w:t xml:space="preserve"> was announced.</w:t>
      </w:r>
    </w:p>
    <w:p w14:paraId="2F485E19" w14:textId="77777777" w:rsidR="0085581F" w:rsidRPr="00DE30FE" w:rsidRDefault="0085581F" w:rsidP="004D7A72">
      <w:pPr>
        <w:numPr>
          <w:ilvl w:val="0"/>
          <w:numId w:val="32"/>
        </w:numPr>
        <w:tabs>
          <w:tab w:val="left" w:pos="709"/>
          <w:tab w:val="left" w:pos="1133"/>
        </w:tabs>
        <w:ind w:left="709" w:hanging="283"/>
        <w:contextualSpacing/>
        <w:rPr>
          <w:rFonts w:asciiTheme="majorBidi" w:hAnsiTheme="majorBidi" w:cstheme="majorBidi"/>
          <w:sz w:val="21"/>
          <w:szCs w:val="21"/>
        </w:rPr>
      </w:pPr>
      <w:r w:rsidRPr="0085581F">
        <w:rPr>
          <w:rFonts w:asciiTheme="majorBidi" w:hAnsiTheme="majorBidi" w:cstheme="majorBidi"/>
          <w:sz w:val="21"/>
        </w:rPr>
        <w:t>In May 2024, CTY sold a property in Norway for gross proceeds of EUR 30 million, similar to its carrying amount. This sale is part of the Property Disposal Plan of total value of EUR 950 million adopted by CTY, that is designed for the sale of properties worth EUR 350 million in 2024.</w:t>
      </w:r>
    </w:p>
    <w:p w14:paraId="76F04794" w14:textId="77777777" w:rsidR="00DE30FE" w:rsidRPr="0085581F" w:rsidRDefault="00DE30FE" w:rsidP="00DE30FE">
      <w:pPr>
        <w:tabs>
          <w:tab w:val="left" w:pos="709"/>
          <w:tab w:val="left" w:pos="1133"/>
        </w:tabs>
        <w:ind w:left="709"/>
        <w:contextualSpacing/>
        <w:rPr>
          <w:rFonts w:asciiTheme="majorBidi" w:hAnsiTheme="majorBidi" w:cstheme="majorBidi"/>
          <w:sz w:val="21"/>
          <w:szCs w:val="21"/>
        </w:rPr>
      </w:pPr>
    </w:p>
    <w:p w14:paraId="064EA73F" w14:textId="77777777" w:rsidR="0085581F" w:rsidRPr="0085581F" w:rsidRDefault="0085581F" w:rsidP="004D7A72">
      <w:pPr>
        <w:keepNext/>
        <w:keepLines/>
        <w:numPr>
          <w:ilvl w:val="0"/>
          <w:numId w:val="33"/>
        </w:numPr>
        <w:tabs>
          <w:tab w:val="left" w:pos="425"/>
          <w:tab w:val="left" w:pos="707"/>
        </w:tabs>
        <w:contextualSpacing/>
        <w:outlineLvl w:val="2"/>
        <w:rPr>
          <w:rFonts w:asciiTheme="majorBidi" w:hAnsiTheme="majorBidi" w:cstheme="majorBidi"/>
          <w:sz w:val="21"/>
          <w:szCs w:val="21"/>
        </w:rPr>
      </w:pPr>
      <w:r w:rsidRPr="0085581F">
        <w:rPr>
          <w:rFonts w:asciiTheme="majorBidi" w:hAnsiTheme="majorBidi" w:cstheme="majorBidi"/>
          <w:sz w:val="21"/>
        </w:rPr>
        <w:t>Key operating information and projects under development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85581F" w:rsidRPr="0085581F" w14:paraId="2A76DC26" w14:textId="77777777" w:rsidTr="00A65A6F">
        <w:trPr>
          <w:cantSplit/>
        </w:trPr>
        <w:tc>
          <w:tcPr>
            <w:tcW w:w="5000" w:type="pct"/>
          </w:tcPr>
          <w:tbl>
            <w:tblPr>
              <w:tblStyle w:val="CDMRange120"/>
              <w:tblW w:w="9960" w:type="dxa"/>
              <w:tblLook w:val="0600" w:firstRow="0" w:lastRow="0" w:firstColumn="0" w:lastColumn="0" w:noHBand="1" w:noVBand="1"/>
              <w:tblCaption w:val="Print_Area"/>
            </w:tblPr>
            <w:tblGrid>
              <w:gridCol w:w="1936"/>
              <w:gridCol w:w="2010"/>
              <w:gridCol w:w="2010"/>
              <w:gridCol w:w="2010"/>
              <w:gridCol w:w="1994"/>
            </w:tblGrid>
            <w:tr w:rsidR="0085581F" w:rsidRPr="0085581F" w14:paraId="17A23C7D" w14:textId="77777777" w:rsidTr="00A65A6F">
              <w:trPr>
                <w:trHeight w:val="300"/>
              </w:trPr>
              <w:tc>
                <w:tcPr>
                  <w:tcW w:w="1920" w:type="dxa"/>
                  <w:vMerge w:val="restart"/>
                  <w:tcBorders>
                    <w:top w:val="nil"/>
                    <w:left w:val="nil"/>
                    <w:bottom w:val="nil"/>
                    <w:right w:val="nil"/>
                    <w:tl2br w:val="nil"/>
                    <w:tr2bl w:val="nil"/>
                  </w:tcBorders>
                  <w:shd w:val="clear" w:color="FFFFFF" w:fill="000031"/>
                  <w:noWrap/>
                  <w:tcMar>
                    <w:left w:w="0" w:type="dxa"/>
                    <w:right w:w="0" w:type="dxa"/>
                  </w:tcMar>
                  <w:vAlign w:val="bottom"/>
                </w:tcPr>
                <w:p w14:paraId="1272DE47"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bookmarkStart w:id="43" w:name="_Hlk116379771"/>
                  <w:bookmarkStart w:id="44" w:name="_Hlk163749959"/>
                </w:p>
              </w:tc>
              <w:tc>
                <w:tcPr>
                  <w:tcW w:w="2010" w:type="dxa"/>
                  <w:vMerge w:val="restart"/>
                  <w:tcBorders>
                    <w:top w:val="nil"/>
                    <w:left w:val="nil"/>
                    <w:bottom w:val="nil"/>
                    <w:right w:val="nil"/>
                    <w:tl2br w:val="nil"/>
                    <w:tr2bl w:val="nil"/>
                  </w:tcBorders>
                  <w:shd w:val="clear" w:color="FFFFFF" w:fill="000031"/>
                  <w:noWrap/>
                  <w:tcMar>
                    <w:left w:w="40" w:type="dxa"/>
                    <w:right w:w="40" w:type="dxa"/>
                  </w:tcMar>
                  <w:vAlign w:val="bottom"/>
                </w:tcPr>
                <w:p w14:paraId="5BC5FAB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color w:val="FFFFFF"/>
                    </w:rPr>
                    <w:t>Income-producing properties</w:t>
                  </w:r>
                  <w:r w:rsidRPr="0085581F">
                    <w:rPr>
                      <w:rFonts w:asciiTheme="majorBidi" w:hAnsiTheme="majorBidi" w:cstheme="majorBidi"/>
                      <w:color w:val="FFFFFF"/>
                      <w:vertAlign w:val="superscript"/>
                    </w:rPr>
                    <w:t xml:space="preserve"> 1</w:t>
                  </w:r>
                </w:p>
              </w:tc>
              <w:tc>
                <w:tcPr>
                  <w:tcW w:w="2010" w:type="dxa"/>
                  <w:vMerge w:val="restart"/>
                  <w:tcBorders>
                    <w:top w:val="nil"/>
                    <w:left w:val="nil"/>
                    <w:bottom w:val="nil"/>
                    <w:right w:val="nil"/>
                    <w:tl2br w:val="nil"/>
                    <w:tr2bl w:val="nil"/>
                  </w:tcBorders>
                  <w:shd w:val="clear" w:color="FFFFFF" w:fill="000031"/>
                  <w:tcMar>
                    <w:left w:w="40" w:type="dxa"/>
                    <w:right w:w="40" w:type="dxa"/>
                  </w:tcMar>
                  <w:vAlign w:val="center"/>
                </w:tcPr>
                <w:p w14:paraId="55305622"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 xml:space="preserve">GLA </w:t>
                  </w:r>
                </w:p>
                <w:p w14:paraId="3A6548C5"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(square meters in thousands)</w:t>
                  </w:r>
                </w:p>
              </w:tc>
              <w:tc>
                <w:tcPr>
                  <w:tcW w:w="4020" w:type="dxa"/>
                  <w:gridSpan w:val="2"/>
                  <w:tcBorders>
                    <w:top w:val="nil"/>
                    <w:left w:val="nil"/>
                    <w:bottom w:val="nil"/>
                    <w:right w:val="nil"/>
                    <w:tl2br w:val="nil"/>
                    <w:tr2bl w:val="nil"/>
                  </w:tcBorders>
                  <w:shd w:val="clear" w:color="FFFFFF" w:fill="000031"/>
                  <w:tcMar>
                    <w:left w:w="40" w:type="dxa"/>
                    <w:right w:w="40" w:type="dxa"/>
                  </w:tcMar>
                  <w:vAlign w:val="center"/>
                </w:tcPr>
                <w:p w14:paraId="5AA56F0D"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Occupancy rates</w:t>
                  </w:r>
                </w:p>
              </w:tc>
            </w:tr>
            <w:tr w:rsidR="0085581F" w:rsidRPr="0085581F" w14:paraId="6F66D8E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20" w:type="dxa"/>
                  <w:vMerge/>
                  <w:tcBorders>
                    <w:top w:val="nil"/>
                    <w:left w:val="nil"/>
                    <w:bottom w:val="nil"/>
                    <w:right w:val="nil"/>
                    <w:tl2br w:val="nil"/>
                    <w:tr2bl w:val="nil"/>
                  </w:tcBorders>
                  <w:shd w:val="clear" w:color="FFFFFF" w:fill="000031"/>
                  <w:noWrap/>
                  <w:tcMar>
                    <w:left w:w="0" w:type="dxa"/>
                    <w:right w:w="0" w:type="dxa"/>
                  </w:tcMar>
                  <w:vAlign w:val="bottom"/>
                </w:tcPr>
                <w:p w14:paraId="45F73711"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p>
              </w:tc>
              <w:tc>
                <w:tcPr>
                  <w:tcW w:w="2010" w:type="dxa"/>
                  <w:vMerge/>
                  <w:tcBorders>
                    <w:top w:val="nil"/>
                    <w:left w:val="nil"/>
                    <w:bottom w:val="nil"/>
                    <w:right w:val="nil"/>
                    <w:tl2br w:val="nil"/>
                    <w:tr2bl w:val="nil"/>
                  </w:tcBorders>
                  <w:shd w:val="clear" w:color="FFFFFF" w:fill="000031"/>
                  <w:noWrap/>
                  <w:tcMar>
                    <w:left w:w="0" w:type="dxa"/>
                    <w:right w:w="0" w:type="dxa"/>
                  </w:tcMar>
                  <w:vAlign w:val="bottom"/>
                </w:tcPr>
                <w:p w14:paraId="38084EBC"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p>
              </w:tc>
              <w:tc>
                <w:tcPr>
                  <w:tcW w:w="2010" w:type="dxa"/>
                  <w:vMerge/>
                  <w:tcBorders>
                    <w:top w:val="nil"/>
                    <w:left w:val="nil"/>
                    <w:bottom w:val="nil"/>
                    <w:right w:val="nil"/>
                    <w:tl2br w:val="nil"/>
                    <w:tr2bl w:val="nil"/>
                  </w:tcBorders>
                  <w:shd w:val="clear" w:color="FFFFFF" w:fill="000031"/>
                  <w:tcMar>
                    <w:left w:w="0" w:type="dxa"/>
                    <w:right w:w="0" w:type="dxa"/>
                  </w:tcMar>
                  <w:vAlign w:val="center"/>
                </w:tcPr>
                <w:p w14:paraId="31C147AF"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p>
              </w:tc>
              <w:tc>
                <w:tcPr>
                  <w:tcW w:w="2010" w:type="dxa"/>
                  <w:tcBorders>
                    <w:top w:val="nil"/>
                    <w:left w:val="nil"/>
                    <w:bottom w:val="nil"/>
                    <w:right w:val="nil"/>
                    <w:tl2br w:val="nil"/>
                    <w:tr2bl w:val="nil"/>
                  </w:tcBorders>
                  <w:shd w:val="clear" w:color="FFFFFF" w:fill="000031"/>
                  <w:tcMar>
                    <w:left w:w="40" w:type="dxa"/>
                    <w:right w:w="40" w:type="dxa"/>
                  </w:tcMar>
                  <w:vAlign w:val="center"/>
                </w:tcPr>
                <w:p w14:paraId="5EE7BFB1"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June 30, 2024</w:t>
                  </w:r>
                </w:p>
              </w:tc>
              <w:tc>
                <w:tcPr>
                  <w:tcW w:w="2010" w:type="dxa"/>
                  <w:tcBorders>
                    <w:top w:val="nil"/>
                    <w:left w:val="nil"/>
                    <w:bottom w:val="nil"/>
                    <w:right w:val="nil"/>
                    <w:tl2br w:val="nil"/>
                    <w:tr2bl w:val="nil"/>
                  </w:tcBorders>
                  <w:shd w:val="clear" w:color="FFFFFF" w:fill="000031"/>
                  <w:tcMar>
                    <w:left w:w="40" w:type="dxa"/>
                    <w:right w:w="40" w:type="dxa"/>
                  </w:tcMar>
                  <w:vAlign w:val="center"/>
                </w:tcPr>
                <w:p w14:paraId="7BB1CF33"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June 30, 2023</w:t>
                  </w:r>
                </w:p>
              </w:tc>
            </w:tr>
            <w:tr w:rsidR="0085581F" w:rsidRPr="0085581F" w14:paraId="34A0264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79CF09C"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 Israel</w:t>
                  </w:r>
                </w:p>
              </w:tc>
              <w:tc>
                <w:tcPr>
                  <w:tcW w:w="20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AC77BE5"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10</w:t>
                  </w:r>
                </w:p>
              </w:tc>
              <w:tc>
                <w:tcPr>
                  <w:tcW w:w="20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1E8D74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156</w:t>
                  </w:r>
                </w:p>
              </w:tc>
              <w:tc>
                <w:tcPr>
                  <w:tcW w:w="20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C96DB5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98.1%</w:t>
                  </w:r>
                </w:p>
              </w:tc>
              <w:tc>
                <w:tcPr>
                  <w:tcW w:w="2010" w:type="dxa"/>
                  <w:tcBorders>
                    <w:top w:val="nil"/>
                    <w:left w:val="nil"/>
                    <w:bottom w:val="single" w:sz="4" w:space="0" w:color="000000"/>
                    <w:right w:val="nil"/>
                    <w:tl2br w:val="nil"/>
                    <w:tr2bl w:val="nil"/>
                  </w:tcBorders>
                  <w:shd w:val="clear" w:color="auto" w:fill="auto"/>
                  <w:tcMar>
                    <w:left w:w="40" w:type="dxa"/>
                    <w:right w:w="40" w:type="dxa"/>
                  </w:tcMar>
                  <w:vAlign w:val="center"/>
                </w:tcPr>
                <w:p w14:paraId="326A573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97.9%</w:t>
                  </w:r>
                </w:p>
              </w:tc>
            </w:tr>
            <w:tr w:rsidR="0085581F" w:rsidRPr="0085581F" w14:paraId="2F254D3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7EE86693"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Gazit Brazil</w:t>
                  </w:r>
                </w:p>
              </w:tc>
              <w:tc>
                <w:tcPr>
                  <w:tcW w:w="20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4B402E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6</w:t>
                  </w:r>
                </w:p>
              </w:tc>
              <w:tc>
                <w:tcPr>
                  <w:tcW w:w="20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8DF0D62"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165</w:t>
                  </w:r>
                </w:p>
              </w:tc>
              <w:tc>
                <w:tcPr>
                  <w:tcW w:w="20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01169C8"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97.3%</w:t>
                  </w:r>
                </w:p>
              </w:tc>
              <w:tc>
                <w:tcPr>
                  <w:tcW w:w="20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713D6D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95.9%</w:t>
                  </w:r>
                </w:p>
              </w:tc>
            </w:tr>
            <w:tr w:rsidR="0085581F" w:rsidRPr="0085581F" w14:paraId="5607933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50F4A42"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Gazit Horizons</w:t>
                  </w:r>
                </w:p>
              </w:tc>
              <w:tc>
                <w:tcPr>
                  <w:tcW w:w="20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6A0B0A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13</w:t>
                  </w:r>
                </w:p>
              </w:tc>
              <w:tc>
                <w:tcPr>
                  <w:tcW w:w="20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DA6A98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69</w:t>
                  </w:r>
                </w:p>
              </w:tc>
              <w:tc>
                <w:tcPr>
                  <w:tcW w:w="20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DC16672"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91.2%</w:t>
                  </w:r>
                </w:p>
              </w:tc>
              <w:tc>
                <w:tcPr>
                  <w:tcW w:w="20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F84002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93.7%</w:t>
                  </w:r>
                </w:p>
              </w:tc>
            </w:tr>
            <w:tr w:rsidR="0085581F" w:rsidRPr="0085581F" w14:paraId="571AAAF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7BA883A4"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CTY</w:t>
                  </w:r>
                </w:p>
              </w:tc>
              <w:tc>
                <w:tcPr>
                  <w:tcW w:w="20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ACF2DC8"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34</w:t>
                  </w:r>
                </w:p>
              </w:tc>
              <w:tc>
                <w:tcPr>
                  <w:tcW w:w="20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91C073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1,084</w:t>
                  </w:r>
                </w:p>
              </w:tc>
              <w:tc>
                <w:tcPr>
                  <w:tcW w:w="20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34E376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95.2%</w:t>
                  </w:r>
                </w:p>
              </w:tc>
              <w:tc>
                <w:tcPr>
                  <w:tcW w:w="20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AB0438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95.5%</w:t>
                  </w:r>
                </w:p>
              </w:tc>
            </w:tr>
            <w:tr w:rsidR="0085581F" w:rsidRPr="0085581F" w14:paraId="13D9639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351CBBCA"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 Europe</w:t>
                  </w:r>
                </w:p>
              </w:tc>
              <w:tc>
                <w:tcPr>
                  <w:tcW w:w="20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A5CFED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14</w:t>
                  </w:r>
                </w:p>
              </w:tc>
              <w:tc>
                <w:tcPr>
                  <w:tcW w:w="20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CAA2CE4" w14:textId="7011F28A" w:rsidR="0085581F" w:rsidRPr="0085581F" w:rsidRDefault="00271F4D" w:rsidP="0085581F">
                  <w:pPr>
                    <w:spacing w:before="0" w:after="0" w:line="240" w:lineRule="auto"/>
                    <w:jc w:val="center"/>
                    <w:rPr>
                      <w:rFonts w:asciiTheme="majorBidi" w:eastAsia="Ploni ML Medium AAA Medium" w:hAnsiTheme="majorBidi" w:cstheme="majorBidi"/>
                      <w:color w:val="000000"/>
                      <w:sz w:val="21"/>
                    </w:rPr>
                  </w:pPr>
                  <w:r>
                    <w:rPr>
                      <w:rFonts w:asciiTheme="majorBidi" w:hAnsiTheme="majorBidi" w:cstheme="majorBidi"/>
                      <w:color w:val="000000"/>
                      <w:sz w:val="21"/>
                    </w:rPr>
                    <w:t>362</w:t>
                  </w:r>
                </w:p>
              </w:tc>
              <w:tc>
                <w:tcPr>
                  <w:tcW w:w="20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789010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93.7%</w:t>
                  </w:r>
                </w:p>
              </w:tc>
              <w:tc>
                <w:tcPr>
                  <w:tcW w:w="20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DF9D12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93.8%</w:t>
                  </w:r>
                </w:p>
              </w:tc>
            </w:tr>
          </w:tbl>
          <w:p w14:paraId="15CE67F5" w14:textId="77777777" w:rsidR="0085581F" w:rsidRPr="0085581F" w:rsidRDefault="0085581F" w:rsidP="0085581F">
            <w:pPr>
              <w:rPr>
                <w:rFonts w:asciiTheme="majorBidi" w:hAnsiTheme="majorBidi" w:cstheme="majorBidi"/>
              </w:rPr>
            </w:pPr>
          </w:p>
        </w:tc>
      </w:tr>
      <w:bookmarkEnd w:id="43"/>
      <w:tr w:rsidR="0085581F" w:rsidRPr="0085581F" w14:paraId="32C3472B" w14:textId="77777777" w:rsidTr="00A65A6F">
        <w:trPr>
          <w:cantSplit/>
        </w:trPr>
        <w:tc>
          <w:tcPr>
            <w:tcW w:w="5000" w:type="pct"/>
          </w:tcPr>
          <w:tbl>
            <w:tblPr>
              <w:tblStyle w:val="CDMRange220"/>
              <w:tblW w:w="9945" w:type="dxa"/>
              <w:tblLook w:val="0600" w:firstRow="0" w:lastRow="0" w:firstColumn="0" w:lastColumn="0" w:noHBand="1" w:noVBand="1"/>
              <w:tblCaption w:val="Print_Area"/>
            </w:tblPr>
            <w:tblGrid>
              <w:gridCol w:w="1937"/>
              <w:gridCol w:w="1605"/>
              <w:gridCol w:w="1605"/>
              <w:gridCol w:w="1600"/>
              <w:gridCol w:w="1599"/>
              <w:gridCol w:w="1599"/>
            </w:tblGrid>
            <w:tr w:rsidR="0085581F" w:rsidRPr="0085581F" w14:paraId="72500E6B" w14:textId="77777777" w:rsidTr="00A65A6F">
              <w:trPr>
                <w:trHeight w:val="300"/>
              </w:trPr>
              <w:tc>
                <w:tcPr>
                  <w:tcW w:w="1920" w:type="dxa"/>
                  <w:vMerge w:val="restart"/>
                  <w:tcBorders>
                    <w:top w:val="nil"/>
                    <w:left w:val="nil"/>
                    <w:bottom w:val="nil"/>
                    <w:right w:val="nil"/>
                    <w:tl2br w:val="nil"/>
                    <w:tr2bl w:val="nil"/>
                  </w:tcBorders>
                  <w:shd w:val="clear" w:color="FFFFFF" w:fill="000031"/>
                  <w:noWrap/>
                  <w:tcMar>
                    <w:left w:w="0" w:type="dxa"/>
                    <w:right w:w="0" w:type="dxa"/>
                  </w:tcMar>
                  <w:vAlign w:val="bottom"/>
                </w:tcPr>
                <w:p w14:paraId="2CE875D9"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p>
              </w:tc>
              <w:tc>
                <w:tcPr>
                  <w:tcW w:w="3210" w:type="dxa"/>
                  <w:gridSpan w:val="2"/>
                  <w:tcBorders>
                    <w:top w:val="nil"/>
                    <w:left w:val="nil"/>
                    <w:bottom w:val="nil"/>
                    <w:right w:val="nil"/>
                    <w:tl2br w:val="nil"/>
                    <w:tr2bl w:val="nil"/>
                  </w:tcBorders>
                  <w:shd w:val="clear" w:color="FFFFFF" w:fill="000031"/>
                  <w:noWrap/>
                  <w:tcMar>
                    <w:left w:w="40" w:type="dxa"/>
                    <w:right w:w="40" w:type="dxa"/>
                  </w:tcMar>
                  <w:vAlign w:val="bottom"/>
                </w:tcPr>
                <w:p w14:paraId="6CFDC9B7"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 xml:space="preserve">Average basic monthly rent </w:t>
                  </w:r>
                </w:p>
              </w:tc>
              <w:tc>
                <w:tcPr>
                  <w:tcW w:w="1605" w:type="dxa"/>
                  <w:vMerge w:val="restart"/>
                  <w:tcBorders>
                    <w:top w:val="nil"/>
                    <w:left w:val="nil"/>
                    <w:bottom w:val="nil"/>
                    <w:right w:val="nil"/>
                    <w:tl2br w:val="nil"/>
                    <w:tr2bl w:val="nil"/>
                  </w:tcBorders>
                  <w:shd w:val="clear" w:color="FFFFFF" w:fill="000031"/>
                  <w:tcMar>
                    <w:left w:w="40" w:type="dxa"/>
                    <w:right w:w="40" w:type="dxa"/>
                  </w:tcMar>
                  <w:vAlign w:val="center"/>
                </w:tcPr>
                <w:p w14:paraId="5F30610C"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color w:val="FFFFFF"/>
                    </w:rPr>
                    <w:t>Change in net cash flow from these properties in reporting period</w:t>
                  </w:r>
                  <w:r w:rsidRPr="0085581F">
                    <w:rPr>
                      <w:rFonts w:asciiTheme="majorBidi" w:hAnsiTheme="majorBidi" w:cstheme="majorBidi"/>
                      <w:color w:val="FFFFFF"/>
                      <w:vertAlign w:val="superscript"/>
                    </w:rPr>
                    <w:t xml:space="preserve"> 2</w:t>
                  </w:r>
                </w:p>
              </w:tc>
              <w:tc>
                <w:tcPr>
                  <w:tcW w:w="3210" w:type="dxa"/>
                  <w:gridSpan w:val="2"/>
                  <w:tcBorders>
                    <w:top w:val="nil"/>
                    <w:left w:val="nil"/>
                    <w:bottom w:val="nil"/>
                    <w:right w:val="nil"/>
                    <w:tl2br w:val="nil"/>
                    <w:tr2bl w:val="nil"/>
                  </w:tcBorders>
                  <w:shd w:val="clear" w:color="FFFFFF" w:fill="000031"/>
                  <w:tcMar>
                    <w:left w:w="40" w:type="dxa"/>
                    <w:right w:w="40" w:type="dxa"/>
                  </w:tcMar>
                  <w:vAlign w:val="center"/>
                </w:tcPr>
                <w:p w14:paraId="5E07F50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Net property NOI (millions)</w:t>
                  </w:r>
                </w:p>
              </w:tc>
            </w:tr>
            <w:tr w:rsidR="0085581F" w:rsidRPr="0085581F" w14:paraId="54A50E9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20" w:type="dxa"/>
                  <w:vMerge/>
                  <w:tcBorders>
                    <w:top w:val="nil"/>
                    <w:left w:val="nil"/>
                    <w:bottom w:val="nil"/>
                    <w:right w:val="nil"/>
                    <w:tl2br w:val="nil"/>
                    <w:tr2bl w:val="nil"/>
                  </w:tcBorders>
                  <w:shd w:val="clear" w:color="FFFFFF" w:fill="000031"/>
                  <w:noWrap/>
                  <w:tcMar>
                    <w:left w:w="0" w:type="dxa"/>
                    <w:right w:w="0" w:type="dxa"/>
                  </w:tcMar>
                  <w:vAlign w:val="bottom"/>
                </w:tcPr>
                <w:p w14:paraId="044608E6"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p>
              </w:tc>
              <w:tc>
                <w:tcPr>
                  <w:tcW w:w="1605" w:type="dxa"/>
                  <w:tcBorders>
                    <w:top w:val="nil"/>
                    <w:left w:val="nil"/>
                    <w:bottom w:val="nil"/>
                    <w:right w:val="nil"/>
                    <w:tl2br w:val="nil"/>
                    <w:tr2bl w:val="nil"/>
                  </w:tcBorders>
                  <w:shd w:val="clear" w:color="FFFFFF" w:fill="000031"/>
                  <w:tcMar>
                    <w:left w:w="40" w:type="dxa"/>
                    <w:right w:w="40" w:type="dxa"/>
                  </w:tcMar>
                  <w:vAlign w:val="center"/>
                </w:tcPr>
                <w:p w14:paraId="0DD013EF"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June 30, 2024</w:t>
                  </w:r>
                </w:p>
              </w:tc>
              <w:tc>
                <w:tcPr>
                  <w:tcW w:w="1605" w:type="dxa"/>
                  <w:tcBorders>
                    <w:top w:val="nil"/>
                    <w:left w:val="nil"/>
                    <w:bottom w:val="nil"/>
                    <w:right w:val="nil"/>
                    <w:tl2br w:val="nil"/>
                    <w:tr2bl w:val="nil"/>
                  </w:tcBorders>
                  <w:shd w:val="clear" w:color="FFFFFF" w:fill="000031"/>
                  <w:tcMar>
                    <w:left w:w="40" w:type="dxa"/>
                    <w:right w:w="40" w:type="dxa"/>
                  </w:tcMar>
                  <w:vAlign w:val="center"/>
                </w:tcPr>
                <w:p w14:paraId="02996A0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June 30, 2023</w:t>
                  </w:r>
                </w:p>
              </w:tc>
              <w:tc>
                <w:tcPr>
                  <w:tcW w:w="1605" w:type="dxa"/>
                  <w:vMerge/>
                  <w:tcBorders>
                    <w:top w:val="nil"/>
                    <w:left w:val="nil"/>
                    <w:bottom w:val="nil"/>
                    <w:right w:val="nil"/>
                    <w:tl2br w:val="nil"/>
                    <w:tr2bl w:val="nil"/>
                  </w:tcBorders>
                  <w:shd w:val="clear" w:color="FFFFFF" w:fill="000031"/>
                  <w:tcMar>
                    <w:left w:w="0" w:type="dxa"/>
                    <w:right w:w="0" w:type="dxa"/>
                  </w:tcMar>
                  <w:vAlign w:val="center"/>
                </w:tcPr>
                <w:p w14:paraId="52855CD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p>
              </w:tc>
              <w:tc>
                <w:tcPr>
                  <w:tcW w:w="1605" w:type="dxa"/>
                  <w:tcBorders>
                    <w:top w:val="nil"/>
                    <w:left w:val="nil"/>
                    <w:bottom w:val="nil"/>
                    <w:right w:val="nil"/>
                    <w:tl2br w:val="nil"/>
                    <w:tr2bl w:val="nil"/>
                  </w:tcBorders>
                  <w:shd w:val="clear" w:color="FFFFFF" w:fill="000031"/>
                  <w:tcMar>
                    <w:left w:w="40" w:type="dxa"/>
                    <w:right w:w="40" w:type="dxa"/>
                  </w:tcMar>
                  <w:vAlign w:val="center"/>
                </w:tcPr>
                <w:p w14:paraId="61479D31"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Q2.2024</w:t>
                  </w:r>
                </w:p>
              </w:tc>
              <w:tc>
                <w:tcPr>
                  <w:tcW w:w="1605" w:type="dxa"/>
                  <w:tcBorders>
                    <w:top w:val="nil"/>
                    <w:left w:val="nil"/>
                    <w:bottom w:val="nil"/>
                    <w:right w:val="nil"/>
                    <w:tl2br w:val="nil"/>
                    <w:tr2bl w:val="nil"/>
                  </w:tcBorders>
                  <w:shd w:val="clear" w:color="FFFFFF" w:fill="000031"/>
                  <w:tcMar>
                    <w:left w:w="40" w:type="dxa"/>
                    <w:right w:w="40" w:type="dxa"/>
                  </w:tcMar>
                  <w:vAlign w:val="center"/>
                </w:tcPr>
                <w:p w14:paraId="13663FA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Q2.2023</w:t>
                  </w:r>
                </w:p>
              </w:tc>
            </w:tr>
            <w:tr w:rsidR="0085581F" w:rsidRPr="0085581F" w14:paraId="08BCCA8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B2D6250"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 Israel</w:t>
                  </w:r>
                </w:p>
              </w:tc>
              <w:tc>
                <w:tcPr>
                  <w:tcW w:w="1605" w:type="dxa"/>
                  <w:tcBorders>
                    <w:top w:val="nil"/>
                    <w:left w:val="nil"/>
                    <w:bottom w:val="single" w:sz="4" w:space="0" w:color="000000"/>
                    <w:right w:val="nil"/>
                    <w:tl2br w:val="nil"/>
                    <w:tr2bl w:val="nil"/>
                  </w:tcBorders>
                  <w:shd w:val="clear" w:color="auto" w:fill="auto"/>
                  <w:tcMar>
                    <w:left w:w="40" w:type="dxa"/>
                    <w:right w:w="40" w:type="dxa"/>
                  </w:tcMar>
                  <w:vAlign w:val="center"/>
                </w:tcPr>
                <w:p w14:paraId="77217E6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NIS 128.2</w:t>
                  </w:r>
                </w:p>
              </w:tc>
              <w:tc>
                <w:tcPr>
                  <w:tcW w:w="1605" w:type="dxa"/>
                  <w:tcBorders>
                    <w:top w:val="nil"/>
                    <w:left w:val="nil"/>
                    <w:bottom w:val="single" w:sz="4" w:space="0" w:color="000000"/>
                    <w:right w:val="nil"/>
                    <w:tl2br w:val="nil"/>
                    <w:tr2bl w:val="nil"/>
                  </w:tcBorders>
                  <w:shd w:val="clear" w:color="auto" w:fill="auto"/>
                  <w:tcMar>
                    <w:left w:w="40" w:type="dxa"/>
                    <w:right w:w="40" w:type="dxa"/>
                  </w:tcMar>
                  <w:vAlign w:val="center"/>
                </w:tcPr>
                <w:p w14:paraId="5AFA884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NIS 122.3</w:t>
                  </w:r>
                </w:p>
              </w:tc>
              <w:tc>
                <w:tcPr>
                  <w:tcW w:w="1605" w:type="dxa"/>
                  <w:tcBorders>
                    <w:top w:val="nil"/>
                    <w:left w:val="nil"/>
                    <w:bottom w:val="single" w:sz="4" w:space="0" w:color="000000"/>
                    <w:right w:val="nil"/>
                    <w:tl2br w:val="nil"/>
                    <w:tr2bl w:val="nil"/>
                  </w:tcBorders>
                  <w:shd w:val="clear" w:color="auto" w:fill="auto"/>
                  <w:tcMar>
                    <w:left w:w="40" w:type="dxa"/>
                    <w:right w:w="40" w:type="dxa"/>
                  </w:tcMar>
                  <w:vAlign w:val="center"/>
                </w:tcPr>
                <w:p w14:paraId="584C31B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4.0%</w:t>
                  </w:r>
                  <w:r w:rsidRPr="0085581F">
                    <w:rPr>
                      <w:rFonts w:asciiTheme="majorBidi" w:hAnsiTheme="majorBidi" w:cstheme="majorBidi"/>
                      <w:color w:val="000000"/>
                      <w:sz w:val="21"/>
                      <w:vertAlign w:val="superscript"/>
                    </w:rPr>
                    <w:t xml:space="preserve"> 3</w:t>
                  </w:r>
                </w:p>
              </w:tc>
              <w:tc>
                <w:tcPr>
                  <w:tcW w:w="1605" w:type="dxa"/>
                  <w:tcBorders>
                    <w:top w:val="nil"/>
                    <w:left w:val="nil"/>
                    <w:bottom w:val="single" w:sz="4" w:space="0" w:color="000000"/>
                    <w:right w:val="nil"/>
                    <w:tl2br w:val="nil"/>
                    <w:tr2bl w:val="nil"/>
                  </w:tcBorders>
                  <w:shd w:val="clear" w:color="auto" w:fill="auto"/>
                  <w:tcMar>
                    <w:left w:w="40" w:type="dxa"/>
                    <w:right w:w="40" w:type="dxa"/>
                  </w:tcMar>
                  <w:vAlign w:val="center"/>
                </w:tcPr>
                <w:p w14:paraId="7E1C0C5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NIS 60.6</w:t>
                  </w:r>
                </w:p>
              </w:tc>
              <w:tc>
                <w:tcPr>
                  <w:tcW w:w="1605" w:type="dxa"/>
                  <w:tcBorders>
                    <w:top w:val="nil"/>
                    <w:left w:val="nil"/>
                    <w:bottom w:val="single" w:sz="4" w:space="0" w:color="000000"/>
                    <w:right w:val="nil"/>
                    <w:tl2br w:val="nil"/>
                    <w:tr2bl w:val="nil"/>
                  </w:tcBorders>
                  <w:shd w:val="clear" w:color="auto" w:fill="auto"/>
                  <w:tcMar>
                    <w:left w:w="40" w:type="dxa"/>
                    <w:right w:w="40" w:type="dxa"/>
                  </w:tcMar>
                  <w:vAlign w:val="center"/>
                </w:tcPr>
                <w:p w14:paraId="1512AE7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NIS 49.7</w:t>
                  </w:r>
                </w:p>
              </w:tc>
            </w:tr>
            <w:tr w:rsidR="0085581F" w:rsidRPr="0085581F" w14:paraId="4588D86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DB16937"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Gazit Brazil</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A1E3F38"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R$ 64.7</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56C11D2"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R$ 72</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DF4944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6.4%</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AE8823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R$ 51.1</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4D75FF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R$ 63.2</w:t>
                  </w:r>
                </w:p>
              </w:tc>
            </w:tr>
            <w:tr w:rsidR="0085581F" w:rsidRPr="0085581F" w14:paraId="5BBFCE1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DE39DB3"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Gazit Horizons</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025962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$ 59.4 </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CFEEE0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$ 57</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AFE466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(0.8%)</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7E0B32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$ 5.0</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2463DD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$ 5.2</w:t>
                  </w:r>
                </w:p>
              </w:tc>
            </w:tr>
            <w:tr w:rsidR="0085581F" w:rsidRPr="0085581F" w14:paraId="4DB5928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852A997"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CTY</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640F72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€ 25</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55638D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€ 24</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7D0116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5.9%</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438B98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€ 54.7</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F32DF8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€ 48.9</w:t>
                  </w:r>
                </w:p>
              </w:tc>
            </w:tr>
            <w:tr w:rsidR="0085581F" w:rsidRPr="0085581F" w14:paraId="1386EFB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9C270F9"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 Europe</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374E1F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€ 23.1</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60C9A1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€ 16.9</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C803F6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14.6%</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F0CD3D8"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€ 25.1</w:t>
                  </w:r>
                </w:p>
              </w:tc>
              <w:tc>
                <w:tcPr>
                  <w:tcW w:w="16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A27CA4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€ 26.2</w:t>
                  </w:r>
                </w:p>
              </w:tc>
            </w:tr>
          </w:tbl>
          <w:p w14:paraId="3AA6F9A0" w14:textId="77777777" w:rsidR="0085581F" w:rsidRPr="0085581F" w:rsidRDefault="0085581F" w:rsidP="0085581F">
            <w:pPr>
              <w:rPr>
                <w:rFonts w:asciiTheme="majorBidi" w:hAnsiTheme="majorBidi" w:cstheme="majorBidi"/>
              </w:rPr>
            </w:pPr>
          </w:p>
        </w:tc>
      </w:tr>
    </w:tbl>
    <w:bookmarkEnd w:id="44"/>
    <w:p w14:paraId="088E0083" w14:textId="77777777" w:rsidR="0085581F" w:rsidRPr="0085581F" w:rsidRDefault="0085581F" w:rsidP="004D7A72">
      <w:pPr>
        <w:keepNext/>
        <w:keepLines/>
        <w:widowControl w:val="0"/>
        <w:numPr>
          <w:ilvl w:val="0"/>
          <w:numId w:val="34"/>
        </w:numPr>
        <w:tabs>
          <w:tab w:val="left" w:pos="284"/>
        </w:tabs>
        <w:ind w:left="284" w:hanging="284"/>
        <w:contextualSpacing/>
        <w:rPr>
          <w:rFonts w:asciiTheme="majorBidi" w:hAnsiTheme="majorBidi" w:cstheme="majorBidi"/>
          <w:sz w:val="18"/>
          <w:szCs w:val="18"/>
          <w:lang w:eastAsia="en-GB"/>
        </w:rPr>
      </w:pPr>
      <w:r w:rsidRPr="0085581F">
        <w:rPr>
          <w:rFonts w:asciiTheme="majorBidi" w:hAnsiTheme="majorBidi" w:cstheme="majorBidi"/>
          <w:sz w:val="18"/>
          <w:szCs w:val="18"/>
          <w:lang w:eastAsia="en-GB"/>
        </w:rPr>
        <w:t>Includes jointly controlled properties.</w:t>
      </w:r>
    </w:p>
    <w:p w14:paraId="4AB6446E" w14:textId="77777777" w:rsidR="0085581F" w:rsidRPr="0085581F" w:rsidRDefault="0085581F" w:rsidP="004D7A72">
      <w:pPr>
        <w:keepLines/>
        <w:widowControl w:val="0"/>
        <w:numPr>
          <w:ilvl w:val="0"/>
          <w:numId w:val="34"/>
        </w:numPr>
        <w:tabs>
          <w:tab w:val="left" w:pos="284"/>
        </w:tabs>
        <w:ind w:left="284" w:hanging="284"/>
        <w:contextualSpacing/>
        <w:rPr>
          <w:rFonts w:asciiTheme="majorBidi" w:hAnsiTheme="majorBidi" w:cstheme="majorBidi"/>
          <w:sz w:val="18"/>
          <w:szCs w:val="18"/>
          <w:lang w:eastAsia="en-GB"/>
        </w:rPr>
      </w:pPr>
      <w:r w:rsidRPr="0085581F">
        <w:rPr>
          <w:rFonts w:asciiTheme="majorBidi" w:hAnsiTheme="majorBidi" w:cstheme="majorBidi"/>
          <w:sz w:val="18"/>
          <w:szCs w:val="18"/>
          <w:lang w:eastAsia="en-GB"/>
        </w:rPr>
        <w:t>Change in net cash flow from similar properties in the reporting period compared to the corresponding period last year.</w:t>
      </w:r>
    </w:p>
    <w:p w14:paraId="4D6C1B8F" w14:textId="77777777" w:rsidR="0085581F" w:rsidRPr="0085581F" w:rsidRDefault="0085581F" w:rsidP="004D7A72">
      <w:pPr>
        <w:keepLines/>
        <w:widowControl w:val="0"/>
        <w:numPr>
          <w:ilvl w:val="0"/>
          <w:numId w:val="34"/>
        </w:numPr>
        <w:tabs>
          <w:tab w:val="left" w:pos="284"/>
        </w:tabs>
        <w:ind w:left="284" w:hanging="284"/>
        <w:contextualSpacing/>
        <w:rPr>
          <w:rFonts w:asciiTheme="majorBidi" w:hAnsiTheme="majorBidi" w:cstheme="majorBidi"/>
          <w:sz w:val="18"/>
          <w:szCs w:val="18"/>
          <w:lang w:eastAsia="en-GB"/>
        </w:rPr>
      </w:pPr>
      <w:r w:rsidRPr="0085581F">
        <w:rPr>
          <w:rFonts w:asciiTheme="majorBidi" w:hAnsiTheme="majorBidi" w:cstheme="majorBidi"/>
          <w:sz w:val="18"/>
          <w:szCs w:val="18"/>
          <w:lang w:eastAsia="en-GB"/>
        </w:rPr>
        <w:t>Excluding one-time property tax expenses during the reporting period, the change in net cash flow from similar properties of G Israel for the reporting period is 7.0%.</w:t>
      </w:r>
    </w:p>
    <w:p w14:paraId="476A107E" w14:textId="77777777" w:rsidR="0085581F" w:rsidRPr="0085581F" w:rsidRDefault="0085581F" w:rsidP="0085581F">
      <w:pPr>
        <w:keepNext/>
        <w:keepLines/>
        <w:tabs>
          <w:tab w:val="left" w:pos="1133"/>
        </w:tabs>
        <w:outlineLvl w:val="3"/>
        <w:rPr>
          <w:rFonts w:asciiTheme="majorBidi" w:hAnsiTheme="majorBidi" w:cstheme="majorBidi"/>
          <w:sz w:val="21"/>
          <w:szCs w:val="21"/>
          <w:highlight w:val="yellow"/>
          <w:u w:val="single"/>
        </w:rPr>
      </w:pPr>
      <w:r w:rsidRPr="0085581F">
        <w:rPr>
          <w:rFonts w:asciiTheme="majorBidi" w:hAnsiTheme="majorBidi" w:cstheme="majorBidi"/>
          <w:sz w:val="21"/>
          <w:u w:val="single"/>
        </w:rPr>
        <w:lastRenderedPageBreak/>
        <w:t>Projects in planning, construction and development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85581F" w:rsidRPr="0085581F" w14:paraId="0F9EF304" w14:textId="77777777" w:rsidTr="00A65A6F">
        <w:trPr>
          <w:cantSplit/>
        </w:trPr>
        <w:tc>
          <w:tcPr>
            <w:tcW w:w="5000" w:type="pct"/>
          </w:tcPr>
          <w:tbl>
            <w:tblPr>
              <w:tblStyle w:val="CDMRange120"/>
              <w:tblW w:w="9733" w:type="dxa"/>
              <w:tblLook w:val="0600" w:firstRow="0" w:lastRow="0" w:firstColumn="0" w:lastColumn="0" w:noHBand="1" w:noVBand="1"/>
              <w:tblCaption w:val="Print_Area"/>
            </w:tblPr>
            <w:tblGrid>
              <w:gridCol w:w="1304"/>
              <w:gridCol w:w="2033"/>
              <w:gridCol w:w="854"/>
              <w:gridCol w:w="777"/>
              <w:gridCol w:w="903"/>
              <w:gridCol w:w="827"/>
              <w:gridCol w:w="465"/>
              <w:gridCol w:w="880"/>
              <w:gridCol w:w="845"/>
              <w:gridCol w:w="845"/>
            </w:tblGrid>
            <w:tr w:rsidR="00FF2608" w:rsidRPr="0085581F" w14:paraId="5DEBAD05" w14:textId="77777777" w:rsidTr="00883CE8">
              <w:trPr>
                <w:trHeight w:val="458"/>
              </w:trPr>
              <w:tc>
                <w:tcPr>
                  <w:tcW w:w="1288" w:type="dxa"/>
                  <w:vMerge w:val="restart"/>
                  <w:tcBorders>
                    <w:top w:val="nil"/>
                    <w:left w:val="nil"/>
                    <w:bottom w:val="nil"/>
                    <w:right w:val="nil"/>
                    <w:tl2br w:val="nil"/>
                    <w:tr2bl w:val="nil"/>
                  </w:tcBorders>
                  <w:shd w:val="clear" w:color="FFFFFF" w:fill="000031"/>
                  <w:tcMar>
                    <w:left w:w="40" w:type="dxa"/>
                    <w:right w:w="40" w:type="dxa"/>
                  </w:tcMar>
                  <w:vAlign w:val="center"/>
                </w:tcPr>
                <w:p w14:paraId="4B079FEB"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bookmarkStart w:id="45" w:name="_Hlk166831639"/>
                  <w:r w:rsidRPr="0085581F">
                    <w:rPr>
                      <w:rFonts w:asciiTheme="majorBidi" w:hAnsiTheme="majorBidi" w:cstheme="majorBidi"/>
                      <w:b/>
                      <w:color w:val="FFFFFF"/>
                      <w:sz w:val="16"/>
                      <w:szCs w:val="16"/>
                    </w:rPr>
                    <w:t>Projects under construction</w:t>
                  </w:r>
                </w:p>
              </w:tc>
              <w:tc>
                <w:tcPr>
                  <w:tcW w:w="2017" w:type="dxa"/>
                  <w:vMerge w:val="restart"/>
                  <w:tcBorders>
                    <w:top w:val="nil"/>
                    <w:left w:val="nil"/>
                    <w:bottom w:val="nil"/>
                    <w:right w:val="nil"/>
                    <w:tl2br w:val="nil"/>
                    <w:tr2bl w:val="nil"/>
                  </w:tcBorders>
                  <w:shd w:val="clear" w:color="FFFFFF" w:fill="000031"/>
                  <w:tcMar>
                    <w:left w:w="40" w:type="dxa"/>
                    <w:right w:w="40" w:type="dxa"/>
                  </w:tcMar>
                  <w:vAlign w:val="center"/>
                </w:tcPr>
                <w:p w14:paraId="7E8ED4A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Plans</w:t>
                  </w:r>
                </w:p>
              </w:tc>
              <w:tc>
                <w:tcPr>
                  <w:tcW w:w="854" w:type="dxa"/>
                  <w:vMerge w:val="restart"/>
                  <w:tcBorders>
                    <w:top w:val="nil"/>
                    <w:left w:val="nil"/>
                    <w:bottom w:val="nil"/>
                    <w:right w:val="nil"/>
                    <w:tl2br w:val="nil"/>
                    <w:tr2bl w:val="nil"/>
                  </w:tcBorders>
                  <w:shd w:val="clear" w:color="FFFFFF" w:fill="000031"/>
                  <w:tcMar>
                    <w:left w:w="40" w:type="dxa"/>
                    <w:right w:w="40" w:type="dxa"/>
                  </w:tcMar>
                  <w:vAlign w:val="center"/>
                </w:tcPr>
                <w:p w14:paraId="48812C83"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Expected Additional Space (</w:t>
                  </w:r>
                  <w:proofErr w:type="spellStart"/>
                  <w:r w:rsidRPr="0085581F">
                    <w:rPr>
                      <w:rFonts w:asciiTheme="majorBidi" w:hAnsiTheme="majorBidi" w:cstheme="majorBidi"/>
                      <w:b/>
                      <w:color w:val="FFFFFF"/>
                      <w:sz w:val="16"/>
                      <w:szCs w:val="16"/>
                    </w:rPr>
                    <w:t>sq.m</w:t>
                  </w:r>
                  <w:proofErr w:type="spellEnd"/>
                  <w:r w:rsidRPr="0085581F">
                    <w:rPr>
                      <w:rFonts w:asciiTheme="majorBidi" w:hAnsiTheme="majorBidi" w:cstheme="majorBidi"/>
                      <w:b/>
                      <w:color w:val="FFFFFF"/>
                      <w:sz w:val="16"/>
                      <w:szCs w:val="16"/>
                    </w:rPr>
                    <w:t>)</w:t>
                  </w:r>
                </w:p>
              </w:tc>
              <w:tc>
                <w:tcPr>
                  <w:tcW w:w="761" w:type="dxa"/>
                  <w:vMerge w:val="restart"/>
                  <w:tcBorders>
                    <w:top w:val="nil"/>
                    <w:left w:val="nil"/>
                    <w:bottom w:val="nil"/>
                    <w:right w:val="nil"/>
                    <w:tl2br w:val="nil"/>
                    <w:tr2bl w:val="nil"/>
                  </w:tcBorders>
                  <w:shd w:val="clear" w:color="FFFFFF" w:fill="000031"/>
                  <w:tcMar>
                    <w:left w:w="40" w:type="dxa"/>
                    <w:right w:w="40" w:type="dxa"/>
                  </w:tcMar>
                  <w:vAlign w:val="center"/>
                </w:tcPr>
                <w:p w14:paraId="1E95849E"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G City’s share</w:t>
                  </w:r>
                </w:p>
              </w:tc>
              <w:tc>
                <w:tcPr>
                  <w:tcW w:w="887" w:type="dxa"/>
                  <w:vMerge w:val="restart"/>
                  <w:tcBorders>
                    <w:top w:val="nil"/>
                    <w:left w:val="nil"/>
                    <w:bottom w:val="nil"/>
                    <w:right w:val="nil"/>
                    <w:tl2br w:val="nil"/>
                    <w:tr2bl w:val="nil"/>
                  </w:tcBorders>
                  <w:shd w:val="clear" w:color="FFFFFF" w:fill="000031"/>
                  <w:tcMar>
                    <w:left w:w="40" w:type="dxa"/>
                    <w:right w:w="40" w:type="dxa"/>
                  </w:tcMar>
                  <w:vAlign w:val="center"/>
                </w:tcPr>
                <w:p w14:paraId="690D71DF"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Estimated Date of Completion</w:t>
                  </w:r>
                </w:p>
              </w:tc>
              <w:tc>
                <w:tcPr>
                  <w:tcW w:w="829" w:type="dxa"/>
                  <w:tcBorders>
                    <w:top w:val="nil"/>
                    <w:left w:val="nil"/>
                    <w:bottom w:val="nil"/>
                    <w:right w:val="nil"/>
                    <w:tl2br w:val="nil"/>
                    <w:tr2bl w:val="nil"/>
                  </w:tcBorders>
                  <w:shd w:val="clear" w:color="FFFFFF" w:fill="000031"/>
                  <w:tcMar>
                    <w:left w:w="40" w:type="dxa"/>
                    <w:right w:w="40" w:type="dxa"/>
                  </w:tcMar>
                  <w:vAlign w:val="center"/>
                </w:tcPr>
                <w:p w14:paraId="43D654FF"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Actual investment as at June 30, 2024</w:t>
                  </w:r>
                </w:p>
              </w:tc>
              <w:tc>
                <w:tcPr>
                  <w:tcW w:w="964" w:type="dxa"/>
                  <w:tcBorders>
                    <w:top w:val="nil"/>
                    <w:left w:val="nil"/>
                    <w:bottom w:val="nil"/>
                    <w:right w:val="nil"/>
                    <w:tl2br w:val="nil"/>
                    <w:tr2bl w:val="nil"/>
                  </w:tcBorders>
                  <w:shd w:val="clear" w:color="FFFFFF" w:fill="000031"/>
                  <w:tcMar>
                    <w:left w:w="40" w:type="dxa"/>
                    <w:right w:w="40" w:type="dxa"/>
                  </w:tcMar>
                  <w:vAlign w:val="center"/>
                </w:tcPr>
                <w:p w14:paraId="1087A470"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Fair value at June 30, 2024</w:t>
                  </w:r>
                </w:p>
              </w:tc>
              <w:tc>
                <w:tcPr>
                  <w:tcW w:w="775" w:type="dxa"/>
                  <w:tcBorders>
                    <w:top w:val="nil"/>
                    <w:left w:val="nil"/>
                    <w:bottom w:val="nil"/>
                    <w:right w:val="nil"/>
                    <w:tl2br w:val="nil"/>
                    <w:tr2bl w:val="nil"/>
                  </w:tcBorders>
                  <w:shd w:val="clear" w:color="FFFFFF" w:fill="000031"/>
                  <w:tcMar>
                    <w:left w:w="40" w:type="dxa"/>
                    <w:right w:w="40" w:type="dxa"/>
                  </w:tcMar>
                  <w:vAlign w:val="center"/>
                </w:tcPr>
                <w:p w14:paraId="2A587448" w14:textId="77777777" w:rsidR="00FF2608" w:rsidRDefault="0085581F" w:rsidP="0085581F">
                  <w:pPr>
                    <w:spacing w:before="0" w:after="0" w:line="240" w:lineRule="auto"/>
                    <w:jc w:val="center"/>
                    <w:rPr>
                      <w:rFonts w:asciiTheme="majorBidi" w:hAnsiTheme="majorBidi" w:cstheme="majorBidi"/>
                      <w:b/>
                      <w:color w:val="FFFFFF"/>
                      <w:sz w:val="16"/>
                      <w:szCs w:val="16"/>
                    </w:rPr>
                  </w:pPr>
                  <w:r w:rsidRPr="0085581F">
                    <w:rPr>
                      <w:rFonts w:asciiTheme="majorBidi" w:hAnsiTheme="majorBidi" w:cstheme="majorBidi"/>
                      <w:b/>
                      <w:color w:val="FFFFFF"/>
                      <w:sz w:val="16"/>
                      <w:szCs w:val="16"/>
                    </w:rPr>
                    <w:t xml:space="preserve">Estimated </w:t>
                  </w:r>
                </w:p>
                <w:p w14:paraId="3EBC2272" w14:textId="0E3BE1F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Cost to Completion</w:t>
                  </w:r>
                </w:p>
              </w:tc>
              <w:tc>
                <w:tcPr>
                  <w:tcW w:w="845" w:type="dxa"/>
                  <w:tcBorders>
                    <w:top w:val="nil"/>
                    <w:left w:val="nil"/>
                    <w:bottom w:val="nil"/>
                    <w:right w:val="nil"/>
                    <w:tl2br w:val="nil"/>
                    <w:tr2bl w:val="nil"/>
                  </w:tcBorders>
                  <w:shd w:val="clear" w:color="FFFFFF" w:fill="000031"/>
                  <w:tcMar>
                    <w:left w:w="40" w:type="dxa"/>
                    <w:right w:w="40" w:type="dxa"/>
                  </w:tcMar>
                  <w:vAlign w:val="center"/>
                </w:tcPr>
                <w:p w14:paraId="52824D60"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Annual NOI</w:t>
                  </w:r>
                </w:p>
                <w:p w14:paraId="6BDF2D2B"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 xml:space="preserve"> Expected Rate of Return on Cost of Investment</w:t>
                  </w:r>
                </w:p>
              </w:tc>
              <w:tc>
                <w:tcPr>
                  <w:tcW w:w="845" w:type="dxa"/>
                  <w:vMerge w:val="restart"/>
                  <w:tcBorders>
                    <w:top w:val="nil"/>
                    <w:left w:val="nil"/>
                    <w:bottom w:val="nil"/>
                    <w:right w:val="nil"/>
                    <w:tl2br w:val="nil"/>
                    <w:tr2bl w:val="nil"/>
                  </w:tcBorders>
                  <w:shd w:val="clear" w:color="FFFFFF" w:fill="000031"/>
                  <w:tcMar>
                    <w:left w:w="40" w:type="dxa"/>
                    <w:right w:w="40" w:type="dxa"/>
                  </w:tcMar>
                  <w:vAlign w:val="center"/>
                </w:tcPr>
                <w:p w14:paraId="6BD4CDE5" w14:textId="55C7D911" w:rsidR="0085581F" w:rsidRPr="0085581F" w:rsidRDefault="00FF2608" w:rsidP="0085581F">
                  <w:pPr>
                    <w:spacing w:before="0" w:after="0" w:line="240" w:lineRule="auto"/>
                    <w:jc w:val="center"/>
                    <w:rPr>
                      <w:rFonts w:asciiTheme="majorBidi" w:eastAsia="Ploni ML Medium AAA Medium" w:hAnsiTheme="majorBidi" w:cstheme="majorBidi"/>
                      <w:b/>
                      <w:color w:val="FFFFFF"/>
                      <w:sz w:val="16"/>
                      <w:szCs w:val="16"/>
                      <w:rtl/>
                    </w:rPr>
                  </w:pPr>
                  <w:r>
                    <w:rPr>
                      <w:rFonts w:asciiTheme="majorBidi" w:eastAsia="Ploni ML Medium AAA Medium" w:hAnsiTheme="majorBidi" w:cstheme="majorBidi"/>
                      <w:b/>
                      <w:color w:val="FFFFFF"/>
                      <w:sz w:val="16"/>
                      <w:szCs w:val="16"/>
                    </w:rPr>
                    <w:t>Expected Return on Investment</w:t>
                  </w:r>
                </w:p>
              </w:tc>
            </w:tr>
            <w:tr w:rsidR="0085581F" w:rsidRPr="0085581F" w14:paraId="092EF94B" w14:textId="77777777" w:rsidTr="00883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1288" w:type="dxa"/>
                  <w:vMerge/>
                  <w:tcBorders>
                    <w:top w:val="nil"/>
                    <w:left w:val="nil"/>
                    <w:bottom w:val="nil"/>
                    <w:right w:val="nil"/>
                    <w:tl2br w:val="nil"/>
                    <w:tr2bl w:val="nil"/>
                  </w:tcBorders>
                  <w:shd w:val="clear" w:color="FFFFFF" w:fill="000031"/>
                  <w:tcMar>
                    <w:left w:w="0" w:type="dxa"/>
                    <w:right w:w="0" w:type="dxa"/>
                  </w:tcMar>
                  <w:vAlign w:val="center"/>
                </w:tcPr>
                <w:p w14:paraId="35598923"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p>
              </w:tc>
              <w:tc>
                <w:tcPr>
                  <w:tcW w:w="2017" w:type="dxa"/>
                  <w:vMerge/>
                  <w:tcBorders>
                    <w:top w:val="nil"/>
                    <w:left w:val="nil"/>
                    <w:bottom w:val="nil"/>
                    <w:right w:val="nil"/>
                    <w:tl2br w:val="nil"/>
                    <w:tr2bl w:val="nil"/>
                  </w:tcBorders>
                  <w:shd w:val="clear" w:color="FFFFFF" w:fill="000031"/>
                  <w:tcMar>
                    <w:left w:w="0" w:type="dxa"/>
                    <w:right w:w="0" w:type="dxa"/>
                  </w:tcMar>
                  <w:vAlign w:val="center"/>
                </w:tcPr>
                <w:p w14:paraId="46EEC1E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p>
              </w:tc>
              <w:tc>
                <w:tcPr>
                  <w:tcW w:w="854" w:type="dxa"/>
                  <w:vMerge/>
                  <w:tcBorders>
                    <w:top w:val="nil"/>
                    <w:left w:val="nil"/>
                    <w:bottom w:val="nil"/>
                    <w:right w:val="nil"/>
                    <w:tl2br w:val="nil"/>
                    <w:tr2bl w:val="nil"/>
                  </w:tcBorders>
                  <w:shd w:val="clear" w:color="FFFFFF" w:fill="000031"/>
                  <w:tcMar>
                    <w:left w:w="0" w:type="dxa"/>
                    <w:right w:w="0" w:type="dxa"/>
                  </w:tcMar>
                  <w:vAlign w:val="bottom"/>
                </w:tcPr>
                <w:p w14:paraId="5091B1F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p>
              </w:tc>
              <w:tc>
                <w:tcPr>
                  <w:tcW w:w="761" w:type="dxa"/>
                  <w:vMerge/>
                  <w:tcBorders>
                    <w:top w:val="nil"/>
                    <w:left w:val="nil"/>
                    <w:bottom w:val="nil"/>
                    <w:right w:val="nil"/>
                    <w:tl2br w:val="nil"/>
                    <w:tr2bl w:val="nil"/>
                  </w:tcBorders>
                  <w:shd w:val="clear" w:color="FFFFFF" w:fill="000031"/>
                  <w:tcMar>
                    <w:left w:w="0" w:type="dxa"/>
                    <w:right w:w="0" w:type="dxa"/>
                  </w:tcMar>
                  <w:vAlign w:val="bottom"/>
                </w:tcPr>
                <w:p w14:paraId="0065B5B7"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p>
              </w:tc>
              <w:tc>
                <w:tcPr>
                  <w:tcW w:w="887" w:type="dxa"/>
                  <w:vMerge/>
                  <w:tcBorders>
                    <w:top w:val="nil"/>
                    <w:left w:val="nil"/>
                    <w:bottom w:val="nil"/>
                    <w:right w:val="nil"/>
                    <w:tl2br w:val="nil"/>
                    <w:tr2bl w:val="nil"/>
                  </w:tcBorders>
                  <w:shd w:val="clear" w:color="FFFFFF" w:fill="000031"/>
                  <w:tcMar>
                    <w:left w:w="0" w:type="dxa"/>
                    <w:right w:w="0" w:type="dxa"/>
                  </w:tcMar>
                  <w:vAlign w:val="bottom"/>
                </w:tcPr>
                <w:p w14:paraId="58F8E48D"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p>
              </w:tc>
              <w:tc>
                <w:tcPr>
                  <w:tcW w:w="794" w:type="dxa"/>
                  <w:gridSpan w:val="4"/>
                  <w:tcBorders>
                    <w:top w:val="nil"/>
                    <w:left w:val="nil"/>
                    <w:bottom w:val="nil"/>
                    <w:right w:val="nil"/>
                    <w:tl2br w:val="nil"/>
                    <w:tr2bl w:val="nil"/>
                  </w:tcBorders>
                  <w:shd w:val="clear" w:color="FFFFFF" w:fill="000031"/>
                  <w:tcMar>
                    <w:left w:w="40" w:type="dxa"/>
                    <w:right w:w="40" w:type="dxa"/>
                  </w:tcMar>
                  <w:vAlign w:val="center"/>
                </w:tcPr>
                <w:p w14:paraId="5F64E27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(100% in NIS million)</w:t>
                  </w:r>
                </w:p>
              </w:tc>
              <w:tc>
                <w:tcPr>
                  <w:tcW w:w="851" w:type="dxa"/>
                  <w:vMerge/>
                  <w:tcBorders>
                    <w:top w:val="nil"/>
                    <w:left w:val="nil"/>
                    <w:bottom w:val="nil"/>
                    <w:right w:val="nil"/>
                    <w:tl2br w:val="nil"/>
                    <w:tr2bl w:val="nil"/>
                  </w:tcBorders>
                  <w:shd w:val="clear" w:color="FFFFFF" w:fill="000031"/>
                  <w:tcMar>
                    <w:left w:w="0" w:type="dxa"/>
                    <w:right w:w="0" w:type="dxa"/>
                  </w:tcMar>
                  <w:vAlign w:val="bottom"/>
                </w:tcPr>
                <w:p w14:paraId="3C50F760"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p>
              </w:tc>
            </w:tr>
            <w:tr w:rsidR="0085581F" w:rsidRPr="0085581F" w14:paraId="2596B177" w14:textId="77777777" w:rsidTr="00883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1288" w:type="dxa"/>
                  <w:tcBorders>
                    <w:top w:val="nil"/>
                    <w:left w:val="nil"/>
                    <w:bottom w:val="single" w:sz="12" w:space="0" w:color="000000"/>
                    <w:right w:val="nil"/>
                    <w:tl2br w:val="nil"/>
                    <w:tr2bl w:val="nil"/>
                  </w:tcBorders>
                  <w:shd w:val="clear" w:color="auto" w:fill="auto"/>
                  <w:tcMar>
                    <w:left w:w="40" w:type="dxa"/>
                    <w:right w:w="40" w:type="dxa"/>
                  </w:tcMar>
                  <w:vAlign w:val="center"/>
                </w:tcPr>
                <w:p w14:paraId="6A1E566F"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6"/>
                      <w:szCs w:val="16"/>
                    </w:rPr>
                  </w:pPr>
                  <w:r w:rsidRPr="0085581F">
                    <w:rPr>
                      <w:rFonts w:asciiTheme="majorBidi" w:hAnsiTheme="majorBidi" w:cstheme="majorBidi"/>
                      <w:b/>
                      <w:color w:val="000000"/>
                      <w:sz w:val="16"/>
                      <w:szCs w:val="16"/>
                    </w:rPr>
                    <w:t xml:space="preserve"> G City Rishon LeZion</w:t>
                  </w:r>
                </w:p>
              </w:tc>
              <w:tc>
                <w:tcPr>
                  <w:tcW w:w="2017" w:type="dxa"/>
                  <w:tcBorders>
                    <w:top w:val="nil"/>
                    <w:left w:val="nil"/>
                    <w:bottom w:val="single" w:sz="12" w:space="0" w:color="000000"/>
                    <w:right w:val="nil"/>
                    <w:tl2br w:val="nil"/>
                    <w:tr2bl w:val="nil"/>
                  </w:tcBorders>
                  <w:shd w:val="clear" w:color="auto" w:fill="auto"/>
                  <w:tcMar>
                    <w:left w:w="40" w:type="dxa"/>
                    <w:right w:w="40" w:type="dxa"/>
                  </w:tcMar>
                  <w:vAlign w:val="center"/>
                </w:tcPr>
                <w:p w14:paraId="28E6D64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Office tower under construction</w:t>
                  </w:r>
                </w:p>
              </w:tc>
              <w:tc>
                <w:tcPr>
                  <w:tcW w:w="854" w:type="dxa"/>
                  <w:tcBorders>
                    <w:top w:val="nil"/>
                    <w:left w:val="nil"/>
                    <w:bottom w:val="single" w:sz="12" w:space="0" w:color="000000"/>
                    <w:right w:val="nil"/>
                    <w:tl2br w:val="nil"/>
                    <w:tr2bl w:val="nil"/>
                  </w:tcBorders>
                  <w:shd w:val="clear" w:color="auto" w:fill="auto"/>
                  <w:noWrap/>
                  <w:tcMar>
                    <w:left w:w="40" w:type="dxa"/>
                    <w:right w:w="40" w:type="dxa"/>
                  </w:tcMar>
                  <w:vAlign w:val="center"/>
                </w:tcPr>
                <w:p w14:paraId="3AB69E6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65,100</w:t>
                  </w:r>
                </w:p>
              </w:tc>
              <w:tc>
                <w:tcPr>
                  <w:tcW w:w="761" w:type="dxa"/>
                  <w:tcBorders>
                    <w:top w:val="nil"/>
                    <w:left w:val="nil"/>
                    <w:bottom w:val="single" w:sz="12" w:space="0" w:color="000000"/>
                    <w:right w:val="nil"/>
                    <w:tl2br w:val="nil"/>
                    <w:tr2bl w:val="nil"/>
                  </w:tcBorders>
                  <w:shd w:val="clear" w:color="auto" w:fill="auto"/>
                  <w:tcMar>
                    <w:left w:w="40" w:type="dxa"/>
                    <w:right w:w="40" w:type="dxa"/>
                  </w:tcMar>
                  <w:vAlign w:val="center"/>
                </w:tcPr>
                <w:p w14:paraId="0AE8D6D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100%</w:t>
                  </w:r>
                </w:p>
              </w:tc>
              <w:tc>
                <w:tcPr>
                  <w:tcW w:w="887" w:type="dxa"/>
                  <w:tcBorders>
                    <w:top w:val="nil"/>
                    <w:left w:val="nil"/>
                    <w:bottom w:val="single" w:sz="12" w:space="0" w:color="000000"/>
                    <w:right w:val="nil"/>
                    <w:tl2br w:val="nil"/>
                    <w:tr2bl w:val="nil"/>
                  </w:tcBorders>
                  <w:shd w:val="clear" w:color="auto" w:fill="auto"/>
                  <w:tcMar>
                    <w:left w:w="40" w:type="dxa"/>
                    <w:right w:w="40" w:type="dxa"/>
                  </w:tcMar>
                  <w:vAlign w:val="center"/>
                </w:tcPr>
                <w:p w14:paraId="21872A7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2026</w:t>
                  </w:r>
                </w:p>
              </w:tc>
              <w:tc>
                <w:tcPr>
                  <w:tcW w:w="829" w:type="dxa"/>
                  <w:tcBorders>
                    <w:top w:val="nil"/>
                    <w:left w:val="nil"/>
                    <w:bottom w:val="single" w:sz="12" w:space="0" w:color="000000"/>
                    <w:right w:val="nil"/>
                    <w:tl2br w:val="nil"/>
                    <w:tr2bl w:val="nil"/>
                  </w:tcBorders>
                  <w:shd w:val="clear" w:color="auto" w:fill="auto"/>
                  <w:tcMar>
                    <w:left w:w="40" w:type="dxa"/>
                    <w:right w:w="40" w:type="dxa"/>
                  </w:tcMar>
                  <w:vAlign w:val="center"/>
                </w:tcPr>
                <w:p w14:paraId="5974AC5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218</w:t>
                  </w:r>
                </w:p>
              </w:tc>
              <w:tc>
                <w:tcPr>
                  <w:tcW w:w="851" w:type="dxa"/>
                  <w:tcBorders>
                    <w:top w:val="nil"/>
                    <w:left w:val="nil"/>
                    <w:bottom w:val="single" w:sz="12" w:space="0" w:color="000000"/>
                    <w:right w:val="nil"/>
                    <w:tl2br w:val="nil"/>
                    <w:tr2bl w:val="nil"/>
                  </w:tcBorders>
                  <w:shd w:val="clear" w:color="auto" w:fill="auto"/>
                  <w:tcMar>
                    <w:left w:w="40" w:type="dxa"/>
                    <w:right w:w="40" w:type="dxa"/>
                  </w:tcMar>
                  <w:vAlign w:val="center"/>
                </w:tcPr>
                <w:p w14:paraId="6C0527C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407</w:t>
                  </w:r>
                </w:p>
              </w:tc>
              <w:tc>
                <w:tcPr>
                  <w:tcW w:w="775" w:type="dxa"/>
                  <w:tcBorders>
                    <w:top w:val="nil"/>
                    <w:left w:val="nil"/>
                    <w:bottom w:val="single" w:sz="12" w:space="0" w:color="000000"/>
                    <w:right w:val="nil"/>
                    <w:tl2br w:val="nil"/>
                    <w:tr2bl w:val="nil"/>
                  </w:tcBorders>
                  <w:shd w:val="clear" w:color="auto" w:fill="auto"/>
                  <w:tcMar>
                    <w:left w:w="40" w:type="dxa"/>
                    <w:right w:w="40" w:type="dxa"/>
                  </w:tcMar>
                  <w:vAlign w:val="center"/>
                </w:tcPr>
                <w:p w14:paraId="1CD4D045"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588</w:t>
                  </w:r>
                </w:p>
              </w:tc>
              <w:tc>
                <w:tcPr>
                  <w:tcW w:w="845" w:type="dxa"/>
                  <w:tcBorders>
                    <w:top w:val="nil"/>
                    <w:left w:val="nil"/>
                    <w:bottom w:val="single" w:sz="12" w:space="0" w:color="000000"/>
                    <w:right w:val="nil"/>
                    <w:tl2br w:val="nil"/>
                    <w:tr2bl w:val="nil"/>
                  </w:tcBorders>
                  <w:shd w:val="clear" w:color="auto" w:fill="auto"/>
                  <w:tcMar>
                    <w:left w:w="40" w:type="dxa"/>
                    <w:right w:w="40" w:type="dxa"/>
                  </w:tcMar>
                  <w:vAlign w:val="center"/>
                </w:tcPr>
                <w:p w14:paraId="2B46B70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74</w:t>
                  </w:r>
                </w:p>
              </w:tc>
              <w:tc>
                <w:tcPr>
                  <w:tcW w:w="845" w:type="dxa"/>
                  <w:tcBorders>
                    <w:top w:val="nil"/>
                    <w:left w:val="nil"/>
                    <w:bottom w:val="single" w:sz="12" w:space="0" w:color="000000"/>
                    <w:right w:val="nil"/>
                    <w:tl2br w:val="nil"/>
                    <w:tr2bl w:val="nil"/>
                  </w:tcBorders>
                  <w:shd w:val="clear" w:color="auto" w:fill="auto"/>
                  <w:tcMar>
                    <w:left w:w="40" w:type="dxa"/>
                    <w:right w:w="40" w:type="dxa"/>
                  </w:tcMar>
                  <w:vAlign w:val="center"/>
                </w:tcPr>
                <w:p w14:paraId="52E7E70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9.2%</w:t>
                  </w:r>
                </w:p>
              </w:tc>
            </w:tr>
            <w:tr w:rsidR="0085581F" w:rsidRPr="0085581F" w14:paraId="410D5587" w14:textId="77777777" w:rsidTr="00883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8"/>
              </w:trPr>
              <w:tc>
                <w:tcPr>
                  <w:tcW w:w="1288"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2122E55E"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6"/>
                      <w:szCs w:val="16"/>
                    </w:rPr>
                  </w:pPr>
                  <w:r w:rsidRPr="0085581F">
                    <w:rPr>
                      <w:rFonts w:asciiTheme="majorBidi" w:hAnsiTheme="majorBidi" w:cstheme="majorBidi"/>
                      <w:b/>
                      <w:color w:val="000000"/>
                      <w:sz w:val="16"/>
                      <w:szCs w:val="16"/>
                    </w:rPr>
                    <w:t>Tampa, Florida</w:t>
                  </w:r>
                </w:p>
              </w:tc>
              <w:tc>
                <w:tcPr>
                  <w:tcW w:w="2017"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52C61765"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 xml:space="preserve">A luxury rental residential project in Downtown Tampa, with 334 rental apartments (with full financial support) </w:t>
                  </w:r>
                  <w:r w:rsidRPr="0085581F">
                    <w:rPr>
                      <w:rFonts w:asciiTheme="majorBidi" w:hAnsiTheme="majorBidi" w:cstheme="majorBidi"/>
                      <w:color w:val="000000"/>
                      <w:sz w:val="16"/>
                      <w:szCs w:val="16"/>
                      <w:vertAlign w:val="superscript"/>
                    </w:rPr>
                    <w:t>[1]</w:t>
                  </w:r>
                </w:p>
              </w:tc>
              <w:tc>
                <w:tcPr>
                  <w:tcW w:w="854"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147C6C2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37,000</w:t>
                  </w:r>
                </w:p>
              </w:tc>
              <w:tc>
                <w:tcPr>
                  <w:tcW w:w="761"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044D4A8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94%</w:t>
                  </w:r>
                </w:p>
              </w:tc>
              <w:tc>
                <w:tcPr>
                  <w:tcW w:w="887"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24306E9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2024</w:t>
                  </w:r>
                </w:p>
              </w:tc>
              <w:tc>
                <w:tcPr>
                  <w:tcW w:w="829"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710F590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620</w:t>
                  </w:r>
                </w:p>
              </w:tc>
              <w:tc>
                <w:tcPr>
                  <w:tcW w:w="851"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74D6D73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865</w:t>
                  </w:r>
                </w:p>
              </w:tc>
              <w:tc>
                <w:tcPr>
                  <w:tcW w:w="77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710ABD5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56</w:t>
                  </w:r>
                </w:p>
              </w:tc>
              <w:tc>
                <w:tcPr>
                  <w:tcW w:w="84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440E3ED2"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49</w:t>
                  </w:r>
                </w:p>
              </w:tc>
              <w:tc>
                <w:tcPr>
                  <w:tcW w:w="84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718CC92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7.2%</w:t>
                  </w:r>
                </w:p>
              </w:tc>
            </w:tr>
            <w:tr w:rsidR="0085581F" w:rsidRPr="0085581F" w14:paraId="77627CE2" w14:textId="77777777" w:rsidTr="00883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2"/>
              </w:trPr>
              <w:tc>
                <w:tcPr>
                  <w:tcW w:w="1288" w:type="dxa"/>
                  <w:tcBorders>
                    <w:top w:val="single" w:sz="12" w:space="0" w:color="000000"/>
                    <w:left w:val="nil"/>
                    <w:bottom w:val="nil"/>
                    <w:right w:val="nil"/>
                    <w:tl2br w:val="nil"/>
                    <w:tr2bl w:val="nil"/>
                  </w:tcBorders>
                  <w:shd w:val="clear" w:color="auto" w:fill="auto"/>
                  <w:tcMar>
                    <w:left w:w="40" w:type="dxa"/>
                    <w:right w:w="40" w:type="dxa"/>
                  </w:tcMar>
                  <w:vAlign w:val="center"/>
                </w:tcPr>
                <w:p w14:paraId="3796E1CD"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6"/>
                      <w:szCs w:val="16"/>
                    </w:rPr>
                  </w:pPr>
                  <w:r w:rsidRPr="0085581F">
                    <w:rPr>
                      <w:rFonts w:asciiTheme="majorBidi" w:hAnsiTheme="majorBidi" w:cstheme="majorBidi"/>
                      <w:b/>
                      <w:color w:val="000000"/>
                      <w:sz w:val="16"/>
                      <w:szCs w:val="16"/>
                    </w:rPr>
                    <w:t xml:space="preserve"> </w:t>
                  </w:r>
                  <w:proofErr w:type="spellStart"/>
                  <w:r w:rsidRPr="0085581F">
                    <w:rPr>
                      <w:rFonts w:asciiTheme="majorBidi" w:hAnsiTheme="majorBidi" w:cstheme="majorBidi"/>
                      <w:b/>
                      <w:color w:val="000000"/>
                      <w:sz w:val="16"/>
                      <w:szCs w:val="16"/>
                    </w:rPr>
                    <w:t>Ostrobramska</w:t>
                  </w:r>
                  <w:proofErr w:type="spellEnd"/>
                  <w:r w:rsidRPr="0085581F">
                    <w:rPr>
                      <w:rFonts w:asciiTheme="majorBidi" w:hAnsiTheme="majorBidi" w:cstheme="majorBidi"/>
                      <w:b/>
                      <w:color w:val="000000"/>
                      <w:sz w:val="16"/>
                      <w:szCs w:val="16"/>
                    </w:rPr>
                    <w:t xml:space="preserve">, Warsaw </w:t>
                  </w:r>
                  <w:r w:rsidRPr="0085581F">
                    <w:rPr>
                      <w:rFonts w:asciiTheme="majorBidi" w:hAnsiTheme="majorBidi" w:cstheme="majorBidi"/>
                      <w:b/>
                      <w:color w:val="000000"/>
                      <w:sz w:val="16"/>
                      <w:szCs w:val="16"/>
                      <w:vertAlign w:val="superscript"/>
                    </w:rPr>
                    <w:t xml:space="preserve">[2] </w:t>
                  </w:r>
                </w:p>
              </w:tc>
              <w:tc>
                <w:tcPr>
                  <w:tcW w:w="2017" w:type="dxa"/>
                  <w:tcBorders>
                    <w:top w:val="single" w:sz="12" w:space="0" w:color="000000"/>
                    <w:left w:val="nil"/>
                    <w:bottom w:val="nil"/>
                    <w:right w:val="nil"/>
                    <w:tl2br w:val="nil"/>
                    <w:tr2bl w:val="nil"/>
                  </w:tcBorders>
                  <w:shd w:val="clear" w:color="auto" w:fill="auto"/>
                  <w:tcMar>
                    <w:left w:w="40" w:type="dxa"/>
                    <w:right w:w="40" w:type="dxa"/>
                  </w:tcMar>
                  <w:vAlign w:val="center"/>
                </w:tcPr>
                <w:p w14:paraId="3261536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proofErr w:type="spellStart"/>
                  <w:r w:rsidRPr="0085581F">
                    <w:rPr>
                      <w:rFonts w:asciiTheme="majorBidi" w:hAnsiTheme="majorBidi" w:cstheme="majorBidi"/>
                      <w:color w:val="000000"/>
                      <w:sz w:val="16"/>
                      <w:szCs w:val="16"/>
                    </w:rPr>
                    <w:t>Ostrobramska</w:t>
                  </w:r>
                  <w:proofErr w:type="spellEnd"/>
                  <w:r w:rsidRPr="0085581F">
                    <w:rPr>
                      <w:rFonts w:asciiTheme="majorBidi" w:hAnsiTheme="majorBidi" w:cstheme="majorBidi"/>
                      <w:color w:val="000000"/>
                      <w:sz w:val="16"/>
                      <w:szCs w:val="16"/>
                    </w:rPr>
                    <w:t xml:space="preserve"> rental residential project includes 442 apartments and 1,500 </w:t>
                  </w:r>
                  <w:proofErr w:type="spellStart"/>
                  <w:r w:rsidRPr="0085581F">
                    <w:rPr>
                      <w:rFonts w:asciiTheme="majorBidi" w:hAnsiTheme="majorBidi" w:cstheme="majorBidi"/>
                      <w:color w:val="000000"/>
                      <w:sz w:val="16"/>
                      <w:szCs w:val="16"/>
                    </w:rPr>
                    <w:t>sq.m</w:t>
                  </w:r>
                  <w:proofErr w:type="spellEnd"/>
                  <w:r w:rsidRPr="0085581F">
                    <w:rPr>
                      <w:rFonts w:asciiTheme="majorBidi" w:hAnsiTheme="majorBidi" w:cstheme="majorBidi"/>
                      <w:color w:val="000000"/>
                      <w:sz w:val="16"/>
                      <w:szCs w:val="16"/>
                    </w:rPr>
                    <w:t xml:space="preserve"> of commercial space on the ground floor adjacent to the existing Atrium Promenade Shopping Mall. It is built on a plot of land owned by the Company </w:t>
                  </w:r>
                </w:p>
              </w:tc>
              <w:tc>
                <w:tcPr>
                  <w:tcW w:w="854" w:type="dxa"/>
                  <w:tcBorders>
                    <w:top w:val="single" w:sz="12" w:space="0" w:color="000000"/>
                    <w:left w:val="nil"/>
                    <w:bottom w:val="nil"/>
                    <w:right w:val="nil"/>
                    <w:tl2br w:val="nil"/>
                    <w:tr2bl w:val="nil"/>
                  </w:tcBorders>
                  <w:shd w:val="clear" w:color="auto" w:fill="auto"/>
                  <w:noWrap/>
                  <w:tcMar>
                    <w:left w:w="40" w:type="dxa"/>
                    <w:right w:w="40" w:type="dxa"/>
                  </w:tcMar>
                  <w:vAlign w:val="center"/>
                </w:tcPr>
                <w:p w14:paraId="5ACA9A9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16,000</w:t>
                  </w:r>
                </w:p>
              </w:tc>
              <w:tc>
                <w:tcPr>
                  <w:tcW w:w="761" w:type="dxa"/>
                  <w:tcBorders>
                    <w:top w:val="single" w:sz="12" w:space="0" w:color="000000"/>
                    <w:left w:val="nil"/>
                    <w:bottom w:val="nil"/>
                    <w:right w:val="nil"/>
                    <w:tl2br w:val="nil"/>
                    <w:tr2bl w:val="nil"/>
                  </w:tcBorders>
                  <w:shd w:val="clear" w:color="auto" w:fill="auto"/>
                  <w:tcMar>
                    <w:left w:w="40" w:type="dxa"/>
                    <w:right w:w="40" w:type="dxa"/>
                  </w:tcMar>
                  <w:vAlign w:val="center"/>
                </w:tcPr>
                <w:p w14:paraId="299AA2A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100%</w:t>
                  </w:r>
                </w:p>
              </w:tc>
              <w:tc>
                <w:tcPr>
                  <w:tcW w:w="887" w:type="dxa"/>
                  <w:tcBorders>
                    <w:top w:val="single" w:sz="12" w:space="0" w:color="000000"/>
                    <w:left w:val="nil"/>
                    <w:bottom w:val="nil"/>
                    <w:right w:val="nil"/>
                    <w:tl2br w:val="nil"/>
                    <w:tr2bl w:val="nil"/>
                  </w:tcBorders>
                  <w:shd w:val="clear" w:color="auto" w:fill="auto"/>
                  <w:tcMar>
                    <w:left w:w="40" w:type="dxa"/>
                    <w:right w:w="40" w:type="dxa"/>
                  </w:tcMar>
                  <w:vAlign w:val="center"/>
                </w:tcPr>
                <w:p w14:paraId="2C5F835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2024</w:t>
                  </w:r>
                </w:p>
              </w:tc>
              <w:tc>
                <w:tcPr>
                  <w:tcW w:w="829" w:type="dxa"/>
                  <w:tcBorders>
                    <w:top w:val="single" w:sz="12" w:space="0" w:color="000000"/>
                    <w:left w:val="nil"/>
                    <w:bottom w:val="nil"/>
                    <w:right w:val="nil"/>
                    <w:tl2br w:val="nil"/>
                    <w:tr2bl w:val="nil"/>
                  </w:tcBorders>
                  <w:shd w:val="clear" w:color="auto" w:fill="auto"/>
                  <w:tcMar>
                    <w:left w:w="40" w:type="dxa"/>
                    <w:right w:w="40" w:type="dxa"/>
                  </w:tcMar>
                  <w:vAlign w:val="center"/>
                </w:tcPr>
                <w:p w14:paraId="673D844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152</w:t>
                  </w:r>
                </w:p>
              </w:tc>
              <w:tc>
                <w:tcPr>
                  <w:tcW w:w="851" w:type="dxa"/>
                  <w:tcBorders>
                    <w:top w:val="single" w:sz="12" w:space="0" w:color="000000"/>
                    <w:left w:val="nil"/>
                    <w:bottom w:val="nil"/>
                    <w:right w:val="nil"/>
                    <w:tl2br w:val="nil"/>
                    <w:tr2bl w:val="nil"/>
                  </w:tcBorders>
                  <w:shd w:val="clear" w:color="auto" w:fill="auto"/>
                  <w:tcMar>
                    <w:left w:w="40" w:type="dxa"/>
                    <w:right w:w="40" w:type="dxa"/>
                  </w:tcMar>
                  <w:vAlign w:val="center"/>
                </w:tcPr>
                <w:p w14:paraId="3E0981E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209</w:t>
                  </w:r>
                </w:p>
              </w:tc>
              <w:tc>
                <w:tcPr>
                  <w:tcW w:w="775" w:type="dxa"/>
                  <w:tcBorders>
                    <w:top w:val="single" w:sz="12" w:space="0" w:color="000000"/>
                    <w:left w:val="nil"/>
                    <w:bottom w:val="nil"/>
                    <w:right w:val="nil"/>
                    <w:tl2br w:val="nil"/>
                    <w:tr2bl w:val="nil"/>
                  </w:tcBorders>
                  <w:shd w:val="clear" w:color="auto" w:fill="auto"/>
                  <w:tcMar>
                    <w:left w:w="40" w:type="dxa"/>
                    <w:right w:w="40" w:type="dxa"/>
                  </w:tcMar>
                  <w:vAlign w:val="center"/>
                </w:tcPr>
                <w:p w14:paraId="0DCA0F8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55</w:t>
                  </w:r>
                </w:p>
              </w:tc>
              <w:tc>
                <w:tcPr>
                  <w:tcW w:w="845" w:type="dxa"/>
                  <w:tcBorders>
                    <w:top w:val="single" w:sz="12" w:space="0" w:color="000000"/>
                    <w:left w:val="nil"/>
                    <w:bottom w:val="nil"/>
                    <w:right w:val="nil"/>
                    <w:tl2br w:val="nil"/>
                    <w:tr2bl w:val="nil"/>
                  </w:tcBorders>
                  <w:shd w:val="clear" w:color="auto" w:fill="auto"/>
                  <w:tcMar>
                    <w:left w:w="40" w:type="dxa"/>
                    <w:right w:w="40" w:type="dxa"/>
                  </w:tcMar>
                  <w:vAlign w:val="center"/>
                </w:tcPr>
                <w:p w14:paraId="1BC385B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16</w:t>
                  </w:r>
                </w:p>
              </w:tc>
              <w:tc>
                <w:tcPr>
                  <w:tcW w:w="84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36EE849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7.7%</w:t>
                  </w:r>
                </w:p>
              </w:tc>
            </w:tr>
            <w:tr w:rsidR="00FF2608" w:rsidRPr="0085581F" w14:paraId="619CD725" w14:textId="77777777" w:rsidTr="00883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1288" w:type="dxa"/>
                  <w:tcBorders>
                    <w:top w:val="nil"/>
                    <w:left w:val="nil"/>
                    <w:bottom w:val="nil"/>
                    <w:right w:val="nil"/>
                    <w:tl2br w:val="nil"/>
                    <w:tr2bl w:val="nil"/>
                  </w:tcBorders>
                  <w:shd w:val="clear" w:color="FFFFFF" w:fill="000031"/>
                  <w:noWrap/>
                  <w:tcMar>
                    <w:left w:w="0" w:type="dxa"/>
                    <w:right w:w="0" w:type="dxa"/>
                  </w:tcMar>
                  <w:vAlign w:val="center"/>
                </w:tcPr>
                <w:p w14:paraId="185DE1FD"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16"/>
                      <w:szCs w:val="16"/>
                    </w:rPr>
                  </w:pPr>
                </w:p>
              </w:tc>
              <w:tc>
                <w:tcPr>
                  <w:tcW w:w="2017" w:type="dxa"/>
                  <w:tcBorders>
                    <w:top w:val="nil"/>
                    <w:left w:val="nil"/>
                    <w:bottom w:val="nil"/>
                    <w:right w:val="nil"/>
                    <w:tl2br w:val="nil"/>
                    <w:tr2bl w:val="nil"/>
                  </w:tcBorders>
                  <w:shd w:val="clear" w:color="FFFFFF" w:fill="000031"/>
                  <w:noWrap/>
                  <w:tcMar>
                    <w:left w:w="0" w:type="dxa"/>
                    <w:right w:w="0" w:type="dxa"/>
                  </w:tcMar>
                  <w:vAlign w:val="center"/>
                </w:tcPr>
                <w:p w14:paraId="64B3725C"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sz w:val="16"/>
                      <w:szCs w:val="16"/>
                    </w:rPr>
                  </w:pPr>
                </w:p>
              </w:tc>
              <w:tc>
                <w:tcPr>
                  <w:tcW w:w="854" w:type="dxa"/>
                  <w:tcBorders>
                    <w:top w:val="nil"/>
                    <w:left w:val="nil"/>
                    <w:bottom w:val="nil"/>
                    <w:right w:val="nil"/>
                    <w:tl2br w:val="nil"/>
                    <w:tr2bl w:val="nil"/>
                  </w:tcBorders>
                  <w:shd w:val="clear" w:color="FFFFFF" w:fill="000031"/>
                  <w:noWrap/>
                  <w:tcMar>
                    <w:left w:w="40" w:type="dxa"/>
                    <w:right w:w="40" w:type="dxa"/>
                  </w:tcMar>
                  <w:vAlign w:val="center"/>
                </w:tcPr>
                <w:p w14:paraId="53373040"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16"/>
                      <w:szCs w:val="16"/>
                    </w:rPr>
                  </w:pPr>
                  <w:r w:rsidRPr="0085581F">
                    <w:rPr>
                      <w:rFonts w:asciiTheme="majorBidi" w:hAnsiTheme="majorBidi" w:cstheme="majorBidi"/>
                      <w:color w:val="FFFFFF"/>
                      <w:sz w:val="16"/>
                      <w:szCs w:val="16"/>
                    </w:rPr>
                    <w:t> </w:t>
                  </w:r>
                  <w:r w:rsidRPr="0085581F">
                    <w:rPr>
                      <w:rFonts w:asciiTheme="majorBidi" w:hAnsiTheme="majorBidi" w:cstheme="majorBidi"/>
                      <w:b/>
                      <w:color w:val="FFFFFF"/>
                      <w:sz w:val="16"/>
                      <w:szCs w:val="16"/>
                    </w:rPr>
                    <w:t>Total – 100%</w:t>
                  </w:r>
                </w:p>
              </w:tc>
              <w:tc>
                <w:tcPr>
                  <w:tcW w:w="761" w:type="dxa"/>
                  <w:tcBorders>
                    <w:top w:val="nil"/>
                    <w:left w:val="nil"/>
                    <w:bottom w:val="nil"/>
                    <w:right w:val="nil"/>
                    <w:tl2br w:val="nil"/>
                    <w:tr2bl w:val="nil"/>
                  </w:tcBorders>
                  <w:shd w:val="clear" w:color="FFFFFF" w:fill="000031"/>
                  <w:noWrap/>
                  <w:tcMar>
                    <w:left w:w="0" w:type="dxa"/>
                    <w:right w:w="0" w:type="dxa"/>
                  </w:tcMar>
                  <w:vAlign w:val="center"/>
                </w:tcPr>
                <w:p w14:paraId="0742F89F"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16"/>
                      <w:szCs w:val="16"/>
                    </w:rPr>
                  </w:pPr>
                </w:p>
              </w:tc>
              <w:tc>
                <w:tcPr>
                  <w:tcW w:w="887" w:type="dxa"/>
                  <w:tcBorders>
                    <w:top w:val="nil"/>
                    <w:left w:val="nil"/>
                    <w:bottom w:val="nil"/>
                    <w:right w:val="nil"/>
                    <w:tl2br w:val="nil"/>
                    <w:tr2bl w:val="nil"/>
                  </w:tcBorders>
                  <w:shd w:val="clear" w:color="FFFFFF" w:fill="000031"/>
                  <w:noWrap/>
                  <w:tcMar>
                    <w:left w:w="0" w:type="dxa"/>
                    <w:right w:w="0" w:type="dxa"/>
                  </w:tcMar>
                  <w:vAlign w:val="center"/>
                </w:tcPr>
                <w:p w14:paraId="2F48986C"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16"/>
                      <w:szCs w:val="16"/>
                    </w:rPr>
                  </w:pPr>
                </w:p>
              </w:tc>
              <w:tc>
                <w:tcPr>
                  <w:tcW w:w="829" w:type="dxa"/>
                  <w:tcBorders>
                    <w:top w:val="nil"/>
                    <w:left w:val="nil"/>
                    <w:bottom w:val="nil"/>
                    <w:right w:val="nil"/>
                    <w:tl2br w:val="nil"/>
                    <w:tr2bl w:val="nil"/>
                  </w:tcBorders>
                  <w:shd w:val="clear" w:color="FFFFFF" w:fill="000031"/>
                  <w:tcMar>
                    <w:left w:w="40" w:type="dxa"/>
                    <w:right w:w="40" w:type="dxa"/>
                  </w:tcMar>
                  <w:vAlign w:val="center"/>
                </w:tcPr>
                <w:p w14:paraId="0F0C249B"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990</w:t>
                  </w:r>
                </w:p>
              </w:tc>
              <w:tc>
                <w:tcPr>
                  <w:tcW w:w="851" w:type="dxa"/>
                  <w:tcBorders>
                    <w:top w:val="nil"/>
                    <w:left w:val="nil"/>
                    <w:bottom w:val="nil"/>
                    <w:right w:val="nil"/>
                    <w:tl2br w:val="nil"/>
                    <w:tr2bl w:val="nil"/>
                  </w:tcBorders>
                  <w:shd w:val="clear" w:color="FFFFFF" w:fill="000031"/>
                  <w:tcMar>
                    <w:left w:w="40" w:type="dxa"/>
                    <w:right w:w="40" w:type="dxa"/>
                  </w:tcMar>
                  <w:vAlign w:val="center"/>
                </w:tcPr>
                <w:p w14:paraId="5FE4F8B7"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1,481</w:t>
                  </w:r>
                </w:p>
              </w:tc>
              <w:tc>
                <w:tcPr>
                  <w:tcW w:w="775" w:type="dxa"/>
                  <w:tcBorders>
                    <w:top w:val="nil"/>
                    <w:left w:val="nil"/>
                    <w:bottom w:val="nil"/>
                    <w:right w:val="nil"/>
                    <w:tl2br w:val="nil"/>
                    <w:tr2bl w:val="nil"/>
                  </w:tcBorders>
                  <w:shd w:val="clear" w:color="FFFFFF" w:fill="000031"/>
                  <w:tcMar>
                    <w:left w:w="40" w:type="dxa"/>
                    <w:right w:w="40" w:type="dxa"/>
                  </w:tcMar>
                  <w:vAlign w:val="center"/>
                </w:tcPr>
                <w:p w14:paraId="6E267D56"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700</w:t>
                  </w:r>
                </w:p>
              </w:tc>
              <w:tc>
                <w:tcPr>
                  <w:tcW w:w="845" w:type="dxa"/>
                  <w:tcBorders>
                    <w:top w:val="nil"/>
                    <w:left w:val="nil"/>
                    <w:bottom w:val="nil"/>
                    <w:right w:val="nil"/>
                    <w:tl2br w:val="nil"/>
                    <w:tr2bl w:val="nil"/>
                  </w:tcBorders>
                  <w:shd w:val="clear" w:color="FFFFFF" w:fill="000031"/>
                  <w:tcMar>
                    <w:left w:w="40" w:type="dxa"/>
                    <w:right w:w="40" w:type="dxa"/>
                  </w:tcMar>
                  <w:vAlign w:val="center"/>
                </w:tcPr>
                <w:p w14:paraId="55A34BEB"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139</w:t>
                  </w:r>
                </w:p>
              </w:tc>
              <w:tc>
                <w:tcPr>
                  <w:tcW w:w="845" w:type="dxa"/>
                  <w:tcBorders>
                    <w:top w:val="single" w:sz="12" w:space="0" w:color="000000"/>
                    <w:left w:val="nil"/>
                    <w:bottom w:val="nil"/>
                    <w:right w:val="nil"/>
                    <w:tl2br w:val="nil"/>
                    <w:tr2bl w:val="nil"/>
                  </w:tcBorders>
                  <w:shd w:val="clear" w:color="FFFFFF" w:fill="000031"/>
                  <w:tcMar>
                    <w:left w:w="0" w:type="dxa"/>
                    <w:right w:w="0" w:type="dxa"/>
                  </w:tcMar>
                  <w:vAlign w:val="center"/>
                </w:tcPr>
                <w:p w14:paraId="74A463FD"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p>
              </w:tc>
            </w:tr>
            <w:tr w:rsidR="00FF2608" w:rsidRPr="0085581F" w14:paraId="4BEB9328" w14:textId="77777777" w:rsidTr="00883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1288" w:type="dxa"/>
                  <w:tcBorders>
                    <w:top w:val="nil"/>
                    <w:left w:val="nil"/>
                    <w:bottom w:val="nil"/>
                    <w:right w:val="nil"/>
                    <w:tl2br w:val="nil"/>
                    <w:tr2bl w:val="nil"/>
                  </w:tcBorders>
                  <w:shd w:val="clear" w:color="FFFFFF" w:fill="000031"/>
                  <w:noWrap/>
                  <w:tcMar>
                    <w:left w:w="0" w:type="dxa"/>
                    <w:right w:w="0" w:type="dxa"/>
                  </w:tcMar>
                  <w:vAlign w:val="center"/>
                </w:tcPr>
                <w:p w14:paraId="58F6988E"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16"/>
                      <w:szCs w:val="16"/>
                    </w:rPr>
                  </w:pPr>
                </w:p>
              </w:tc>
              <w:tc>
                <w:tcPr>
                  <w:tcW w:w="2017" w:type="dxa"/>
                  <w:tcBorders>
                    <w:top w:val="nil"/>
                    <w:left w:val="nil"/>
                    <w:bottom w:val="nil"/>
                    <w:right w:val="nil"/>
                    <w:tl2br w:val="nil"/>
                    <w:tr2bl w:val="nil"/>
                  </w:tcBorders>
                  <w:shd w:val="clear" w:color="FFFFFF" w:fill="000031"/>
                  <w:noWrap/>
                  <w:tcMar>
                    <w:left w:w="0" w:type="dxa"/>
                    <w:right w:w="0" w:type="dxa"/>
                  </w:tcMar>
                  <w:vAlign w:val="center"/>
                </w:tcPr>
                <w:p w14:paraId="074771EE"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sz w:val="16"/>
                      <w:szCs w:val="16"/>
                    </w:rPr>
                  </w:pPr>
                </w:p>
              </w:tc>
              <w:tc>
                <w:tcPr>
                  <w:tcW w:w="854" w:type="dxa"/>
                  <w:tcBorders>
                    <w:top w:val="nil"/>
                    <w:left w:val="nil"/>
                    <w:bottom w:val="nil"/>
                    <w:right w:val="nil"/>
                    <w:tl2br w:val="nil"/>
                    <w:tr2bl w:val="nil"/>
                  </w:tcBorders>
                  <w:shd w:val="clear" w:color="FFFFFF" w:fill="000031"/>
                  <w:noWrap/>
                  <w:tcMar>
                    <w:left w:w="40" w:type="dxa"/>
                    <w:right w:w="40" w:type="dxa"/>
                  </w:tcMar>
                  <w:vAlign w:val="center"/>
                </w:tcPr>
                <w:p w14:paraId="5AEA71FB"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Company's total share</w:t>
                  </w:r>
                </w:p>
              </w:tc>
              <w:tc>
                <w:tcPr>
                  <w:tcW w:w="761" w:type="dxa"/>
                  <w:tcBorders>
                    <w:top w:val="nil"/>
                    <w:left w:val="nil"/>
                    <w:bottom w:val="nil"/>
                    <w:right w:val="nil"/>
                    <w:tl2br w:val="nil"/>
                    <w:tr2bl w:val="nil"/>
                  </w:tcBorders>
                  <w:shd w:val="clear" w:color="FFFFFF" w:fill="000031"/>
                  <w:noWrap/>
                  <w:tcMar>
                    <w:left w:w="0" w:type="dxa"/>
                    <w:right w:w="0" w:type="dxa"/>
                  </w:tcMar>
                  <w:vAlign w:val="center"/>
                </w:tcPr>
                <w:p w14:paraId="6F237EB3"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sz w:val="16"/>
                      <w:szCs w:val="16"/>
                    </w:rPr>
                  </w:pPr>
                </w:p>
              </w:tc>
              <w:tc>
                <w:tcPr>
                  <w:tcW w:w="887" w:type="dxa"/>
                  <w:tcBorders>
                    <w:top w:val="nil"/>
                    <w:left w:val="nil"/>
                    <w:bottom w:val="nil"/>
                    <w:right w:val="nil"/>
                    <w:tl2br w:val="nil"/>
                    <w:tr2bl w:val="nil"/>
                  </w:tcBorders>
                  <w:shd w:val="clear" w:color="FFFFFF" w:fill="000031"/>
                  <w:noWrap/>
                  <w:tcMar>
                    <w:left w:w="0" w:type="dxa"/>
                    <w:right w:w="0" w:type="dxa"/>
                  </w:tcMar>
                  <w:vAlign w:val="center"/>
                </w:tcPr>
                <w:p w14:paraId="3FC09509"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sz w:val="16"/>
                      <w:szCs w:val="16"/>
                    </w:rPr>
                  </w:pPr>
                </w:p>
              </w:tc>
              <w:tc>
                <w:tcPr>
                  <w:tcW w:w="829" w:type="dxa"/>
                  <w:tcBorders>
                    <w:top w:val="nil"/>
                    <w:left w:val="nil"/>
                    <w:bottom w:val="nil"/>
                    <w:right w:val="nil"/>
                    <w:tl2br w:val="nil"/>
                    <w:tr2bl w:val="nil"/>
                  </w:tcBorders>
                  <w:shd w:val="clear" w:color="FFFFFF" w:fill="000031"/>
                  <w:tcMar>
                    <w:left w:w="40" w:type="dxa"/>
                    <w:right w:w="40" w:type="dxa"/>
                  </w:tcMar>
                  <w:vAlign w:val="center"/>
                </w:tcPr>
                <w:p w14:paraId="5A22456C"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953</w:t>
                  </w:r>
                </w:p>
              </w:tc>
              <w:tc>
                <w:tcPr>
                  <w:tcW w:w="851" w:type="dxa"/>
                  <w:tcBorders>
                    <w:top w:val="nil"/>
                    <w:left w:val="nil"/>
                    <w:bottom w:val="nil"/>
                    <w:right w:val="nil"/>
                    <w:tl2br w:val="nil"/>
                    <w:tr2bl w:val="nil"/>
                  </w:tcBorders>
                  <w:shd w:val="clear" w:color="FFFFFF" w:fill="000031"/>
                  <w:tcMar>
                    <w:left w:w="40" w:type="dxa"/>
                    <w:right w:w="40" w:type="dxa"/>
                  </w:tcMar>
                  <w:vAlign w:val="center"/>
                </w:tcPr>
                <w:p w14:paraId="6FCE2130"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1,429</w:t>
                  </w:r>
                </w:p>
              </w:tc>
              <w:tc>
                <w:tcPr>
                  <w:tcW w:w="775" w:type="dxa"/>
                  <w:tcBorders>
                    <w:top w:val="nil"/>
                    <w:left w:val="nil"/>
                    <w:bottom w:val="nil"/>
                    <w:right w:val="nil"/>
                    <w:tl2br w:val="nil"/>
                    <w:tr2bl w:val="nil"/>
                  </w:tcBorders>
                  <w:shd w:val="clear" w:color="FFFFFF" w:fill="000031"/>
                  <w:tcMar>
                    <w:left w:w="40" w:type="dxa"/>
                    <w:right w:w="40" w:type="dxa"/>
                  </w:tcMar>
                  <w:vAlign w:val="center"/>
                </w:tcPr>
                <w:p w14:paraId="51DC304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696</w:t>
                  </w:r>
                </w:p>
              </w:tc>
              <w:tc>
                <w:tcPr>
                  <w:tcW w:w="845" w:type="dxa"/>
                  <w:tcBorders>
                    <w:top w:val="nil"/>
                    <w:left w:val="nil"/>
                    <w:bottom w:val="nil"/>
                    <w:right w:val="nil"/>
                    <w:tl2br w:val="nil"/>
                    <w:tr2bl w:val="nil"/>
                  </w:tcBorders>
                  <w:shd w:val="clear" w:color="FFFFFF" w:fill="000031"/>
                  <w:tcMar>
                    <w:left w:w="40" w:type="dxa"/>
                    <w:right w:w="40" w:type="dxa"/>
                  </w:tcMar>
                  <w:vAlign w:val="center"/>
                </w:tcPr>
                <w:p w14:paraId="0735587C"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135</w:t>
                  </w:r>
                </w:p>
              </w:tc>
              <w:tc>
                <w:tcPr>
                  <w:tcW w:w="845" w:type="dxa"/>
                  <w:tcBorders>
                    <w:top w:val="nil"/>
                    <w:left w:val="nil"/>
                    <w:bottom w:val="nil"/>
                    <w:right w:val="nil"/>
                    <w:tl2br w:val="nil"/>
                    <w:tr2bl w:val="nil"/>
                  </w:tcBorders>
                  <w:shd w:val="clear" w:color="FFFFFF" w:fill="000031"/>
                  <w:tcMar>
                    <w:left w:w="0" w:type="dxa"/>
                    <w:right w:w="0" w:type="dxa"/>
                  </w:tcMar>
                  <w:vAlign w:val="center"/>
                </w:tcPr>
                <w:p w14:paraId="2490391B"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p>
              </w:tc>
            </w:tr>
            <w:tr w:rsidR="0085581F" w:rsidRPr="0085581F" w14:paraId="6F562A24" w14:textId="77777777" w:rsidTr="00883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794" w:type="dxa"/>
                  <w:gridSpan w:val="10"/>
                  <w:tcBorders>
                    <w:top w:val="nil"/>
                    <w:left w:val="nil"/>
                    <w:bottom w:val="nil"/>
                    <w:right w:val="nil"/>
                    <w:tl2br w:val="nil"/>
                    <w:tr2bl w:val="nil"/>
                  </w:tcBorders>
                  <w:shd w:val="clear" w:color="auto" w:fill="auto"/>
                  <w:tcMar>
                    <w:left w:w="40" w:type="dxa"/>
                    <w:right w:w="40" w:type="dxa"/>
                  </w:tcMar>
                  <w:vAlign w:val="center"/>
                </w:tcPr>
                <w:p w14:paraId="277930E9"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 xml:space="preserve">[1] At date of publication of this Report, the Company has received Form 4 and started occupancy of the tower </w:t>
                  </w:r>
                </w:p>
              </w:tc>
            </w:tr>
            <w:tr w:rsidR="0085581F" w:rsidRPr="0085581F" w14:paraId="07D23953" w14:textId="77777777" w:rsidTr="00883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794" w:type="dxa"/>
                  <w:gridSpan w:val="10"/>
                  <w:tcBorders>
                    <w:top w:val="nil"/>
                    <w:left w:val="nil"/>
                    <w:bottom w:val="nil"/>
                    <w:right w:val="nil"/>
                    <w:tl2br w:val="nil"/>
                    <w:tr2bl w:val="nil"/>
                  </w:tcBorders>
                  <w:shd w:val="clear" w:color="auto" w:fill="auto"/>
                  <w:tcMar>
                    <w:left w:w="40" w:type="dxa"/>
                    <w:right w:w="40" w:type="dxa"/>
                  </w:tcMar>
                  <w:vAlign w:val="center"/>
                </w:tcPr>
                <w:p w14:paraId="579B9C91"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[2] As at June 30, 2024, the Company has completed two buildings (B + C) out of the project's three (183 apartments out of 442) and has started renting them</w:t>
                  </w:r>
                </w:p>
              </w:tc>
            </w:tr>
          </w:tbl>
          <w:p w14:paraId="26EDE60B" w14:textId="77777777" w:rsidR="0085581F" w:rsidRPr="0085581F" w:rsidRDefault="0085581F" w:rsidP="0085581F">
            <w:pPr>
              <w:rPr>
                <w:rFonts w:asciiTheme="majorBidi" w:hAnsiTheme="majorBidi" w:cstheme="majorBidi"/>
              </w:rPr>
            </w:pPr>
          </w:p>
        </w:tc>
      </w:tr>
      <w:tr w:rsidR="0085581F" w:rsidRPr="0085581F" w14:paraId="06674A6B" w14:textId="77777777" w:rsidTr="00A65A6F">
        <w:trPr>
          <w:cantSplit/>
        </w:trPr>
        <w:tc>
          <w:tcPr>
            <w:tcW w:w="5000" w:type="pct"/>
          </w:tcPr>
          <w:tbl>
            <w:tblPr>
              <w:tblStyle w:val="CDMRange220"/>
              <w:tblW w:w="9960" w:type="dxa"/>
              <w:tblLook w:val="0600" w:firstRow="0" w:lastRow="0" w:firstColumn="0" w:lastColumn="0" w:noHBand="1" w:noVBand="1"/>
              <w:tblCaption w:val="Print_Area"/>
            </w:tblPr>
            <w:tblGrid>
              <w:gridCol w:w="1126"/>
              <w:gridCol w:w="4776"/>
              <w:gridCol w:w="951"/>
              <w:gridCol w:w="951"/>
              <w:gridCol w:w="951"/>
              <w:gridCol w:w="951"/>
            </w:tblGrid>
            <w:tr w:rsidR="0085581F" w:rsidRPr="0085581F" w14:paraId="1C3BAC64" w14:textId="77777777" w:rsidTr="00A65A6F">
              <w:trPr>
                <w:trHeight w:val="435"/>
              </w:trPr>
              <w:tc>
                <w:tcPr>
                  <w:tcW w:w="1155" w:type="dxa"/>
                  <w:vMerge w:val="restart"/>
                  <w:tcBorders>
                    <w:top w:val="nil"/>
                    <w:left w:val="nil"/>
                    <w:bottom w:val="nil"/>
                    <w:right w:val="nil"/>
                    <w:tl2br w:val="nil"/>
                    <w:tr2bl w:val="nil"/>
                  </w:tcBorders>
                  <w:shd w:val="clear" w:color="FFFFFF" w:fill="000031"/>
                  <w:tcMar>
                    <w:left w:w="40" w:type="dxa"/>
                    <w:right w:w="40" w:type="dxa"/>
                  </w:tcMar>
                  <w:vAlign w:val="center"/>
                </w:tcPr>
                <w:p w14:paraId="511F530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bookmarkStart w:id="46" w:name="_Hlk172022411"/>
                  <w:bookmarkEnd w:id="45"/>
                  <w:r w:rsidRPr="0085581F">
                    <w:rPr>
                      <w:rFonts w:asciiTheme="majorBidi" w:hAnsiTheme="majorBidi" w:cstheme="majorBidi"/>
                      <w:b/>
                      <w:color w:val="FFFFFF"/>
                      <w:sz w:val="16"/>
                      <w:szCs w:val="16"/>
                    </w:rPr>
                    <w:t>Land for future development</w:t>
                  </w:r>
                </w:p>
              </w:tc>
              <w:tc>
                <w:tcPr>
                  <w:tcW w:w="4905" w:type="dxa"/>
                  <w:vMerge w:val="restart"/>
                  <w:tcBorders>
                    <w:top w:val="nil"/>
                    <w:left w:val="nil"/>
                    <w:bottom w:val="nil"/>
                    <w:right w:val="nil"/>
                    <w:tl2br w:val="nil"/>
                    <w:tr2bl w:val="nil"/>
                  </w:tcBorders>
                  <w:shd w:val="clear" w:color="FFFFFF" w:fill="000031"/>
                  <w:tcMar>
                    <w:left w:w="40" w:type="dxa"/>
                    <w:right w:w="40" w:type="dxa"/>
                  </w:tcMar>
                  <w:vAlign w:val="center"/>
                </w:tcPr>
                <w:p w14:paraId="39C18831"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Plans</w:t>
                  </w:r>
                </w:p>
              </w:tc>
              <w:tc>
                <w:tcPr>
                  <w:tcW w:w="975" w:type="dxa"/>
                  <w:vMerge w:val="restart"/>
                  <w:tcBorders>
                    <w:top w:val="nil"/>
                    <w:left w:val="nil"/>
                    <w:bottom w:val="nil"/>
                    <w:right w:val="nil"/>
                    <w:tl2br w:val="nil"/>
                    <w:tr2bl w:val="nil"/>
                  </w:tcBorders>
                  <w:shd w:val="clear" w:color="FFFFFF" w:fill="000031"/>
                  <w:tcMar>
                    <w:left w:w="40" w:type="dxa"/>
                    <w:right w:w="40" w:type="dxa"/>
                  </w:tcMar>
                  <w:vAlign w:val="center"/>
                </w:tcPr>
                <w:p w14:paraId="5092864F"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Expected Additional Space (</w:t>
                  </w:r>
                  <w:proofErr w:type="spellStart"/>
                  <w:r w:rsidRPr="0085581F">
                    <w:rPr>
                      <w:rFonts w:asciiTheme="majorBidi" w:hAnsiTheme="majorBidi" w:cstheme="majorBidi"/>
                      <w:b/>
                      <w:color w:val="FFFFFF"/>
                      <w:sz w:val="16"/>
                      <w:szCs w:val="16"/>
                    </w:rPr>
                    <w:t>sq.m</w:t>
                  </w:r>
                  <w:proofErr w:type="spellEnd"/>
                  <w:r w:rsidRPr="0085581F">
                    <w:rPr>
                      <w:rFonts w:asciiTheme="majorBidi" w:hAnsiTheme="majorBidi" w:cstheme="majorBidi"/>
                      <w:b/>
                      <w:color w:val="FFFFFF"/>
                      <w:sz w:val="16"/>
                      <w:szCs w:val="16"/>
                    </w:rPr>
                    <w:t>)</w:t>
                  </w:r>
                </w:p>
              </w:tc>
              <w:tc>
                <w:tcPr>
                  <w:tcW w:w="975" w:type="dxa"/>
                  <w:vMerge w:val="restart"/>
                  <w:tcBorders>
                    <w:top w:val="nil"/>
                    <w:left w:val="nil"/>
                    <w:bottom w:val="nil"/>
                    <w:right w:val="nil"/>
                    <w:tl2br w:val="nil"/>
                    <w:tr2bl w:val="nil"/>
                  </w:tcBorders>
                  <w:shd w:val="clear" w:color="FFFFFF" w:fill="000031"/>
                  <w:tcMar>
                    <w:left w:w="40" w:type="dxa"/>
                    <w:right w:w="40" w:type="dxa"/>
                  </w:tcMar>
                  <w:vAlign w:val="center"/>
                </w:tcPr>
                <w:p w14:paraId="20375B9E"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G City’s share</w:t>
                  </w:r>
                </w:p>
              </w:tc>
              <w:tc>
                <w:tcPr>
                  <w:tcW w:w="975" w:type="dxa"/>
                  <w:vMerge w:val="restart"/>
                  <w:tcBorders>
                    <w:top w:val="nil"/>
                    <w:left w:val="nil"/>
                    <w:bottom w:val="nil"/>
                    <w:right w:val="nil"/>
                    <w:tl2br w:val="nil"/>
                    <w:tr2bl w:val="nil"/>
                  </w:tcBorders>
                  <w:shd w:val="clear" w:color="FFFFFF" w:fill="000031"/>
                  <w:tcMar>
                    <w:left w:w="40" w:type="dxa"/>
                    <w:right w:w="40" w:type="dxa"/>
                  </w:tcMar>
                  <w:vAlign w:val="center"/>
                </w:tcPr>
                <w:p w14:paraId="06C28AD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Estimated Date of Completion</w:t>
                  </w:r>
                </w:p>
              </w:tc>
              <w:tc>
                <w:tcPr>
                  <w:tcW w:w="975" w:type="dxa"/>
                  <w:tcBorders>
                    <w:top w:val="nil"/>
                    <w:left w:val="nil"/>
                    <w:bottom w:val="nil"/>
                    <w:right w:val="nil"/>
                    <w:tl2br w:val="nil"/>
                    <w:tr2bl w:val="nil"/>
                  </w:tcBorders>
                  <w:shd w:val="clear" w:color="FFFFFF" w:fill="000031"/>
                  <w:tcMar>
                    <w:left w:w="40" w:type="dxa"/>
                    <w:right w:w="40" w:type="dxa"/>
                  </w:tcMar>
                  <w:vAlign w:val="center"/>
                </w:tcPr>
                <w:p w14:paraId="7055877D"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Fair value at June 30, 2024</w:t>
                  </w:r>
                </w:p>
              </w:tc>
            </w:tr>
            <w:tr w:rsidR="0085581F" w:rsidRPr="0085581F" w14:paraId="6C48405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1155" w:type="dxa"/>
                  <w:vMerge/>
                  <w:tcBorders>
                    <w:top w:val="nil"/>
                    <w:left w:val="nil"/>
                    <w:bottom w:val="single" w:sz="12" w:space="0" w:color="9F9F9F"/>
                    <w:right w:val="nil"/>
                    <w:tl2br w:val="nil"/>
                    <w:tr2bl w:val="nil"/>
                  </w:tcBorders>
                  <w:shd w:val="clear" w:color="FFFFFF" w:fill="000031"/>
                  <w:tcMar>
                    <w:left w:w="0" w:type="dxa"/>
                    <w:right w:w="0" w:type="dxa"/>
                  </w:tcMar>
                  <w:vAlign w:val="center"/>
                </w:tcPr>
                <w:p w14:paraId="3851340C"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p>
              </w:tc>
              <w:tc>
                <w:tcPr>
                  <w:tcW w:w="4905" w:type="dxa"/>
                  <w:vMerge/>
                  <w:tcBorders>
                    <w:top w:val="nil"/>
                    <w:left w:val="nil"/>
                    <w:bottom w:val="single" w:sz="12" w:space="0" w:color="9F9F9F"/>
                    <w:right w:val="nil"/>
                    <w:tl2br w:val="nil"/>
                    <w:tr2bl w:val="nil"/>
                  </w:tcBorders>
                  <w:shd w:val="clear" w:color="FFFFFF" w:fill="000031"/>
                  <w:tcMar>
                    <w:left w:w="0" w:type="dxa"/>
                    <w:right w:w="0" w:type="dxa"/>
                  </w:tcMar>
                  <w:vAlign w:val="center"/>
                </w:tcPr>
                <w:p w14:paraId="1E468149"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p>
              </w:tc>
              <w:tc>
                <w:tcPr>
                  <w:tcW w:w="975" w:type="dxa"/>
                  <w:vMerge/>
                  <w:tcBorders>
                    <w:top w:val="nil"/>
                    <w:left w:val="nil"/>
                    <w:bottom w:val="single" w:sz="12" w:space="0" w:color="9F9F9F"/>
                    <w:right w:val="nil"/>
                    <w:tl2br w:val="nil"/>
                    <w:tr2bl w:val="nil"/>
                  </w:tcBorders>
                  <w:shd w:val="clear" w:color="FFFFFF" w:fill="000031"/>
                  <w:tcMar>
                    <w:left w:w="0" w:type="dxa"/>
                    <w:right w:w="0" w:type="dxa"/>
                  </w:tcMar>
                  <w:vAlign w:val="center"/>
                </w:tcPr>
                <w:p w14:paraId="11DA879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p>
              </w:tc>
              <w:tc>
                <w:tcPr>
                  <w:tcW w:w="975" w:type="dxa"/>
                  <w:vMerge/>
                  <w:tcBorders>
                    <w:top w:val="nil"/>
                    <w:left w:val="nil"/>
                    <w:bottom w:val="single" w:sz="12" w:space="0" w:color="9F9F9F"/>
                    <w:right w:val="nil"/>
                    <w:tl2br w:val="nil"/>
                    <w:tr2bl w:val="nil"/>
                  </w:tcBorders>
                  <w:shd w:val="clear" w:color="FFFFFF" w:fill="000031"/>
                  <w:tcMar>
                    <w:left w:w="0" w:type="dxa"/>
                    <w:right w:w="0" w:type="dxa"/>
                  </w:tcMar>
                  <w:vAlign w:val="center"/>
                </w:tcPr>
                <w:p w14:paraId="07907CEF"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p>
              </w:tc>
              <w:tc>
                <w:tcPr>
                  <w:tcW w:w="975" w:type="dxa"/>
                  <w:vMerge/>
                  <w:tcBorders>
                    <w:top w:val="nil"/>
                    <w:left w:val="nil"/>
                    <w:bottom w:val="single" w:sz="12" w:space="0" w:color="9F9F9F"/>
                    <w:right w:val="nil"/>
                    <w:tl2br w:val="nil"/>
                    <w:tr2bl w:val="nil"/>
                  </w:tcBorders>
                  <w:shd w:val="clear" w:color="FFFFFF" w:fill="000031"/>
                  <w:tcMar>
                    <w:left w:w="0" w:type="dxa"/>
                    <w:right w:w="0" w:type="dxa"/>
                  </w:tcMar>
                  <w:vAlign w:val="center"/>
                </w:tcPr>
                <w:p w14:paraId="4D157E77"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p>
              </w:tc>
              <w:tc>
                <w:tcPr>
                  <w:tcW w:w="975" w:type="dxa"/>
                  <w:tcBorders>
                    <w:top w:val="nil"/>
                    <w:left w:val="nil"/>
                    <w:bottom w:val="single" w:sz="12" w:space="0" w:color="9F9F9F"/>
                    <w:right w:val="nil"/>
                    <w:tl2br w:val="nil"/>
                    <w:tr2bl w:val="nil"/>
                  </w:tcBorders>
                  <w:shd w:val="clear" w:color="FFFFFF" w:fill="000031"/>
                  <w:tcMar>
                    <w:left w:w="40" w:type="dxa"/>
                    <w:right w:w="40" w:type="dxa"/>
                  </w:tcMar>
                  <w:vAlign w:val="center"/>
                </w:tcPr>
                <w:p w14:paraId="4CA18A6C"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(100% in NIS million)</w:t>
                  </w:r>
                </w:p>
              </w:tc>
            </w:tr>
            <w:tr w:rsidR="0085581F" w:rsidRPr="0085581F" w14:paraId="72754F1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5" w:type="dxa"/>
                  <w:vMerge w:val="restart"/>
                  <w:tcBorders>
                    <w:top w:val="single" w:sz="12" w:space="0" w:color="9F9F9F"/>
                    <w:left w:val="nil"/>
                    <w:bottom w:val="nil"/>
                    <w:right w:val="nil"/>
                    <w:tl2br w:val="nil"/>
                    <w:tr2bl w:val="nil"/>
                  </w:tcBorders>
                  <w:shd w:val="clear" w:color="auto" w:fill="auto"/>
                  <w:tcMar>
                    <w:left w:w="40" w:type="dxa"/>
                    <w:right w:w="40" w:type="dxa"/>
                  </w:tcMar>
                  <w:vAlign w:val="center"/>
                </w:tcPr>
                <w:p w14:paraId="2AD9A4D9"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6"/>
                      <w:szCs w:val="16"/>
                    </w:rPr>
                  </w:pPr>
                  <w:r w:rsidRPr="0085581F">
                    <w:rPr>
                      <w:rFonts w:asciiTheme="majorBidi" w:hAnsiTheme="majorBidi" w:cstheme="majorBidi"/>
                      <w:b/>
                      <w:color w:val="000000"/>
                      <w:sz w:val="16"/>
                      <w:szCs w:val="16"/>
                    </w:rPr>
                    <w:t xml:space="preserve">Tel </w:t>
                  </w:r>
                  <w:proofErr w:type="spellStart"/>
                  <w:r w:rsidRPr="0085581F">
                    <w:rPr>
                      <w:rFonts w:asciiTheme="majorBidi" w:hAnsiTheme="majorBidi" w:cstheme="majorBidi"/>
                      <w:b/>
                      <w:color w:val="000000"/>
                      <w:sz w:val="16"/>
                      <w:szCs w:val="16"/>
                    </w:rPr>
                    <w:t>Hashomer</w:t>
                  </w:r>
                  <w:proofErr w:type="spellEnd"/>
                  <w:r w:rsidRPr="0085581F">
                    <w:rPr>
                      <w:rFonts w:asciiTheme="majorBidi" w:hAnsiTheme="majorBidi" w:cstheme="majorBidi"/>
                      <w:b/>
                      <w:color w:val="000000"/>
                      <w:sz w:val="16"/>
                      <w:szCs w:val="16"/>
                    </w:rPr>
                    <w:t xml:space="preserve"> Rental Apartments</w:t>
                  </w:r>
                </w:p>
              </w:tc>
              <w:tc>
                <w:tcPr>
                  <w:tcW w:w="4905" w:type="dxa"/>
                  <w:tcBorders>
                    <w:top w:val="single" w:sz="12" w:space="0" w:color="9F9F9F"/>
                    <w:left w:val="nil"/>
                    <w:bottom w:val="nil"/>
                    <w:right w:val="nil"/>
                    <w:tl2br w:val="nil"/>
                    <w:tr2bl w:val="nil"/>
                  </w:tcBorders>
                  <w:shd w:val="clear" w:color="auto" w:fill="auto"/>
                  <w:tcMar>
                    <w:left w:w="40" w:type="dxa"/>
                    <w:right w:w="40" w:type="dxa"/>
                  </w:tcMar>
                  <w:vAlign w:val="center"/>
                </w:tcPr>
                <w:p w14:paraId="7A95DEE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Four residential buildings with 243 rental apartments</w:t>
                  </w:r>
                </w:p>
              </w:tc>
              <w:tc>
                <w:tcPr>
                  <w:tcW w:w="975" w:type="dxa"/>
                  <w:vMerge w:val="restart"/>
                  <w:tcBorders>
                    <w:top w:val="single" w:sz="12" w:space="0" w:color="9F9F9F"/>
                    <w:left w:val="nil"/>
                    <w:bottom w:val="nil"/>
                    <w:right w:val="nil"/>
                    <w:tl2br w:val="nil"/>
                    <w:tr2bl w:val="nil"/>
                  </w:tcBorders>
                  <w:shd w:val="clear" w:color="auto" w:fill="auto"/>
                  <w:tcMar>
                    <w:left w:w="40" w:type="dxa"/>
                    <w:right w:w="40" w:type="dxa"/>
                  </w:tcMar>
                  <w:vAlign w:val="center"/>
                </w:tcPr>
                <w:p w14:paraId="6294A44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30,700</w:t>
                  </w:r>
                </w:p>
              </w:tc>
              <w:tc>
                <w:tcPr>
                  <w:tcW w:w="975" w:type="dxa"/>
                  <w:vMerge w:val="restart"/>
                  <w:tcBorders>
                    <w:top w:val="single" w:sz="12" w:space="0" w:color="9F9F9F"/>
                    <w:left w:val="nil"/>
                    <w:bottom w:val="nil"/>
                    <w:right w:val="nil"/>
                    <w:tl2br w:val="nil"/>
                    <w:tr2bl w:val="nil"/>
                  </w:tcBorders>
                  <w:shd w:val="clear" w:color="auto" w:fill="auto"/>
                  <w:tcMar>
                    <w:left w:w="40" w:type="dxa"/>
                    <w:right w:w="40" w:type="dxa"/>
                  </w:tcMar>
                  <w:vAlign w:val="center"/>
                </w:tcPr>
                <w:p w14:paraId="7B6FDEE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100%</w:t>
                  </w:r>
                </w:p>
              </w:tc>
              <w:tc>
                <w:tcPr>
                  <w:tcW w:w="975" w:type="dxa"/>
                  <w:vMerge w:val="restart"/>
                  <w:tcBorders>
                    <w:top w:val="single" w:sz="12" w:space="0" w:color="9F9F9F"/>
                    <w:left w:val="nil"/>
                    <w:bottom w:val="nil"/>
                    <w:right w:val="nil"/>
                    <w:tl2br w:val="nil"/>
                    <w:tr2bl w:val="nil"/>
                  </w:tcBorders>
                  <w:shd w:val="clear" w:color="auto" w:fill="auto"/>
                  <w:tcMar>
                    <w:left w:w="40" w:type="dxa"/>
                    <w:right w:w="40" w:type="dxa"/>
                  </w:tcMar>
                  <w:vAlign w:val="center"/>
                </w:tcPr>
                <w:p w14:paraId="0DC8632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TBD</w:t>
                  </w:r>
                </w:p>
              </w:tc>
              <w:tc>
                <w:tcPr>
                  <w:tcW w:w="975" w:type="dxa"/>
                  <w:vMerge w:val="restart"/>
                  <w:tcBorders>
                    <w:top w:val="single" w:sz="12" w:space="0" w:color="9F9F9F"/>
                    <w:left w:val="nil"/>
                    <w:bottom w:val="nil"/>
                    <w:right w:val="nil"/>
                    <w:tl2br w:val="nil"/>
                    <w:tr2bl w:val="nil"/>
                  </w:tcBorders>
                  <w:shd w:val="clear" w:color="auto" w:fill="auto"/>
                  <w:tcMar>
                    <w:left w:w="40" w:type="dxa"/>
                    <w:right w:w="40" w:type="dxa"/>
                  </w:tcMar>
                  <w:vAlign w:val="center"/>
                </w:tcPr>
                <w:p w14:paraId="5B915BA2"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302</w:t>
                  </w:r>
                </w:p>
              </w:tc>
            </w:tr>
            <w:tr w:rsidR="0085581F" w:rsidRPr="0085581F" w14:paraId="3BD2FF9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155" w:type="dxa"/>
                  <w:vMerge/>
                  <w:tcBorders>
                    <w:top w:val="nil"/>
                    <w:left w:val="nil"/>
                    <w:bottom w:val="single" w:sz="12" w:space="0" w:color="000000"/>
                    <w:right w:val="nil"/>
                    <w:tl2br w:val="nil"/>
                    <w:tr2bl w:val="nil"/>
                  </w:tcBorders>
                  <w:shd w:val="clear" w:color="auto" w:fill="auto"/>
                  <w:tcMar>
                    <w:left w:w="0" w:type="dxa"/>
                    <w:right w:w="0" w:type="dxa"/>
                  </w:tcMar>
                  <w:vAlign w:val="center"/>
                </w:tcPr>
                <w:p w14:paraId="1967D4C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6"/>
                      <w:szCs w:val="16"/>
                    </w:rPr>
                  </w:pPr>
                </w:p>
              </w:tc>
              <w:tc>
                <w:tcPr>
                  <w:tcW w:w="4905" w:type="dxa"/>
                  <w:tcBorders>
                    <w:top w:val="nil"/>
                    <w:left w:val="nil"/>
                    <w:bottom w:val="single" w:sz="12" w:space="0" w:color="000000"/>
                    <w:right w:val="nil"/>
                    <w:tl2br w:val="nil"/>
                    <w:tr2bl w:val="nil"/>
                  </w:tcBorders>
                  <w:shd w:val="clear" w:color="auto" w:fill="auto"/>
                  <w:tcMar>
                    <w:left w:w="40" w:type="dxa"/>
                    <w:right w:w="40" w:type="dxa"/>
                  </w:tcMar>
                  <w:vAlign w:val="center"/>
                </w:tcPr>
                <w:p w14:paraId="3F5AFC1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(Before additional rights/betterment tax benefits) for long term rental of  20 years</w:t>
                  </w:r>
                </w:p>
              </w:tc>
              <w:tc>
                <w:tcPr>
                  <w:tcW w:w="975" w:type="dxa"/>
                  <w:vMerge/>
                  <w:tcBorders>
                    <w:top w:val="nil"/>
                    <w:left w:val="nil"/>
                    <w:bottom w:val="single" w:sz="12" w:space="0" w:color="000000"/>
                    <w:right w:val="nil"/>
                    <w:tl2br w:val="nil"/>
                    <w:tr2bl w:val="nil"/>
                  </w:tcBorders>
                  <w:shd w:val="clear" w:color="auto" w:fill="auto"/>
                  <w:tcMar>
                    <w:left w:w="0" w:type="dxa"/>
                    <w:right w:w="0" w:type="dxa"/>
                  </w:tcMar>
                  <w:vAlign w:val="center"/>
                </w:tcPr>
                <w:p w14:paraId="208696E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p>
              </w:tc>
              <w:tc>
                <w:tcPr>
                  <w:tcW w:w="975" w:type="dxa"/>
                  <w:vMerge/>
                  <w:tcBorders>
                    <w:top w:val="nil"/>
                    <w:left w:val="nil"/>
                    <w:bottom w:val="single" w:sz="12" w:space="0" w:color="000000"/>
                    <w:right w:val="nil"/>
                    <w:tl2br w:val="nil"/>
                    <w:tr2bl w:val="nil"/>
                  </w:tcBorders>
                  <w:shd w:val="clear" w:color="auto" w:fill="auto"/>
                  <w:tcMar>
                    <w:left w:w="0" w:type="dxa"/>
                    <w:right w:w="0" w:type="dxa"/>
                  </w:tcMar>
                  <w:vAlign w:val="center"/>
                </w:tcPr>
                <w:p w14:paraId="66575EB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p>
              </w:tc>
              <w:tc>
                <w:tcPr>
                  <w:tcW w:w="975" w:type="dxa"/>
                  <w:vMerge/>
                  <w:tcBorders>
                    <w:top w:val="nil"/>
                    <w:left w:val="nil"/>
                    <w:bottom w:val="single" w:sz="12" w:space="0" w:color="000000"/>
                    <w:right w:val="nil"/>
                    <w:tl2br w:val="nil"/>
                    <w:tr2bl w:val="nil"/>
                  </w:tcBorders>
                  <w:shd w:val="clear" w:color="auto" w:fill="auto"/>
                  <w:tcMar>
                    <w:left w:w="0" w:type="dxa"/>
                    <w:right w:w="0" w:type="dxa"/>
                  </w:tcMar>
                  <w:vAlign w:val="center"/>
                </w:tcPr>
                <w:p w14:paraId="40D8E9D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p>
              </w:tc>
              <w:tc>
                <w:tcPr>
                  <w:tcW w:w="975" w:type="dxa"/>
                  <w:vMerge/>
                  <w:tcBorders>
                    <w:top w:val="nil"/>
                    <w:left w:val="nil"/>
                    <w:bottom w:val="single" w:sz="12" w:space="0" w:color="000000"/>
                    <w:right w:val="nil"/>
                    <w:tl2br w:val="nil"/>
                    <w:tr2bl w:val="nil"/>
                  </w:tcBorders>
                  <w:shd w:val="clear" w:color="auto" w:fill="auto"/>
                  <w:tcMar>
                    <w:left w:w="0" w:type="dxa"/>
                    <w:right w:w="0" w:type="dxa"/>
                  </w:tcMar>
                  <w:vAlign w:val="center"/>
                </w:tcPr>
                <w:p w14:paraId="5C90D89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p>
              </w:tc>
            </w:tr>
            <w:tr w:rsidR="0085581F" w:rsidRPr="0085581F" w14:paraId="39D1510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115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28A4F830"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6"/>
                      <w:szCs w:val="16"/>
                    </w:rPr>
                  </w:pPr>
                  <w:r w:rsidRPr="0085581F">
                    <w:rPr>
                      <w:rFonts w:asciiTheme="majorBidi" w:hAnsiTheme="majorBidi" w:cstheme="majorBidi"/>
                      <w:b/>
                      <w:color w:val="000000"/>
                      <w:sz w:val="16"/>
                      <w:szCs w:val="16"/>
                    </w:rPr>
                    <w:t>Beit Cal</w:t>
                  </w:r>
                </w:p>
              </w:tc>
              <w:tc>
                <w:tcPr>
                  <w:tcW w:w="490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5BD20E38" w14:textId="6DD0543E"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 xml:space="preserve">Development of mixed-use towers with 70,000 </w:t>
                  </w:r>
                  <w:proofErr w:type="spellStart"/>
                  <w:r w:rsidRPr="0085581F">
                    <w:rPr>
                      <w:rFonts w:asciiTheme="majorBidi" w:hAnsiTheme="majorBidi" w:cstheme="majorBidi"/>
                      <w:color w:val="000000"/>
                      <w:sz w:val="16"/>
                      <w:szCs w:val="16"/>
                    </w:rPr>
                    <w:t>sq.m</w:t>
                  </w:r>
                  <w:proofErr w:type="spellEnd"/>
                  <w:r w:rsidRPr="0085581F">
                    <w:rPr>
                      <w:rFonts w:asciiTheme="majorBidi" w:hAnsiTheme="majorBidi" w:cstheme="majorBidi"/>
                      <w:color w:val="000000"/>
                      <w:sz w:val="16"/>
                      <w:szCs w:val="16"/>
                    </w:rPr>
                    <w:t xml:space="preserve"> of office space, 11,000 </w:t>
                  </w:r>
                  <w:proofErr w:type="spellStart"/>
                  <w:r w:rsidRPr="0085581F">
                    <w:rPr>
                      <w:rFonts w:asciiTheme="majorBidi" w:hAnsiTheme="majorBidi" w:cstheme="majorBidi"/>
                      <w:color w:val="000000"/>
                      <w:sz w:val="16"/>
                      <w:szCs w:val="16"/>
                    </w:rPr>
                    <w:t>sq.m</w:t>
                  </w:r>
                  <w:proofErr w:type="spellEnd"/>
                  <w:r w:rsidRPr="0085581F">
                    <w:rPr>
                      <w:rFonts w:asciiTheme="majorBidi" w:hAnsiTheme="majorBidi" w:cstheme="majorBidi"/>
                      <w:color w:val="000000"/>
                      <w:sz w:val="16"/>
                      <w:szCs w:val="16"/>
                    </w:rPr>
                    <w:t xml:space="preserve"> of residential space and 6,300 </w:t>
                  </w:r>
                  <w:proofErr w:type="spellStart"/>
                  <w:r w:rsidRPr="0085581F">
                    <w:rPr>
                      <w:rFonts w:asciiTheme="majorBidi" w:hAnsiTheme="majorBidi" w:cstheme="majorBidi"/>
                      <w:color w:val="000000"/>
                      <w:sz w:val="16"/>
                      <w:szCs w:val="16"/>
                    </w:rPr>
                    <w:t>sq.m</w:t>
                  </w:r>
                  <w:proofErr w:type="spellEnd"/>
                  <w:r w:rsidRPr="0085581F">
                    <w:rPr>
                      <w:rFonts w:asciiTheme="majorBidi" w:hAnsiTheme="majorBidi" w:cstheme="majorBidi"/>
                      <w:color w:val="000000"/>
                      <w:sz w:val="16"/>
                      <w:szCs w:val="16"/>
                    </w:rPr>
                    <w:t xml:space="preserve"> of commercial space, at this stage the existing building is rented for a period of one year with two options for extension (until the end of 2025)</w:t>
                  </w:r>
                  <w:r w:rsidR="00271F4D">
                    <w:rPr>
                      <w:rFonts w:asciiTheme="majorBidi" w:hAnsiTheme="majorBidi" w:cstheme="majorBidi"/>
                      <w:color w:val="000000"/>
                      <w:sz w:val="16"/>
                      <w:szCs w:val="16"/>
                    </w:rPr>
                    <w:t>**</w:t>
                  </w:r>
                </w:p>
              </w:tc>
              <w:tc>
                <w:tcPr>
                  <w:tcW w:w="97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247870C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90,100</w:t>
                  </w:r>
                </w:p>
              </w:tc>
              <w:tc>
                <w:tcPr>
                  <w:tcW w:w="97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3B8C6F58"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100%</w:t>
                  </w:r>
                </w:p>
              </w:tc>
              <w:tc>
                <w:tcPr>
                  <w:tcW w:w="97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15985B0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TBD</w:t>
                  </w:r>
                </w:p>
              </w:tc>
              <w:tc>
                <w:tcPr>
                  <w:tcW w:w="97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10E845F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415</w:t>
                  </w:r>
                </w:p>
              </w:tc>
            </w:tr>
            <w:tr w:rsidR="0085581F" w:rsidRPr="0085581F" w14:paraId="0328625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115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2E1E3EC7"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6"/>
                      <w:szCs w:val="16"/>
                    </w:rPr>
                  </w:pPr>
                  <w:proofErr w:type="spellStart"/>
                  <w:r w:rsidRPr="0085581F">
                    <w:rPr>
                      <w:rFonts w:asciiTheme="majorBidi" w:hAnsiTheme="majorBidi" w:cstheme="majorBidi"/>
                      <w:b/>
                      <w:color w:val="000000"/>
                      <w:sz w:val="16"/>
                      <w:szCs w:val="16"/>
                    </w:rPr>
                    <w:t>Brickel</w:t>
                  </w:r>
                  <w:proofErr w:type="spellEnd"/>
                  <w:r w:rsidRPr="0085581F">
                    <w:rPr>
                      <w:rFonts w:asciiTheme="majorBidi" w:hAnsiTheme="majorBidi" w:cstheme="majorBidi"/>
                      <w:b/>
                      <w:color w:val="000000"/>
                      <w:sz w:val="16"/>
                      <w:szCs w:val="16"/>
                    </w:rPr>
                    <w:t>, Miami</w:t>
                  </w:r>
                </w:p>
              </w:tc>
              <w:tc>
                <w:tcPr>
                  <w:tcW w:w="490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595B2BD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 xml:space="preserve">Construction of a 61 </w:t>
                  </w:r>
                  <w:proofErr w:type="spellStart"/>
                  <w:r w:rsidRPr="0085581F">
                    <w:rPr>
                      <w:rFonts w:asciiTheme="majorBidi" w:hAnsiTheme="majorBidi" w:cstheme="majorBidi"/>
                      <w:color w:val="000000"/>
                      <w:sz w:val="16"/>
                      <w:szCs w:val="16"/>
                    </w:rPr>
                    <w:t>storey</w:t>
                  </w:r>
                  <w:proofErr w:type="spellEnd"/>
                  <w:r w:rsidRPr="0085581F">
                    <w:rPr>
                      <w:rFonts w:asciiTheme="majorBidi" w:hAnsiTheme="majorBidi" w:cstheme="majorBidi"/>
                      <w:color w:val="000000"/>
                      <w:sz w:val="16"/>
                      <w:szCs w:val="16"/>
                    </w:rPr>
                    <w:t xml:space="preserve"> mixed use tower, the application to increase the number of residential apartments to 504 units in the project was approved.</w:t>
                  </w:r>
                </w:p>
              </w:tc>
              <w:tc>
                <w:tcPr>
                  <w:tcW w:w="97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19AD9EE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42,000</w:t>
                  </w:r>
                </w:p>
              </w:tc>
              <w:tc>
                <w:tcPr>
                  <w:tcW w:w="97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34B544C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100%</w:t>
                  </w:r>
                </w:p>
              </w:tc>
              <w:tc>
                <w:tcPr>
                  <w:tcW w:w="97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291B753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TBD</w:t>
                  </w:r>
                </w:p>
              </w:tc>
              <w:tc>
                <w:tcPr>
                  <w:tcW w:w="97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1D6D3F7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223</w:t>
                  </w:r>
                </w:p>
              </w:tc>
            </w:tr>
            <w:tr w:rsidR="0085581F" w:rsidRPr="0085581F" w14:paraId="3938B52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115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3F51809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6"/>
                      <w:szCs w:val="16"/>
                    </w:rPr>
                  </w:pPr>
                  <w:proofErr w:type="spellStart"/>
                  <w:r w:rsidRPr="0085581F">
                    <w:rPr>
                      <w:rFonts w:asciiTheme="majorBidi" w:hAnsiTheme="majorBidi" w:cstheme="majorBidi"/>
                      <w:b/>
                      <w:color w:val="000000"/>
                      <w:sz w:val="16"/>
                      <w:szCs w:val="16"/>
                    </w:rPr>
                    <w:t>Promenada</w:t>
                  </w:r>
                  <w:proofErr w:type="spellEnd"/>
                  <w:r w:rsidRPr="0085581F">
                    <w:rPr>
                      <w:rFonts w:asciiTheme="majorBidi" w:hAnsiTheme="majorBidi" w:cstheme="majorBidi"/>
                      <w:b/>
                      <w:color w:val="000000"/>
                      <w:sz w:val="16"/>
                      <w:szCs w:val="16"/>
                    </w:rPr>
                    <w:t>, Warsaw</w:t>
                  </w:r>
                </w:p>
              </w:tc>
              <w:tc>
                <w:tcPr>
                  <w:tcW w:w="490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34BF0AA8"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 xml:space="preserve">Continuation of Stage B of the </w:t>
                  </w:r>
                  <w:proofErr w:type="spellStart"/>
                  <w:r w:rsidRPr="0085581F">
                    <w:rPr>
                      <w:rFonts w:asciiTheme="majorBidi" w:hAnsiTheme="majorBidi" w:cstheme="majorBidi"/>
                      <w:color w:val="000000"/>
                      <w:sz w:val="16"/>
                      <w:szCs w:val="16"/>
                    </w:rPr>
                    <w:t>Promenada</w:t>
                  </w:r>
                  <w:proofErr w:type="spellEnd"/>
                  <w:r w:rsidRPr="0085581F">
                    <w:rPr>
                      <w:rFonts w:asciiTheme="majorBidi" w:hAnsiTheme="majorBidi" w:cstheme="majorBidi"/>
                      <w:color w:val="000000"/>
                      <w:sz w:val="16"/>
                      <w:szCs w:val="16"/>
                    </w:rPr>
                    <w:t xml:space="preserve"> Village rental residential project, includes 1,200 apartments for sale and rental (45,000 </w:t>
                  </w:r>
                  <w:proofErr w:type="spellStart"/>
                  <w:r w:rsidRPr="0085581F">
                    <w:rPr>
                      <w:rFonts w:asciiTheme="majorBidi" w:hAnsiTheme="majorBidi" w:cstheme="majorBidi"/>
                      <w:color w:val="000000"/>
                      <w:sz w:val="16"/>
                      <w:szCs w:val="16"/>
                    </w:rPr>
                    <w:t>sq.m</w:t>
                  </w:r>
                  <w:proofErr w:type="spellEnd"/>
                  <w:r w:rsidRPr="0085581F">
                    <w:rPr>
                      <w:rFonts w:asciiTheme="majorBidi" w:hAnsiTheme="majorBidi" w:cstheme="majorBidi"/>
                      <w:color w:val="000000"/>
                      <w:sz w:val="16"/>
                      <w:szCs w:val="16"/>
                    </w:rPr>
                    <w:t xml:space="preserve">) and 5,300 </w:t>
                  </w:r>
                  <w:proofErr w:type="spellStart"/>
                  <w:r w:rsidRPr="0085581F">
                    <w:rPr>
                      <w:rFonts w:asciiTheme="majorBidi" w:hAnsiTheme="majorBidi" w:cstheme="majorBidi"/>
                      <w:color w:val="000000"/>
                      <w:sz w:val="16"/>
                      <w:szCs w:val="16"/>
                    </w:rPr>
                    <w:t>sq.m</w:t>
                  </w:r>
                  <w:proofErr w:type="spellEnd"/>
                  <w:r w:rsidRPr="0085581F">
                    <w:rPr>
                      <w:rFonts w:asciiTheme="majorBidi" w:hAnsiTheme="majorBidi" w:cstheme="majorBidi"/>
                      <w:color w:val="000000"/>
                      <w:sz w:val="16"/>
                      <w:szCs w:val="16"/>
                    </w:rPr>
                    <w:t xml:space="preserve"> of commercial space on the ground floor adjacent to the existing Atrium Promenade. It is built on a plot of land owned by the Company that is currently used as a parking lot.</w:t>
                  </w:r>
                </w:p>
              </w:tc>
              <w:tc>
                <w:tcPr>
                  <w:tcW w:w="97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2008ABC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50,300</w:t>
                  </w:r>
                </w:p>
              </w:tc>
              <w:tc>
                <w:tcPr>
                  <w:tcW w:w="97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07B35FA5"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100%</w:t>
                  </w:r>
                </w:p>
              </w:tc>
              <w:tc>
                <w:tcPr>
                  <w:tcW w:w="97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0768E8B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TBD</w:t>
                  </w:r>
                </w:p>
              </w:tc>
              <w:tc>
                <w:tcPr>
                  <w:tcW w:w="975" w:type="dxa"/>
                  <w:tcBorders>
                    <w:top w:val="single" w:sz="12" w:space="0" w:color="000000"/>
                    <w:left w:val="nil"/>
                    <w:bottom w:val="single" w:sz="12" w:space="0" w:color="000000"/>
                    <w:right w:val="nil"/>
                    <w:tl2br w:val="nil"/>
                    <w:tr2bl w:val="nil"/>
                  </w:tcBorders>
                  <w:shd w:val="clear" w:color="auto" w:fill="auto"/>
                  <w:tcMar>
                    <w:left w:w="40" w:type="dxa"/>
                    <w:right w:w="40" w:type="dxa"/>
                  </w:tcMar>
                  <w:vAlign w:val="center"/>
                </w:tcPr>
                <w:p w14:paraId="5EB3F7D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16"/>
                      <w:szCs w:val="16"/>
                    </w:rPr>
                  </w:pPr>
                  <w:r w:rsidRPr="0085581F">
                    <w:rPr>
                      <w:rFonts w:asciiTheme="majorBidi" w:hAnsiTheme="majorBidi" w:cstheme="majorBidi"/>
                      <w:color w:val="000000"/>
                      <w:sz w:val="16"/>
                      <w:szCs w:val="16"/>
                    </w:rPr>
                    <w:t>238</w:t>
                  </w:r>
                </w:p>
              </w:tc>
            </w:tr>
            <w:tr w:rsidR="0085581F" w:rsidRPr="0085581F" w14:paraId="2584FBF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5" w:type="dxa"/>
                  <w:tcBorders>
                    <w:top w:val="single" w:sz="12" w:space="0" w:color="000000"/>
                    <w:left w:val="nil"/>
                    <w:bottom w:val="nil"/>
                    <w:right w:val="nil"/>
                    <w:tl2br w:val="nil"/>
                    <w:tr2bl w:val="nil"/>
                  </w:tcBorders>
                  <w:shd w:val="clear" w:color="FFFFFF" w:fill="000031"/>
                  <w:tcMar>
                    <w:left w:w="0" w:type="dxa"/>
                    <w:right w:w="0" w:type="dxa"/>
                  </w:tcMar>
                  <w:vAlign w:val="center"/>
                </w:tcPr>
                <w:p w14:paraId="4F8A40CE"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16"/>
                      <w:szCs w:val="16"/>
                    </w:rPr>
                  </w:pPr>
                </w:p>
              </w:tc>
              <w:tc>
                <w:tcPr>
                  <w:tcW w:w="4905" w:type="dxa"/>
                  <w:tcBorders>
                    <w:top w:val="single" w:sz="12" w:space="0" w:color="000000"/>
                    <w:left w:val="nil"/>
                    <w:bottom w:val="nil"/>
                    <w:right w:val="nil"/>
                    <w:tl2br w:val="nil"/>
                    <w:tr2bl w:val="nil"/>
                  </w:tcBorders>
                  <w:shd w:val="clear" w:color="FFFFFF" w:fill="000031"/>
                  <w:tcMar>
                    <w:left w:w="0" w:type="dxa"/>
                    <w:right w:w="0" w:type="dxa"/>
                  </w:tcMar>
                  <w:vAlign w:val="center"/>
                </w:tcPr>
                <w:p w14:paraId="05E4FC0D"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sz w:val="16"/>
                      <w:szCs w:val="16"/>
                    </w:rPr>
                  </w:pPr>
                </w:p>
              </w:tc>
              <w:tc>
                <w:tcPr>
                  <w:tcW w:w="975" w:type="dxa"/>
                  <w:tcBorders>
                    <w:top w:val="single" w:sz="12" w:space="0" w:color="000000"/>
                    <w:left w:val="nil"/>
                    <w:bottom w:val="nil"/>
                    <w:right w:val="nil"/>
                    <w:tl2br w:val="nil"/>
                    <w:tr2bl w:val="nil"/>
                  </w:tcBorders>
                  <w:shd w:val="clear" w:color="FFFFFF" w:fill="000031"/>
                  <w:tcMar>
                    <w:left w:w="40" w:type="dxa"/>
                    <w:right w:w="40" w:type="dxa"/>
                  </w:tcMar>
                  <w:vAlign w:val="center"/>
                </w:tcPr>
                <w:p w14:paraId="3CA630B3"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16"/>
                      <w:szCs w:val="16"/>
                    </w:rPr>
                  </w:pPr>
                  <w:r w:rsidRPr="0085581F">
                    <w:rPr>
                      <w:rFonts w:asciiTheme="majorBidi" w:hAnsiTheme="majorBidi" w:cstheme="majorBidi"/>
                      <w:color w:val="FFFFFF"/>
                      <w:sz w:val="16"/>
                      <w:szCs w:val="16"/>
                    </w:rPr>
                    <w:t> </w:t>
                  </w:r>
                  <w:r w:rsidRPr="0085581F">
                    <w:rPr>
                      <w:rFonts w:asciiTheme="majorBidi" w:hAnsiTheme="majorBidi" w:cstheme="majorBidi"/>
                      <w:b/>
                      <w:color w:val="FFFFFF"/>
                      <w:sz w:val="16"/>
                      <w:szCs w:val="16"/>
                    </w:rPr>
                    <w:t>Total</w:t>
                  </w:r>
                </w:p>
              </w:tc>
              <w:tc>
                <w:tcPr>
                  <w:tcW w:w="975" w:type="dxa"/>
                  <w:tcBorders>
                    <w:top w:val="single" w:sz="12" w:space="0" w:color="000000"/>
                    <w:left w:val="nil"/>
                    <w:bottom w:val="nil"/>
                    <w:right w:val="nil"/>
                    <w:tl2br w:val="nil"/>
                    <w:tr2bl w:val="nil"/>
                  </w:tcBorders>
                  <w:shd w:val="clear" w:color="FFFFFF" w:fill="000031"/>
                  <w:tcMar>
                    <w:left w:w="0" w:type="dxa"/>
                    <w:right w:w="0" w:type="dxa"/>
                  </w:tcMar>
                  <w:vAlign w:val="center"/>
                </w:tcPr>
                <w:p w14:paraId="4EA722C9"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16"/>
                      <w:szCs w:val="16"/>
                    </w:rPr>
                  </w:pPr>
                </w:p>
              </w:tc>
              <w:tc>
                <w:tcPr>
                  <w:tcW w:w="975" w:type="dxa"/>
                  <w:tcBorders>
                    <w:top w:val="single" w:sz="12" w:space="0" w:color="000000"/>
                    <w:left w:val="nil"/>
                    <w:bottom w:val="nil"/>
                    <w:right w:val="nil"/>
                    <w:tl2br w:val="nil"/>
                    <w:tr2bl w:val="nil"/>
                  </w:tcBorders>
                  <w:shd w:val="clear" w:color="FFFFFF" w:fill="000031"/>
                  <w:tcMar>
                    <w:left w:w="0" w:type="dxa"/>
                    <w:right w:w="0" w:type="dxa"/>
                  </w:tcMar>
                  <w:vAlign w:val="center"/>
                </w:tcPr>
                <w:p w14:paraId="7CEE581A"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16"/>
                      <w:szCs w:val="16"/>
                    </w:rPr>
                  </w:pPr>
                </w:p>
              </w:tc>
              <w:tc>
                <w:tcPr>
                  <w:tcW w:w="975" w:type="dxa"/>
                  <w:tcBorders>
                    <w:top w:val="single" w:sz="12" w:space="0" w:color="000000"/>
                    <w:left w:val="nil"/>
                    <w:bottom w:val="nil"/>
                    <w:right w:val="nil"/>
                    <w:tl2br w:val="nil"/>
                    <w:tr2bl w:val="nil"/>
                  </w:tcBorders>
                  <w:shd w:val="clear" w:color="FFFFFF" w:fill="000031"/>
                  <w:tcMar>
                    <w:left w:w="40" w:type="dxa"/>
                    <w:right w:w="40" w:type="dxa"/>
                  </w:tcMar>
                  <w:vAlign w:val="center"/>
                </w:tcPr>
                <w:p w14:paraId="5EB6CA8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6"/>
                      <w:szCs w:val="16"/>
                    </w:rPr>
                  </w:pPr>
                  <w:r w:rsidRPr="0085581F">
                    <w:rPr>
                      <w:rFonts w:asciiTheme="majorBidi" w:hAnsiTheme="majorBidi" w:cstheme="majorBidi"/>
                      <w:b/>
                      <w:color w:val="FFFFFF"/>
                      <w:sz w:val="16"/>
                      <w:szCs w:val="16"/>
                    </w:rPr>
                    <w:t>1,178</w:t>
                  </w:r>
                </w:p>
              </w:tc>
            </w:tr>
            <w:tr w:rsidR="0085581F" w:rsidRPr="0085581F" w14:paraId="3BB75C23" w14:textId="77777777" w:rsidTr="00271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69"/>
              </w:trPr>
              <w:tc>
                <w:tcPr>
                  <w:tcW w:w="9960" w:type="dxa"/>
                  <w:gridSpan w:val="6"/>
                  <w:tcBorders>
                    <w:top w:val="nil"/>
                    <w:left w:val="nil"/>
                    <w:bottom w:val="nil"/>
                    <w:right w:val="nil"/>
                    <w:tl2br w:val="nil"/>
                    <w:tr2bl w:val="nil"/>
                  </w:tcBorders>
                  <w:shd w:val="clear" w:color="auto" w:fill="auto"/>
                  <w:noWrap/>
                  <w:tcMar>
                    <w:left w:w="40" w:type="dxa"/>
                    <w:right w:w="40" w:type="dxa"/>
                  </w:tcMar>
                </w:tcPr>
                <w:p w14:paraId="72E2DA54" w14:textId="550D9E87" w:rsidR="0085581F" w:rsidRDefault="0085581F" w:rsidP="00C64C16">
                  <w:pPr>
                    <w:spacing w:before="0" w:after="0" w:line="240" w:lineRule="auto"/>
                    <w:rPr>
                      <w:rFonts w:asciiTheme="majorBidi" w:hAnsiTheme="majorBidi" w:cstheme="majorBidi"/>
                      <w:color w:val="000000"/>
                      <w:sz w:val="16"/>
                      <w:szCs w:val="16"/>
                    </w:rPr>
                  </w:pPr>
                  <w:r w:rsidRPr="0085581F">
                    <w:rPr>
                      <w:rFonts w:asciiTheme="majorBidi" w:hAnsiTheme="majorBidi" w:cstheme="majorBidi"/>
                      <w:color w:val="000000"/>
                      <w:sz w:val="16"/>
                      <w:szCs w:val="16"/>
                    </w:rPr>
                    <w:t>* The foregoing data includes information about projects in planning and under construction (including expected additional space, completion schedules, completion costs and expected annual NOI) which constitute forward-looking information as defined by the Securities Law, 1968. The foregoing estimates are based on the Company's estimates to date, they are uncertain, may not materialize and are mainly outside the Company's control and depend, among other things and as aforesaid, on the economic situation and the real estate market in the various markets where the properties are located and in which the Company operates, as well as manifestation of the risk factors relevant to the Company's operations (as set out in section 28 of the chapter on the description of the Company’s operations in the</w:t>
                  </w:r>
                  <w:r w:rsidR="00306E02">
                    <w:rPr>
                      <w:rFonts w:asciiTheme="majorBidi" w:hAnsiTheme="majorBidi" w:cstheme="majorBidi"/>
                      <w:color w:val="000000"/>
                      <w:sz w:val="16"/>
                      <w:szCs w:val="16"/>
                    </w:rPr>
                    <w:t xml:space="preserve"> </w:t>
                  </w:r>
                  <w:r w:rsidRPr="0085581F">
                    <w:rPr>
                      <w:rFonts w:asciiTheme="majorBidi" w:hAnsiTheme="majorBidi" w:cstheme="majorBidi"/>
                      <w:color w:val="000000"/>
                      <w:sz w:val="16"/>
                      <w:szCs w:val="16"/>
                    </w:rPr>
                    <w:t>Company's Periodic Report for 2023). If the foregoing market conditions change or any of the risk factors materialize, it is possible that changes may apply in the estimated schedules, costs and NOI, respectively.</w:t>
                  </w:r>
                </w:p>
                <w:p w14:paraId="1E0975D8" w14:textId="14DFF081" w:rsidR="00271F4D" w:rsidRPr="00271F4D" w:rsidRDefault="00271F4D" w:rsidP="00271F4D">
                  <w:pPr>
                    <w:spacing w:line="240" w:lineRule="auto"/>
                    <w:rPr>
                      <w:rFonts w:asciiTheme="majorBidi" w:eastAsia="Ploni ML Medium AAA Medium" w:hAnsiTheme="majorBidi" w:cstheme="majorBidi"/>
                      <w:color w:val="000000"/>
                      <w:sz w:val="16"/>
                      <w:szCs w:val="16"/>
                      <w:lang w:val="en-IL"/>
                    </w:rPr>
                  </w:pPr>
                  <w:r>
                    <w:rPr>
                      <w:rFonts w:asciiTheme="majorBidi" w:eastAsia="Ploni ML Medium AAA Medium" w:hAnsiTheme="majorBidi" w:cstheme="majorBidi"/>
                      <w:color w:val="000000"/>
                      <w:sz w:val="16"/>
                      <w:szCs w:val="16"/>
                    </w:rPr>
                    <w:t>**</w:t>
                  </w:r>
                  <w:r w:rsidRPr="00271F4D">
                    <w:rPr>
                      <w:rFonts w:ascii="inherit" w:eastAsia="Times New Roman" w:hAnsi="inherit" w:cs="Courier New"/>
                      <w:color w:val="1F1F1F"/>
                      <w:sz w:val="42"/>
                      <w:szCs w:val="42"/>
                      <w:lang w:val="en" w:eastAsia="en-IL"/>
                    </w:rPr>
                    <w:t xml:space="preserve"> </w:t>
                  </w:r>
                  <w:r w:rsidRPr="00271F4D">
                    <w:rPr>
                      <w:rFonts w:asciiTheme="majorBidi" w:eastAsia="Ploni ML Medium AAA Medium" w:hAnsiTheme="majorBidi" w:cstheme="majorBidi"/>
                      <w:color w:val="000000"/>
                      <w:sz w:val="16"/>
                      <w:szCs w:val="16"/>
                      <w:lang w:val="en"/>
                    </w:rPr>
                    <w:t>In the future, the company will examine the economic programming for partial ownership of the building either by bringing in partners or by selling areas to potential buyers.</w:t>
                  </w:r>
                </w:p>
                <w:p w14:paraId="79C2A816" w14:textId="6BFAA753" w:rsidR="00271F4D" w:rsidRPr="0085581F" w:rsidRDefault="00271F4D" w:rsidP="0085581F">
                  <w:pPr>
                    <w:spacing w:before="0" w:after="0" w:line="240" w:lineRule="auto"/>
                    <w:jc w:val="left"/>
                    <w:rPr>
                      <w:rFonts w:asciiTheme="majorBidi" w:eastAsia="Ploni ML Medium AAA Medium" w:hAnsiTheme="majorBidi" w:cstheme="majorBidi"/>
                      <w:color w:val="000000"/>
                      <w:sz w:val="16"/>
                      <w:szCs w:val="16"/>
                      <w:lang w:val="en-IL"/>
                    </w:rPr>
                  </w:pPr>
                </w:p>
              </w:tc>
            </w:tr>
          </w:tbl>
          <w:p w14:paraId="04568635" w14:textId="77777777" w:rsidR="0085581F" w:rsidRPr="0085581F" w:rsidRDefault="0085581F" w:rsidP="0085581F">
            <w:pPr>
              <w:rPr>
                <w:rFonts w:asciiTheme="majorBidi" w:hAnsiTheme="majorBidi" w:cstheme="majorBidi"/>
              </w:rPr>
            </w:pPr>
          </w:p>
        </w:tc>
      </w:tr>
    </w:tbl>
    <w:bookmarkEnd w:id="46"/>
    <w:p w14:paraId="439E8FF6" w14:textId="77777777" w:rsidR="0085581F" w:rsidRPr="0085581F" w:rsidRDefault="0085581F" w:rsidP="004D7A72">
      <w:pPr>
        <w:keepNext/>
        <w:keepLines/>
        <w:numPr>
          <w:ilvl w:val="0"/>
          <w:numId w:val="35"/>
        </w:numPr>
        <w:tabs>
          <w:tab w:val="left" w:pos="425"/>
          <w:tab w:val="left" w:pos="707"/>
        </w:tabs>
        <w:contextualSpacing/>
        <w:outlineLvl w:val="2"/>
        <w:rPr>
          <w:rFonts w:asciiTheme="majorBidi" w:hAnsiTheme="majorBidi" w:cstheme="majorBidi"/>
          <w:sz w:val="21"/>
          <w:szCs w:val="21"/>
        </w:rPr>
      </w:pPr>
      <w:r w:rsidRPr="0085581F">
        <w:rPr>
          <w:rFonts w:asciiTheme="majorBidi" w:hAnsiTheme="majorBidi" w:cstheme="majorBidi"/>
          <w:sz w:val="21"/>
        </w:rPr>
        <w:lastRenderedPageBreak/>
        <w:t>Effect of the Macro-economic Environment on the Group’s operations</w:t>
      </w:r>
    </w:p>
    <w:p w14:paraId="3505A6D6" w14:textId="77777777" w:rsidR="0085581F" w:rsidRPr="0085581F" w:rsidRDefault="0085581F" w:rsidP="0085581F">
      <w:pPr>
        <w:keepLines/>
        <w:tabs>
          <w:tab w:val="left" w:pos="425"/>
          <w:tab w:val="left" w:pos="707"/>
        </w:tabs>
        <w:contextualSpacing/>
        <w:rPr>
          <w:rFonts w:asciiTheme="majorBidi" w:hAnsiTheme="majorBidi" w:cstheme="majorBidi"/>
          <w:sz w:val="21"/>
          <w:szCs w:val="21"/>
          <w:bdr w:val="none" w:sz="0" w:space="0" w:color="auto" w:frame="1"/>
        </w:rPr>
      </w:pPr>
      <w:bookmarkStart w:id="47" w:name="_Hlk150767351"/>
      <w:bookmarkStart w:id="48" w:name="_Hlk150767320"/>
      <w:r w:rsidRPr="0085581F">
        <w:rPr>
          <w:rFonts w:asciiTheme="majorBidi" w:hAnsiTheme="majorBidi" w:cstheme="majorBidi"/>
          <w:sz w:val="21"/>
          <w:bdr w:val="none" w:sz="0" w:space="0" w:color="auto" w:frame="1"/>
        </w:rPr>
        <w:t>The Group’s activity is affected by the macro-economic environment (inter alia, population growth/decrease, private consumption volumes, unemployment rates and level of demand) in the various countries in which it operates. These parameters to some extent impact occupancy rates of the properties, the level of rents, the Group’s ability to increase its revenues over time, and the scope and potential of investments and development. For further information concerning the general environment and the effect of external factors on the Company's operations, including the impact of the war in Israel, see section 5 of the chapter on the description of the Company's business and the update thereto.</w:t>
      </w:r>
    </w:p>
    <w:bookmarkEnd w:id="47"/>
    <w:p w14:paraId="34DE2ABF" w14:textId="77777777" w:rsidR="0085581F" w:rsidRPr="0085581F" w:rsidRDefault="0085581F" w:rsidP="0085581F">
      <w:pPr>
        <w:keepNext/>
        <w:keepLines/>
        <w:tabs>
          <w:tab w:val="left" w:pos="425"/>
          <w:tab w:val="left" w:pos="1133"/>
        </w:tabs>
        <w:contextualSpacing/>
        <w:rPr>
          <w:rFonts w:asciiTheme="majorBidi" w:hAnsiTheme="majorBidi" w:cstheme="majorBidi"/>
          <w:sz w:val="21"/>
          <w:szCs w:val="21"/>
        </w:rPr>
      </w:pPr>
      <w:r w:rsidRPr="0085581F">
        <w:rPr>
          <w:rFonts w:asciiTheme="majorBidi" w:hAnsiTheme="majorBidi" w:cstheme="majorBidi"/>
          <w:sz w:val="21"/>
        </w:rPr>
        <w:t>Below is a breakdown of macro-economic data for the countries in which the Group operates*: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85581F" w:rsidRPr="0085581F" w14:paraId="637C070F" w14:textId="77777777" w:rsidTr="00A65A6F">
        <w:trPr>
          <w:cantSplit/>
        </w:trPr>
        <w:tc>
          <w:tcPr>
            <w:tcW w:w="5000" w:type="pct"/>
          </w:tcPr>
          <w:tbl>
            <w:tblPr>
              <w:tblStyle w:val="CDMRange120"/>
              <w:tblW w:w="9975" w:type="dxa"/>
              <w:tblLook w:val="0600" w:firstRow="0" w:lastRow="0" w:firstColumn="0" w:lastColumn="0" w:noHBand="1" w:noVBand="1"/>
              <w:tblCaption w:val="Print_Area"/>
            </w:tblPr>
            <w:tblGrid>
              <w:gridCol w:w="1401"/>
              <w:gridCol w:w="1385"/>
              <w:gridCol w:w="1384"/>
              <w:gridCol w:w="1384"/>
              <w:gridCol w:w="1384"/>
              <w:gridCol w:w="1384"/>
              <w:gridCol w:w="1384"/>
            </w:tblGrid>
            <w:tr w:rsidR="0085581F" w:rsidRPr="0085581F" w14:paraId="63E8C355" w14:textId="77777777" w:rsidTr="00A65A6F">
              <w:trPr>
                <w:trHeight w:val="300"/>
              </w:trPr>
              <w:tc>
                <w:tcPr>
                  <w:tcW w:w="1425" w:type="dxa"/>
                  <w:tcBorders>
                    <w:top w:val="nil"/>
                    <w:left w:val="nil"/>
                    <w:bottom w:val="nil"/>
                    <w:right w:val="nil"/>
                    <w:tl2br w:val="nil"/>
                    <w:tr2bl w:val="nil"/>
                  </w:tcBorders>
                  <w:shd w:val="clear" w:color="FFFFFF" w:fill="000031"/>
                  <w:noWrap/>
                  <w:tcMar>
                    <w:left w:w="0" w:type="dxa"/>
                    <w:right w:w="0" w:type="dxa"/>
                  </w:tcMar>
                  <w:vAlign w:val="bottom"/>
                </w:tcPr>
                <w:p w14:paraId="4A1AB468" w14:textId="77777777" w:rsidR="0085581F" w:rsidRPr="0085581F" w:rsidRDefault="0085581F" w:rsidP="0085581F">
                  <w:pPr>
                    <w:spacing w:before="0" w:after="0" w:line="240" w:lineRule="auto"/>
                    <w:jc w:val="left"/>
                    <w:rPr>
                      <w:rFonts w:asciiTheme="majorBidi" w:eastAsia="Ploni ML Medium AAA Medium" w:hAnsiTheme="majorBidi" w:cstheme="majorBidi"/>
                      <w:b/>
                      <w:color w:val="000000"/>
                      <w:sz w:val="21"/>
                    </w:rPr>
                  </w:pPr>
                </w:p>
              </w:tc>
              <w:tc>
                <w:tcPr>
                  <w:tcW w:w="2850" w:type="dxa"/>
                  <w:gridSpan w:val="2"/>
                  <w:tcBorders>
                    <w:top w:val="nil"/>
                    <w:left w:val="nil"/>
                    <w:bottom w:val="nil"/>
                    <w:right w:val="nil"/>
                    <w:tl2br w:val="nil"/>
                    <w:tr2bl w:val="nil"/>
                  </w:tcBorders>
                  <w:shd w:val="clear" w:color="FFFFFF" w:fill="000031"/>
                  <w:noWrap/>
                  <w:tcMar>
                    <w:left w:w="40" w:type="dxa"/>
                    <w:right w:w="40" w:type="dxa"/>
                  </w:tcMar>
                  <w:vAlign w:val="bottom"/>
                </w:tcPr>
                <w:p w14:paraId="7D87DD82"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Growth (GDP)</w:t>
                  </w:r>
                </w:p>
              </w:tc>
              <w:tc>
                <w:tcPr>
                  <w:tcW w:w="1425" w:type="dxa"/>
                  <w:tcBorders>
                    <w:top w:val="nil"/>
                    <w:left w:val="nil"/>
                    <w:bottom w:val="nil"/>
                    <w:right w:val="nil"/>
                    <w:tl2br w:val="nil"/>
                    <w:tr2bl w:val="nil"/>
                  </w:tcBorders>
                  <w:shd w:val="clear" w:color="FFFFFF" w:fill="000031"/>
                  <w:tcMar>
                    <w:left w:w="0" w:type="dxa"/>
                    <w:right w:w="0" w:type="dxa"/>
                  </w:tcMar>
                  <w:vAlign w:val="center"/>
                </w:tcPr>
                <w:p w14:paraId="6049BB5C"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sz w:val="21"/>
                    </w:rPr>
                  </w:pPr>
                </w:p>
              </w:tc>
              <w:tc>
                <w:tcPr>
                  <w:tcW w:w="1425" w:type="dxa"/>
                  <w:tcBorders>
                    <w:top w:val="nil"/>
                    <w:left w:val="nil"/>
                    <w:bottom w:val="nil"/>
                    <w:right w:val="nil"/>
                    <w:tl2br w:val="nil"/>
                    <w:tr2bl w:val="nil"/>
                  </w:tcBorders>
                  <w:shd w:val="clear" w:color="FFFFFF" w:fill="000031"/>
                  <w:tcMar>
                    <w:left w:w="0" w:type="dxa"/>
                    <w:right w:w="0" w:type="dxa"/>
                  </w:tcMar>
                  <w:vAlign w:val="center"/>
                </w:tcPr>
                <w:p w14:paraId="07A5B16F"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sz w:val="21"/>
                    </w:rPr>
                  </w:pPr>
                </w:p>
              </w:tc>
              <w:tc>
                <w:tcPr>
                  <w:tcW w:w="1425" w:type="dxa"/>
                  <w:tcBorders>
                    <w:top w:val="nil"/>
                    <w:left w:val="nil"/>
                    <w:bottom w:val="nil"/>
                    <w:right w:val="nil"/>
                    <w:tl2br w:val="nil"/>
                    <w:tr2bl w:val="nil"/>
                  </w:tcBorders>
                  <w:shd w:val="clear" w:color="FFFFFF" w:fill="000031"/>
                  <w:tcMar>
                    <w:left w:w="0" w:type="dxa"/>
                    <w:right w:w="0" w:type="dxa"/>
                  </w:tcMar>
                  <w:vAlign w:val="center"/>
                </w:tcPr>
                <w:p w14:paraId="7A94B035"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sz w:val="21"/>
                    </w:rPr>
                  </w:pPr>
                </w:p>
              </w:tc>
              <w:tc>
                <w:tcPr>
                  <w:tcW w:w="1425" w:type="dxa"/>
                  <w:tcBorders>
                    <w:top w:val="nil"/>
                    <w:left w:val="nil"/>
                    <w:bottom w:val="nil"/>
                    <w:right w:val="nil"/>
                    <w:tl2br w:val="nil"/>
                    <w:tr2bl w:val="nil"/>
                  </w:tcBorders>
                  <w:shd w:val="clear" w:color="FFFFFF" w:fill="000031"/>
                  <w:tcMar>
                    <w:left w:w="0" w:type="dxa"/>
                    <w:right w:w="0" w:type="dxa"/>
                  </w:tcMar>
                  <w:vAlign w:val="center"/>
                </w:tcPr>
                <w:p w14:paraId="3538ECFF" w14:textId="77777777" w:rsidR="0085581F" w:rsidRPr="0085581F" w:rsidRDefault="0085581F" w:rsidP="0085581F">
                  <w:pPr>
                    <w:spacing w:before="0" w:after="0" w:line="240" w:lineRule="auto"/>
                    <w:jc w:val="left"/>
                    <w:rPr>
                      <w:rFonts w:asciiTheme="majorBidi" w:eastAsia="Ploni ML Medium AAA Medium" w:hAnsiTheme="majorBidi" w:cstheme="majorBidi"/>
                      <w:b/>
                      <w:color w:val="FFFFFF"/>
                      <w:sz w:val="21"/>
                    </w:rPr>
                  </w:pPr>
                </w:p>
              </w:tc>
            </w:tr>
            <w:tr w:rsidR="009A026B" w:rsidRPr="0085581F" w14:paraId="26CB769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25" w:type="dxa"/>
                  <w:tcBorders>
                    <w:top w:val="nil"/>
                    <w:left w:val="nil"/>
                    <w:bottom w:val="single" w:sz="12" w:space="0" w:color="000000"/>
                    <w:right w:val="nil"/>
                    <w:tl2br w:val="nil"/>
                    <w:tr2bl w:val="nil"/>
                  </w:tcBorders>
                  <w:shd w:val="clear" w:color="FFFFFF" w:fill="000031"/>
                  <w:noWrap/>
                  <w:tcMar>
                    <w:left w:w="0" w:type="dxa"/>
                    <w:right w:w="0" w:type="dxa"/>
                  </w:tcMar>
                  <w:vAlign w:val="bottom"/>
                </w:tcPr>
                <w:p w14:paraId="739A85C4"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21"/>
                    </w:rPr>
                  </w:pPr>
                </w:p>
              </w:tc>
              <w:tc>
                <w:tcPr>
                  <w:tcW w:w="1425" w:type="dxa"/>
                  <w:tcBorders>
                    <w:top w:val="nil"/>
                    <w:left w:val="nil"/>
                    <w:bottom w:val="single" w:sz="12" w:space="0" w:color="000000"/>
                    <w:right w:val="nil"/>
                    <w:tl2br w:val="nil"/>
                    <w:tr2bl w:val="nil"/>
                  </w:tcBorders>
                  <w:shd w:val="clear" w:color="FFFFFF" w:fill="000031"/>
                  <w:tcMar>
                    <w:left w:w="40" w:type="dxa"/>
                    <w:right w:w="40" w:type="dxa"/>
                  </w:tcMar>
                  <w:vAlign w:val="bottom"/>
                </w:tcPr>
                <w:p w14:paraId="0A0AB401"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2024 forecast</w:t>
                  </w:r>
                </w:p>
              </w:tc>
              <w:tc>
                <w:tcPr>
                  <w:tcW w:w="1425" w:type="dxa"/>
                  <w:tcBorders>
                    <w:top w:val="nil"/>
                    <w:left w:val="nil"/>
                    <w:bottom w:val="single" w:sz="12" w:space="0" w:color="000000"/>
                    <w:right w:val="nil"/>
                    <w:tl2br w:val="nil"/>
                    <w:tr2bl w:val="nil"/>
                  </w:tcBorders>
                  <w:shd w:val="clear" w:color="FFFFFF" w:fill="000031"/>
                  <w:tcMar>
                    <w:left w:w="40" w:type="dxa"/>
                    <w:right w:w="40" w:type="dxa"/>
                  </w:tcMar>
                  <w:vAlign w:val="bottom"/>
                </w:tcPr>
                <w:p w14:paraId="57A85152"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2023</w:t>
                  </w:r>
                </w:p>
              </w:tc>
              <w:tc>
                <w:tcPr>
                  <w:tcW w:w="1425" w:type="dxa"/>
                  <w:tcBorders>
                    <w:top w:val="nil"/>
                    <w:left w:val="nil"/>
                    <w:bottom w:val="single" w:sz="12" w:space="0" w:color="000000"/>
                    <w:right w:val="nil"/>
                    <w:tl2br w:val="nil"/>
                    <w:tr2bl w:val="nil"/>
                  </w:tcBorders>
                  <w:shd w:val="clear" w:color="FFFFFF" w:fill="000031"/>
                  <w:tcMar>
                    <w:left w:w="40" w:type="dxa"/>
                    <w:right w:w="40" w:type="dxa"/>
                  </w:tcMar>
                  <w:vAlign w:val="bottom"/>
                </w:tcPr>
                <w:p w14:paraId="6F449126"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Unemployment rate in 2024</w:t>
                  </w:r>
                </w:p>
              </w:tc>
              <w:tc>
                <w:tcPr>
                  <w:tcW w:w="1425" w:type="dxa"/>
                  <w:tcBorders>
                    <w:top w:val="nil"/>
                    <w:left w:val="nil"/>
                    <w:bottom w:val="single" w:sz="12" w:space="0" w:color="000000"/>
                    <w:right w:val="nil"/>
                    <w:tl2br w:val="nil"/>
                    <w:tr2bl w:val="nil"/>
                  </w:tcBorders>
                  <w:shd w:val="clear" w:color="FFFFFF" w:fill="000031"/>
                  <w:tcMar>
                    <w:left w:w="40" w:type="dxa"/>
                    <w:right w:w="40" w:type="dxa"/>
                  </w:tcMar>
                  <w:vAlign w:val="bottom"/>
                </w:tcPr>
                <w:p w14:paraId="34816142"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CPI forecast for 2024</w:t>
                  </w:r>
                </w:p>
              </w:tc>
              <w:tc>
                <w:tcPr>
                  <w:tcW w:w="1425" w:type="dxa"/>
                  <w:tcBorders>
                    <w:top w:val="nil"/>
                    <w:left w:val="nil"/>
                    <w:bottom w:val="single" w:sz="12" w:space="0" w:color="000000"/>
                    <w:right w:val="nil"/>
                    <w:tl2br w:val="nil"/>
                    <w:tr2bl w:val="nil"/>
                  </w:tcBorders>
                  <w:shd w:val="clear" w:color="FFFFFF" w:fill="000031"/>
                  <w:tcMar>
                    <w:left w:w="40" w:type="dxa"/>
                    <w:right w:w="40" w:type="dxa"/>
                  </w:tcMar>
                  <w:vAlign w:val="bottom"/>
                </w:tcPr>
                <w:p w14:paraId="627CDD97"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Nominal return on government bonds (10 years)</w:t>
                  </w:r>
                </w:p>
              </w:tc>
              <w:tc>
                <w:tcPr>
                  <w:tcW w:w="1425" w:type="dxa"/>
                  <w:tcBorders>
                    <w:top w:val="nil"/>
                    <w:left w:val="nil"/>
                    <w:bottom w:val="single" w:sz="12" w:space="0" w:color="000000"/>
                    <w:right w:val="nil"/>
                    <w:tl2br w:val="nil"/>
                    <w:tr2bl w:val="nil"/>
                  </w:tcBorders>
                  <w:shd w:val="clear" w:color="FFFFFF" w:fill="000031"/>
                  <w:tcMar>
                    <w:left w:w="40" w:type="dxa"/>
                    <w:right w:w="40" w:type="dxa"/>
                  </w:tcMar>
                  <w:vAlign w:val="bottom"/>
                </w:tcPr>
                <w:p w14:paraId="6B4DE80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rPr>
                  </w:pPr>
                  <w:r w:rsidRPr="0085581F">
                    <w:rPr>
                      <w:rFonts w:asciiTheme="majorBidi" w:hAnsiTheme="majorBidi" w:cstheme="majorBidi"/>
                      <w:b/>
                      <w:color w:val="FFFFFF"/>
                    </w:rPr>
                    <w:t>Credit rating (S&amp;P)</w:t>
                  </w:r>
                </w:p>
              </w:tc>
            </w:tr>
            <w:tr w:rsidR="0085581F" w:rsidRPr="0085581F" w14:paraId="6921206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66923AA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Israel</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12E1F04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1.55%</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00CC20E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1.92%</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3215EA9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3.50%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0DD6A6E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2.80%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7ECE131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4.70%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42C05F9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A+</w:t>
                  </w:r>
                </w:p>
              </w:tc>
            </w:tr>
            <w:tr w:rsidR="0085581F" w:rsidRPr="0085581F" w14:paraId="0A1460F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36E5718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Poland</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1B420F68"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2.80%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5055D2C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0.20%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07853ABA" w14:textId="6B2544E0"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5</w:t>
                  </w:r>
                  <w:r w:rsidR="00C64C16">
                    <w:rPr>
                      <w:rFonts w:asciiTheme="majorBidi" w:hAnsiTheme="majorBidi" w:cstheme="majorBidi"/>
                      <w:color w:val="000000"/>
                      <w:sz w:val="21"/>
                    </w:rPr>
                    <w:t>.00</w:t>
                  </w:r>
                  <w:r w:rsidRPr="0085581F">
                    <w:rPr>
                      <w:rFonts w:asciiTheme="majorBidi" w:hAnsiTheme="majorBidi" w:cstheme="majorBidi"/>
                      <w:color w:val="000000"/>
                      <w:sz w:val="21"/>
                    </w:rPr>
                    <w:t>%</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1D2A97C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3.70%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060DC5ED"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5.52%</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596EC8A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A</w:t>
                  </w:r>
                </w:p>
              </w:tc>
            </w:tr>
            <w:tr w:rsidR="0085581F" w:rsidRPr="0085581F" w14:paraId="68472CD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4AD7F92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Finland</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5A7F4EA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(0.25%)</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60FA0B1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(0.98%)</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7387DC0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7.85%</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3E0FCEC2"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1.40%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7F7BAB8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2.94%</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4670966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AA+</w:t>
                  </w:r>
                </w:p>
              </w:tc>
            </w:tr>
            <w:tr w:rsidR="0085581F" w:rsidRPr="0085581F" w14:paraId="0DFD4B1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0D90D14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Norway</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07B99D7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0.80%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76D982D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0.48%</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117D51F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4.00%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0FBD4A5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3.55%</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6BD8CF0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3.47%</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778A417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roofErr w:type="spellStart"/>
                  <w:r w:rsidRPr="0085581F">
                    <w:rPr>
                      <w:rFonts w:asciiTheme="majorBidi" w:hAnsiTheme="majorBidi" w:cstheme="majorBidi"/>
                      <w:color w:val="000000"/>
                      <w:sz w:val="21"/>
                    </w:rPr>
                    <w:t>AAAu</w:t>
                  </w:r>
                  <w:proofErr w:type="spellEnd"/>
                </w:p>
              </w:tc>
            </w:tr>
            <w:tr w:rsidR="0085581F" w:rsidRPr="0085581F" w14:paraId="49CA8A1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49359BE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Brazil</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28A9ABE8"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2.10%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10349A5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2.93%</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4D125BF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7.61%</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545DFFF2"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4.02%</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3530C71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11.77%</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2B53D2C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BB</w:t>
                  </w:r>
                </w:p>
              </w:tc>
            </w:tr>
            <w:tr w:rsidR="0085581F" w:rsidRPr="0085581F" w14:paraId="6C3101E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7A21689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Czech Republic</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6EB6D5A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1.30%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772E5AB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(0.05%)</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485B784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3.70%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7822D6A5"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2.40%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6B916C6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3.89%</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44F7A991"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AA-</w:t>
                  </w:r>
                </w:p>
              </w:tc>
            </w:tr>
            <w:tr w:rsidR="0085581F" w:rsidRPr="0085581F" w14:paraId="359F190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2F23002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Sweden</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6CC93D6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0.70%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7F4611A0"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0.08%</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3E1F2CB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8.30%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4D0389F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3.10%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1BD019D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2.08%</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197B98B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roofErr w:type="spellStart"/>
                  <w:r w:rsidRPr="0085581F">
                    <w:rPr>
                      <w:rFonts w:asciiTheme="majorBidi" w:hAnsiTheme="majorBidi" w:cstheme="majorBidi"/>
                      <w:color w:val="000000"/>
                      <w:sz w:val="21"/>
                    </w:rPr>
                    <w:t>AAAu</w:t>
                  </w:r>
                  <w:proofErr w:type="spellEnd"/>
                </w:p>
              </w:tc>
            </w:tr>
            <w:tr w:rsidR="0085581F" w:rsidRPr="0085581F" w14:paraId="3F290A9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3390B66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USA</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51B26D7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2.30%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451EB5EA"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2.50%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4635AE9E"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4.00%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1478D0B9"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3.10%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79EBFD3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4.17%</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6D5DB657"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proofErr w:type="spellStart"/>
                  <w:r w:rsidRPr="0085581F">
                    <w:rPr>
                      <w:rFonts w:asciiTheme="majorBidi" w:hAnsiTheme="majorBidi" w:cstheme="majorBidi"/>
                      <w:color w:val="000000"/>
                      <w:sz w:val="21"/>
                    </w:rPr>
                    <w:t>AA+u</w:t>
                  </w:r>
                  <w:proofErr w:type="spellEnd"/>
                </w:p>
              </w:tc>
            </w:tr>
            <w:tr w:rsidR="0085581F" w:rsidRPr="0085581F" w14:paraId="644A774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2487F463"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Canada</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0EB72FEB"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1.00%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24B5F575"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1.25%</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73964DFC"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6.30%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683ABD7F"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2.50%</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3084A234"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3.37%</w:t>
                  </w:r>
                </w:p>
              </w:tc>
              <w:tc>
                <w:tcPr>
                  <w:tcW w:w="142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6B4F8266" w14:textId="77777777" w:rsidR="0085581F" w:rsidRPr="0085581F" w:rsidRDefault="0085581F" w:rsidP="0085581F">
                  <w:pPr>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AAA</w:t>
                  </w:r>
                </w:p>
              </w:tc>
            </w:tr>
          </w:tbl>
          <w:p w14:paraId="17CE616B" w14:textId="77777777" w:rsidR="0085581F" w:rsidRPr="0085581F" w:rsidRDefault="0085581F" w:rsidP="0085581F">
            <w:pPr>
              <w:rPr>
                <w:rFonts w:asciiTheme="majorBidi" w:hAnsiTheme="majorBidi" w:cstheme="majorBidi"/>
              </w:rPr>
            </w:pPr>
          </w:p>
        </w:tc>
      </w:tr>
    </w:tbl>
    <w:bookmarkEnd w:id="48"/>
    <w:p w14:paraId="2827A557" w14:textId="77777777" w:rsidR="0085581F" w:rsidRPr="0085581F" w:rsidRDefault="0085581F" w:rsidP="0085581F">
      <w:pPr>
        <w:keepNext/>
        <w:keepLines/>
        <w:tabs>
          <w:tab w:val="left" w:pos="425"/>
          <w:tab w:val="left" w:pos="1133"/>
        </w:tabs>
        <w:contextualSpacing/>
        <w:rPr>
          <w:rFonts w:asciiTheme="majorBidi" w:hAnsiTheme="majorBidi" w:cstheme="majorBidi"/>
          <w:sz w:val="21"/>
          <w:szCs w:val="21"/>
          <w:bdr w:val="none" w:sz="0" w:space="0" w:color="auto" w:frame="1"/>
          <w:vertAlign w:val="subscript"/>
        </w:rPr>
      </w:pPr>
      <w:r w:rsidRPr="0085581F">
        <w:rPr>
          <w:rFonts w:asciiTheme="majorBidi" w:hAnsiTheme="majorBidi" w:cstheme="majorBidi"/>
          <w:sz w:val="21"/>
          <w:bdr w:val="none" w:sz="0" w:space="0" w:color="auto" w:frame="1"/>
          <w:vertAlign w:val="subscript"/>
        </w:rPr>
        <w:t>* Data source: Bloomberg July 2024</w:t>
      </w:r>
    </w:p>
    <w:p w14:paraId="13FEBABF" w14:textId="77777777" w:rsidR="0085581F" w:rsidRPr="0085581F" w:rsidRDefault="0085581F" w:rsidP="0085581F">
      <w:pPr>
        <w:keepLines/>
        <w:tabs>
          <w:tab w:val="left" w:pos="425"/>
          <w:tab w:val="left" w:pos="1133"/>
        </w:tabs>
        <w:contextualSpacing/>
        <w:rPr>
          <w:rFonts w:asciiTheme="majorBidi" w:hAnsiTheme="majorBidi" w:cstheme="majorBidi"/>
          <w:sz w:val="21"/>
          <w:szCs w:val="21"/>
        </w:rPr>
      </w:pPr>
    </w:p>
    <w:p w14:paraId="2E4EF772" w14:textId="77777777" w:rsidR="0085581F" w:rsidRPr="0085581F" w:rsidRDefault="0085581F" w:rsidP="0085581F">
      <w:pPr>
        <w:keepNext/>
        <w:keepLines/>
        <w:tabs>
          <w:tab w:val="left" w:pos="425"/>
          <w:tab w:val="left" w:pos="1133"/>
        </w:tabs>
        <w:contextualSpacing/>
        <w:rPr>
          <w:rFonts w:asciiTheme="majorBidi" w:hAnsiTheme="majorBidi" w:cstheme="majorBidi"/>
          <w:sz w:val="21"/>
          <w:szCs w:val="21"/>
        </w:rPr>
      </w:pPr>
      <w:r w:rsidRPr="0085581F">
        <w:rPr>
          <w:rFonts w:asciiTheme="majorBidi" w:hAnsiTheme="majorBidi" w:cstheme="majorBidi"/>
          <w:sz w:val="21"/>
        </w:rPr>
        <w:t xml:space="preserve">International debt rating of subsidiaries: </w:t>
      </w:r>
    </w:p>
    <w:tbl>
      <w:tblPr>
        <w:tblStyle w:val="CDMRange2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554"/>
        <w:gridCol w:w="327"/>
        <w:gridCol w:w="2250"/>
        <w:gridCol w:w="2461"/>
        <w:gridCol w:w="2330"/>
      </w:tblGrid>
      <w:tr w:rsidR="0085581F" w:rsidRPr="0085581F" w14:paraId="0A661823" w14:textId="77777777" w:rsidTr="00A65A6F">
        <w:trPr>
          <w:cantSplit/>
          <w:trHeight w:val="559"/>
        </w:trPr>
        <w:tc>
          <w:tcPr>
            <w:tcW w:w="1287" w:type="pct"/>
            <w:tcBorders>
              <w:top w:val="nil"/>
              <w:left w:val="nil"/>
              <w:bottom w:val="single" w:sz="4" w:space="0" w:color="000031"/>
              <w:right w:val="nil"/>
            </w:tcBorders>
            <w:shd w:val="clear" w:color="auto" w:fill="000031"/>
            <w:tcMar>
              <w:top w:w="0" w:type="dxa"/>
              <w:left w:w="40" w:type="dxa"/>
              <w:bottom w:w="0" w:type="dxa"/>
              <w:right w:w="40" w:type="dxa"/>
            </w:tcMar>
            <w:vAlign w:val="center"/>
            <w:hideMark/>
          </w:tcPr>
          <w:p w14:paraId="2677A3E3" w14:textId="77777777" w:rsidR="0085581F" w:rsidRPr="0085581F" w:rsidRDefault="0085581F" w:rsidP="0085581F">
            <w:pPr>
              <w:keepNext/>
              <w:keepLines/>
              <w:tabs>
                <w:tab w:val="left" w:pos="425"/>
              </w:tabs>
              <w:contextualSpacing/>
              <w:jc w:val="center"/>
              <w:rPr>
                <w:rFonts w:asciiTheme="majorBidi" w:eastAsia="Tahoma" w:hAnsiTheme="majorBidi" w:cstheme="majorBidi"/>
                <w:color w:val="FFFFFF" w:themeColor="background1"/>
                <w:bdr w:val="none" w:sz="0" w:space="0" w:color="auto" w:frame="1"/>
                <w:lang w:eastAsia="en-GB"/>
              </w:rPr>
            </w:pPr>
            <w:r w:rsidRPr="0085581F">
              <w:rPr>
                <w:rFonts w:asciiTheme="majorBidi" w:hAnsiTheme="majorBidi" w:cstheme="majorBidi"/>
                <w:color w:val="FFFFFF" w:themeColor="background1"/>
                <w:bdr w:val="none" w:sz="0" w:space="0" w:color="auto" w:frame="1"/>
                <w:lang w:eastAsia="en-GB"/>
              </w:rPr>
              <w:t>Rating Agency</w:t>
            </w:r>
          </w:p>
        </w:tc>
        <w:tc>
          <w:tcPr>
            <w:tcW w:w="165" w:type="pct"/>
            <w:tcBorders>
              <w:top w:val="nil"/>
              <w:left w:val="nil"/>
              <w:bottom w:val="single" w:sz="4" w:space="0" w:color="000031"/>
              <w:right w:val="nil"/>
            </w:tcBorders>
            <w:shd w:val="clear" w:color="auto" w:fill="000031"/>
            <w:tcMar>
              <w:top w:w="0" w:type="dxa"/>
              <w:left w:w="0" w:type="dxa"/>
              <w:bottom w:w="0" w:type="dxa"/>
              <w:right w:w="0" w:type="dxa"/>
            </w:tcMar>
            <w:vAlign w:val="bottom"/>
          </w:tcPr>
          <w:p w14:paraId="56D6FC47" w14:textId="77777777" w:rsidR="0085581F" w:rsidRPr="0085581F" w:rsidRDefault="0085581F" w:rsidP="0085581F">
            <w:pPr>
              <w:keepNext/>
              <w:keepLines/>
              <w:tabs>
                <w:tab w:val="left" w:pos="425"/>
              </w:tabs>
              <w:contextualSpacing/>
              <w:jc w:val="center"/>
              <w:rPr>
                <w:rFonts w:asciiTheme="majorBidi" w:eastAsia="Tahoma" w:hAnsiTheme="majorBidi" w:cstheme="majorBidi"/>
                <w:color w:val="FFFFFF" w:themeColor="background1"/>
                <w:bdr w:val="none" w:sz="0" w:space="0" w:color="auto" w:frame="1"/>
                <w:lang w:val="en-AU" w:eastAsia="en-AU"/>
              </w:rPr>
            </w:pPr>
          </w:p>
        </w:tc>
        <w:tc>
          <w:tcPr>
            <w:tcW w:w="1134" w:type="pct"/>
            <w:tcBorders>
              <w:top w:val="nil"/>
              <w:left w:val="nil"/>
              <w:bottom w:val="single" w:sz="4" w:space="0" w:color="000031"/>
              <w:right w:val="nil"/>
            </w:tcBorders>
            <w:shd w:val="clear" w:color="auto" w:fill="000031"/>
            <w:vAlign w:val="center"/>
            <w:hideMark/>
          </w:tcPr>
          <w:p w14:paraId="10990E35" w14:textId="77777777" w:rsidR="0085581F" w:rsidRPr="0085581F" w:rsidRDefault="0085581F" w:rsidP="0085581F">
            <w:pPr>
              <w:keepNext/>
              <w:keepLines/>
              <w:tabs>
                <w:tab w:val="left" w:pos="425"/>
              </w:tabs>
              <w:spacing w:line="276" w:lineRule="auto"/>
              <w:contextualSpacing/>
              <w:jc w:val="center"/>
              <w:outlineLvl w:val="0"/>
              <w:rPr>
                <w:rFonts w:asciiTheme="majorBidi" w:hAnsiTheme="majorBidi" w:cstheme="majorBidi"/>
                <w:color w:val="FFFFFF" w:themeColor="background1"/>
                <w:bdr w:val="none" w:sz="0" w:space="0" w:color="auto" w:frame="1"/>
                <w:lang w:eastAsia="en-AU"/>
              </w:rPr>
            </w:pPr>
            <w:r w:rsidRPr="0085581F">
              <w:rPr>
                <w:rFonts w:asciiTheme="majorBidi" w:eastAsia="Tahoma" w:hAnsiTheme="majorBidi" w:cstheme="majorBidi"/>
                <w:bCs/>
                <w:color w:val="FFFFFF" w:themeColor="background1"/>
                <w:bdr w:val="none" w:sz="0" w:space="0" w:color="auto" w:frame="1"/>
                <w:lang w:eastAsia="en-AU"/>
              </w:rPr>
              <w:t>G City</w:t>
            </w:r>
          </w:p>
        </w:tc>
        <w:tc>
          <w:tcPr>
            <w:tcW w:w="1240" w:type="pct"/>
            <w:tcBorders>
              <w:top w:val="nil"/>
              <w:left w:val="nil"/>
              <w:bottom w:val="single" w:sz="4" w:space="0" w:color="000031"/>
              <w:right w:val="nil"/>
            </w:tcBorders>
            <w:shd w:val="clear" w:color="auto" w:fill="000031"/>
            <w:vAlign w:val="center"/>
            <w:hideMark/>
          </w:tcPr>
          <w:p w14:paraId="5AC2B5A2" w14:textId="77777777" w:rsidR="0085581F" w:rsidRPr="0085581F" w:rsidRDefault="0085581F" w:rsidP="0085581F">
            <w:pPr>
              <w:keepNext/>
              <w:keepLines/>
              <w:tabs>
                <w:tab w:val="left" w:pos="425"/>
              </w:tabs>
              <w:contextualSpacing/>
              <w:jc w:val="center"/>
              <w:rPr>
                <w:rFonts w:asciiTheme="majorBidi" w:eastAsia="Tahoma" w:hAnsiTheme="majorBidi" w:cstheme="majorBidi"/>
                <w:color w:val="FFFFFF" w:themeColor="background1"/>
                <w:bdr w:val="none" w:sz="0" w:space="0" w:color="auto" w:frame="1"/>
                <w:lang w:eastAsia="en-GB"/>
              </w:rPr>
            </w:pPr>
            <w:r w:rsidRPr="0085581F">
              <w:rPr>
                <w:rFonts w:asciiTheme="majorBidi" w:hAnsiTheme="majorBidi" w:cstheme="majorBidi"/>
                <w:color w:val="FFFFFF" w:themeColor="background1"/>
                <w:bdr w:val="none" w:sz="0" w:space="0" w:color="auto" w:frame="1"/>
                <w:lang w:eastAsia="en-GB"/>
              </w:rPr>
              <w:t>CTY</w:t>
            </w:r>
          </w:p>
        </w:tc>
        <w:tc>
          <w:tcPr>
            <w:tcW w:w="1174" w:type="pct"/>
            <w:tcBorders>
              <w:top w:val="nil"/>
              <w:left w:val="nil"/>
              <w:bottom w:val="single" w:sz="4" w:space="0" w:color="000031"/>
              <w:right w:val="nil"/>
            </w:tcBorders>
            <w:shd w:val="clear" w:color="auto" w:fill="000031"/>
            <w:vAlign w:val="center"/>
            <w:hideMark/>
          </w:tcPr>
          <w:p w14:paraId="7ABEF265" w14:textId="77777777" w:rsidR="0085581F" w:rsidRPr="0085581F" w:rsidRDefault="0085581F" w:rsidP="0085581F">
            <w:pPr>
              <w:keepNext/>
              <w:keepLines/>
              <w:tabs>
                <w:tab w:val="left" w:pos="425"/>
              </w:tabs>
              <w:contextualSpacing/>
              <w:jc w:val="center"/>
              <w:rPr>
                <w:rFonts w:asciiTheme="majorBidi" w:eastAsia="Tahoma" w:hAnsiTheme="majorBidi" w:cstheme="majorBidi"/>
                <w:color w:val="FFFFFF" w:themeColor="background1"/>
                <w:bdr w:val="none" w:sz="0" w:space="0" w:color="auto" w:frame="1"/>
                <w:lang w:eastAsia="en-GB"/>
              </w:rPr>
            </w:pPr>
            <w:r w:rsidRPr="0085581F">
              <w:rPr>
                <w:rFonts w:asciiTheme="majorBidi" w:hAnsiTheme="majorBidi" w:cstheme="majorBidi"/>
                <w:color w:val="FFFFFF" w:themeColor="background1"/>
                <w:bdr w:val="none" w:sz="0" w:space="0" w:color="auto" w:frame="1"/>
                <w:lang w:eastAsia="en-GB"/>
              </w:rPr>
              <w:t>G Europe</w:t>
            </w:r>
          </w:p>
        </w:tc>
      </w:tr>
      <w:tr w:rsidR="0085581F" w:rsidRPr="0085581F" w14:paraId="2FD1F46D" w14:textId="77777777" w:rsidTr="00A65A6F">
        <w:trPr>
          <w:cantSplit/>
          <w:trHeight w:val="368"/>
        </w:trPr>
        <w:tc>
          <w:tcPr>
            <w:tcW w:w="1287" w:type="pct"/>
            <w:tcBorders>
              <w:top w:val="single" w:sz="4" w:space="0" w:color="000031"/>
              <w:left w:val="nil"/>
              <w:bottom w:val="single" w:sz="4" w:space="0" w:color="000031"/>
              <w:right w:val="nil"/>
            </w:tcBorders>
            <w:tcMar>
              <w:top w:w="0" w:type="dxa"/>
              <w:left w:w="40" w:type="dxa"/>
              <w:bottom w:w="0" w:type="dxa"/>
              <w:right w:w="40" w:type="dxa"/>
            </w:tcMar>
            <w:vAlign w:val="center"/>
            <w:hideMark/>
          </w:tcPr>
          <w:p w14:paraId="09B8AB8B" w14:textId="77777777" w:rsidR="0085581F" w:rsidRPr="0085581F" w:rsidRDefault="0085581F" w:rsidP="0085581F">
            <w:pPr>
              <w:keepNext/>
              <w:keepLines/>
              <w:tabs>
                <w:tab w:val="left" w:pos="425"/>
              </w:tabs>
              <w:contextualSpacing/>
              <w:jc w:val="center"/>
              <w:rPr>
                <w:rFonts w:asciiTheme="majorBidi" w:eastAsia="Tahoma" w:hAnsiTheme="majorBidi" w:cstheme="majorBidi"/>
                <w:sz w:val="21"/>
                <w:szCs w:val="21"/>
                <w:bdr w:val="none" w:sz="0" w:space="0" w:color="auto" w:frame="1"/>
                <w:lang w:eastAsia="en-GB"/>
              </w:rPr>
            </w:pPr>
            <w:r w:rsidRPr="0085581F">
              <w:rPr>
                <w:rFonts w:asciiTheme="majorBidi" w:hAnsiTheme="majorBidi" w:cstheme="majorBidi"/>
                <w:sz w:val="21"/>
                <w:bdr w:val="none" w:sz="0" w:space="0" w:color="auto" w:frame="1"/>
                <w:lang w:eastAsia="en-GB"/>
              </w:rPr>
              <w:t>Moody's</w:t>
            </w:r>
          </w:p>
        </w:tc>
        <w:tc>
          <w:tcPr>
            <w:tcW w:w="165" w:type="pct"/>
            <w:tcBorders>
              <w:top w:val="single" w:sz="4" w:space="0" w:color="000031"/>
              <w:left w:val="nil"/>
              <w:bottom w:val="single" w:sz="4" w:space="0" w:color="000031"/>
              <w:right w:val="nil"/>
            </w:tcBorders>
            <w:tcMar>
              <w:top w:w="0" w:type="dxa"/>
              <w:left w:w="0" w:type="dxa"/>
              <w:bottom w:w="0" w:type="dxa"/>
              <w:right w:w="0" w:type="dxa"/>
            </w:tcMar>
            <w:vAlign w:val="center"/>
          </w:tcPr>
          <w:p w14:paraId="0C99A926" w14:textId="77777777" w:rsidR="0085581F" w:rsidRPr="0085581F" w:rsidRDefault="0085581F" w:rsidP="0085581F">
            <w:pPr>
              <w:keepNext/>
              <w:keepLines/>
              <w:tabs>
                <w:tab w:val="left" w:pos="425"/>
              </w:tabs>
              <w:contextualSpacing/>
              <w:jc w:val="left"/>
              <w:rPr>
                <w:rFonts w:asciiTheme="majorBidi" w:eastAsia="Tahoma" w:hAnsiTheme="majorBidi" w:cstheme="majorBidi"/>
                <w:sz w:val="21"/>
                <w:szCs w:val="21"/>
                <w:bdr w:val="none" w:sz="0" w:space="0" w:color="auto" w:frame="1"/>
                <w:lang w:val="en-AU" w:eastAsia="en-AU"/>
              </w:rPr>
            </w:pPr>
          </w:p>
        </w:tc>
        <w:tc>
          <w:tcPr>
            <w:tcW w:w="1134" w:type="pct"/>
            <w:tcBorders>
              <w:top w:val="single" w:sz="4" w:space="0" w:color="000031"/>
              <w:left w:val="nil"/>
              <w:bottom w:val="single" w:sz="4" w:space="0" w:color="000031"/>
              <w:right w:val="nil"/>
            </w:tcBorders>
            <w:hideMark/>
          </w:tcPr>
          <w:p w14:paraId="7DFACC60" w14:textId="77777777" w:rsidR="0085581F" w:rsidRPr="0085581F" w:rsidRDefault="0085581F" w:rsidP="0085581F">
            <w:pPr>
              <w:keepNext/>
              <w:keepLines/>
              <w:contextualSpacing/>
              <w:jc w:val="center"/>
              <w:rPr>
                <w:rFonts w:asciiTheme="majorBidi" w:eastAsia="Tahoma" w:hAnsiTheme="majorBidi" w:cstheme="majorBidi"/>
                <w:sz w:val="21"/>
                <w:szCs w:val="21"/>
                <w:bdr w:val="none" w:sz="0" w:space="0" w:color="auto" w:frame="1"/>
                <w:lang w:eastAsia="en-GB"/>
              </w:rPr>
            </w:pPr>
            <w:r w:rsidRPr="0085581F">
              <w:rPr>
                <w:rFonts w:asciiTheme="majorBidi" w:hAnsiTheme="majorBidi" w:cstheme="majorBidi"/>
                <w:sz w:val="21"/>
                <w:lang w:eastAsia="en-GB"/>
              </w:rPr>
              <w:t>ilA3 / Stable</w:t>
            </w:r>
            <w:r w:rsidRPr="0085581F">
              <w:rPr>
                <w:rFonts w:asciiTheme="majorBidi" w:hAnsiTheme="majorBidi" w:cstheme="majorBidi"/>
                <w:sz w:val="21"/>
                <w:vertAlign w:val="superscript"/>
                <w:lang w:eastAsia="en-GB"/>
              </w:rPr>
              <w:t>*</w:t>
            </w:r>
          </w:p>
        </w:tc>
        <w:tc>
          <w:tcPr>
            <w:tcW w:w="1240" w:type="pct"/>
            <w:tcBorders>
              <w:top w:val="single" w:sz="4" w:space="0" w:color="000031"/>
              <w:left w:val="nil"/>
              <w:bottom w:val="single" w:sz="4" w:space="0" w:color="000031"/>
              <w:right w:val="nil"/>
            </w:tcBorders>
            <w:hideMark/>
          </w:tcPr>
          <w:p w14:paraId="197F7A36" w14:textId="77777777" w:rsidR="0085581F" w:rsidRPr="0085581F" w:rsidRDefault="0085581F" w:rsidP="0085581F">
            <w:pPr>
              <w:keepNext/>
              <w:keepLines/>
              <w:tabs>
                <w:tab w:val="left" w:pos="425"/>
              </w:tabs>
              <w:contextualSpacing/>
              <w:jc w:val="center"/>
              <w:rPr>
                <w:rFonts w:asciiTheme="majorBidi" w:eastAsia="Tahoma" w:hAnsiTheme="majorBidi" w:cstheme="majorBidi"/>
                <w:sz w:val="21"/>
                <w:szCs w:val="21"/>
                <w:bdr w:val="none" w:sz="0" w:space="0" w:color="auto" w:frame="1"/>
                <w:lang w:eastAsia="en-GB"/>
              </w:rPr>
            </w:pPr>
            <w:r w:rsidRPr="0085581F">
              <w:rPr>
                <w:rFonts w:asciiTheme="majorBidi" w:hAnsiTheme="majorBidi" w:cstheme="majorBidi"/>
                <w:sz w:val="21"/>
                <w:lang w:eastAsia="en-GB"/>
              </w:rPr>
              <w:t>-</w:t>
            </w:r>
          </w:p>
        </w:tc>
        <w:tc>
          <w:tcPr>
            <w:tcW w:w="1174" w:type="pct"/>
            <w:tcBorders>
              <w:top w:val="single" w:sz="4" w:space="0" w:color="000031"/>
              <w:left w:val="nil"/>
              <w:bottom w:val="single" w:sz="4" w:space="0" w:color="000031"/>
              <w:right w:val="nil"/>
            </w:tcBorders>
            <w:hideMark/>
          </w:tcPr>
          <w:p w14:paraId="4A801C7E" w14:textId="77777777" w:rsidR="0085581F" w:rsidRPr="0085581F" w:rsidRDefault="0085581F" w:rsidP="0085581F">
            <w:pPr>
              <w:keepNext/>
              <w:keepLines/>
              <w:tabs>
                <w:tab w:val="left" w:pos="425"/>
              </w:tabs>
              <w:contextualSpacing/>
              <w:jc w:val="center"/>
              <w:rPr>
                <w:rFonts w:asciiTheme="majorBidi" w:eastAsia="Tahoma" w:hAnsiTheme="majorBidi" w:cstheme="majorBidi"/>
                <w:sz w:val="21"/>
                <w:szCs w:val="21"/>
                <w:bdr w:val="none" w:sz="0" w:space="0" w:color="auto" w:frame="1"/>
                <w:lang w:eastAsia="en-GB"/>
              </w:rPr>
            </w:pPr>
            <w:r w:rsidRPr="0085581F">
              <w:rPr>
                <w:rFonts w:asciiTheme="majorBidi" w:hAnsiTheme="majorBidi" w:cstheme="majorBidi"/>
                <w:sz w:val="21"/>
                <w:lang w:eastAsia="en-GB"/>
              </w:rPr>
              <w:t>B2 / Negative</w:t>
            </w:r>
          </w:p>
        </w:tc>
      </w:tr>
      <w:tr w:rsidR="0085581F" w:rsidRPr="0085581F" w14:paraId="0AEF90FE" w14:textId="77777777" w:rsidTr="00A65A6F">
        <w:trPr>
          <w:cantSplit/>
          <w:trHeight w:val="368"/>
        </w:trPr>
        <w:tc>
          <w:tcPr>
            <w:tcW w:w="1287" w:type="pct"/>
            <w:tcBorders>
              <w:top w:val="single" w:sz="4" w:space="0" w:color="000031"/>
              <w:left w:val="nil"/>
              <w:bottom w:val="single" w:sz="4" w:space="0" w:color="000031"/>
              <w:right w:val="nil"/>
            </w:tcBorders>
            <w:tcMar>
              <w:top w:w="0" w:type="dxa"/>
              <w:left w:w="40" w:type="dxa"/>
              <w:bottom w:w="0" w:type="dxa"/>
              <w:right w:w="40" w:type="dxa"/>
            </w:tcMar>
            <w:vAlign w:val="center"/>
            <w:hideMark/>
          </w:tcPr>
          <w:p w14:paraId="249ACD98" w14:textId="77777777" w:rsidR="0085581F" w:rsidRPr="0085581F" w:rsidRDefault="0085581F" w:rsidP="0085581F">
            <w:pPr>
              <w:keepNext/>
              <w:keepLines/>
              <w:tabs>
                <w:tab w:val="left" w:pos="425"/>
              </w:tabs>
              <w:contextualSpacing/>
              <w:jc w:val="center"/>
              <w:rPr>
                <w:rFonts w:asciiTheme="majorBidi" w:eastAsia="Tahoma" w:hAnsiTheme="majorBidi" w:cstheme="majorBidi"/>
                <w:sz w:val="21"/>
                <w:szCs w:val="21"/>
                <w:bdr w:val="none" w:sz="0" w:space="0" w:color="auto" w:frame="1"/>
                <w:lang w:eastAsia="en-GB"/>
              </w:rPr>
            </w:pPr>
            <w:r w:rsidRPr="0085581F">
              <w:rPr>
                <w:rFonts w:asciiTheme="majorBidi" w:hAnsiTheme="majorBidi" w:cstheme="majorBidi"/>
                <w:sz w:val="21"/>
                <w:bdr w:val="none" w:sz="0" w:space="0" w:color="auto" w:frame="1"/>
                <w:lang w:eastAsia="en-GB"/>
              </w:rPr>
              <w:t>S&amp;P</w:t>
            </w:r>
          </w:p>
        </w:tc>
        <w:tc>
          <w:tcPr>
            <w:tcW w:w="165" w:type="pct"/>
            <w:tcBorders>
              <w:top w:val="single" w:sz="4" w:space="0" w:color="000031"/>
              <w:left w:val="nil"/>
              <w:bottom w:val="single" w:sz="4" w:space="0" w:color="000031"/>
              <w:right w:val="nil"/>
            </w:tcBorders>
            <w:tcMar>
              <w:top w:w="0" w:type="dxa"/>
              <w:left w:w="0" w:type="dxa"/>
              <w:bottom w:w="0" w:type="dxa"/>
              <w:right w:w="0" w:type="dxa"/>
            </w:tcMar>
            <w:vAlign w:val="center"/>
          </w:tcPr>
          <w:p w14:paraId="61CE0B72" w14:textId="77777777" w:rsidR="0085581F" w:rsidRPr="0085581F" w:rsidRDefault="0085581F" w:rsidP="0085581F">
            <w:pPr>
              <w:keepNext/>
              <w:keepLines/>
              <w:tabs>
                <w:tab w:val="left" w:pos="425"/>
              </w:tabs>
              <w:contextualSpacing/>
              <w:jc w:val="left"/>
              <w:rPr>
                <w:rFonts w:asciiTheme="majorBidi" w:eastAsia="Tahoma" w:hAnsiTheme="majorBidi" w:cstheme="majorBidi"/>
                <w:sz w:val="21"/>
                <w:szCs w:val="21"/>
                <w:bdr w:val="none" w:sz="0" w:space="0" w:color="auto" w:frame="1"/>
                <w:rtl/>
                <w:lang w:val="en-AU" w:eastAsia="en-AU"/>
              </w:rPr>
            </w:pPr>
          </w:p>
        </w:tc>
        <w:tc>
          <w:tcPr>
            <w:tcW w:w="1134" w:type="pct"/>
            <w:tcBorders>
              <w:top w:val="single" w:sz="4" w:space="0" w:color="000031"/>
              <w:left w:val="nil"/>
              <w:bottom w:val="single" w:sz="4" w:space="0" w:color="000031"/>
              <w:right w:val="nil"/>
            </w:tcBorders>
            <w:hideMark/>
          </w:tcPr>
          <w:p w14:paraId="3899FC57" w14:textId="77777777" w:rsidR="0085581F" w:rsidRPr="0085581F" w:rsidRDefault="0085581F" w:rsidP="0085581F">
            <w:pPr>
              <w:keepNext/>
              <w:keepLines/>
              <w:tabs>
                <w:tab w:val="left" w:pos="425"/>
              </w:tabs>
              <w:contextualSpacing/>
              <w:jc w:val="center"/>
              <w:rPr>
                <w:rFonts w:asciiTheme="majorBidi" w:eastAsia="Tahoma" w:hAnsiTheme="majorBidi" w:cstheme="majorBidi"/>
                <w:sz w:val="21"/>
                <w:szCs w:val="21"/>
                <w:bdr w:val="none" w:sz="0" w:space="0" w:color="auto" w:frame="1"/>
                <w:lang w:eastAsia="en-GB"/>
              </w:rPr>
            </w:pPr>
            <w:proofErr w:type="spellStart"/>
            <w:r w:rsidRPr="0085581F">
              <w:rPr>
                <w:rFonts w:asciiTheme="majorBidi" w:hAnsiTheme="majorBidi" w:cstheme="majorBidi"/>
                <w:sz w:val="21"/>
                <w:lang w:eastAsia="en-GB"/>
              </w:rPr>
              <w:t>ilA</w:t>
            </w:r>
            <w:proofErr w:type="spellEnd"/>
            <w:r w:rsidRPr="0085581F">
              <w:rPr>
                <w:rFonts w:asciiTheme="majorBidi" w:hAnsiTheme="majorBidi" w:cstheme="majorBidi"/>
                <w:sz w:val="21"/>
                <w:lang w:eastAsia="en-GB"/>
              </w:rPr>
              <w:t>- / Stable</w:t>
            </w:r>
            <w:r w:rsidRPr="0085581F">
              <w:rPr>
                <w:rFonts w:asciiTheme="majorBidi" w:hAnsiTheme="majorBidi" w:cstheme="majorBidi"/>
                <w:sz w:val="21"/>
                <w:vertAlign w:val="superscript"/>
                <w:lang w:eastAsia="en-GB"/>
              </w:rPr>
              <w:t xml:space="preserve"> *</w:t>
            </w:r>
          </w:p>
        </w:tc>
        <w:tc>
          <w:tcPr>
            <w:tcW w:w="1240" w:type="pct"/>
            <w:tcBorders>
              <w:top w:val="single" w:sz="4" w:space="0" w:color="000031"/>
              <w:left w:val="nil"/>
              <w:bottom w:val="single" w:sz="4" w:space="0" w:color="000031"/>
              <w:right w:val="nil"/>
            </w:tcBorders>
            <w:hideMark/>
          </w:tcPr>
          <w:p w14:paraId="06726CFA" w14:textId="77777777" w:rsidR="0085581F" w:rsidRPr="0085581F" w:rsidRDefault="0085581F" w:rsidP="0085581F">
            <w:pPr>
              <w:keepNext/>
              <w:keepLines/>
              <w:tabs>
                <w:tab w:val="left" w:pos="425"/>
              </w:tabs>
              <w:contextualSpacing/>
              <w:jc w:val="center"/>
              <w:rPr>
                <w:rFonts w:asciiTheme="majorBidi" w:eastAsia="Tahoma" w:hAnsiTheme="majorBidi" w:cstheme="majorBidi"/>
                <w:sz w:val="21"/>
                <w:szCs w:val="21"/>
                <w:bdr w:val="none" w:sz="0" w:space="0" w:color="auto" w:frame="1"/>
                <w:lang w:eastAsia="en-GB"/>
              </w:rPr>
            </w:pPr>
            <w:r w:rsidRPr="0085581F">
              <w:rPr>
                <w:rFonts w:asciiTheme="majorBidi" w:hAnsiTheme="majorBidi" w:cstheme="majorBidi"/>
                <w:sz w:val="21"/>
                <w:lang w:eastAsia="en-GB"/>
              </w:rPr>
              <w:t xml:space="preserve">BBB- / </w:t>
            </w:r>
            <w:r w:rsidRPr="0085581F">
              <w:rPr>
                <w:rFonts w:asciiTheme="majorBidi" w:hAnsiTheme="majorBidi" w:cstheme="majorBidi"/>
                <w:sz w:val="21"/>
                <w:bdr w:val="none" w:sz="0" w:space="0" w:color="auto" w:frame="1"/>
                <w:lang w:eastAsia="en-GB"/>
              </w:rPr>
              <w:t>Negative</w:t>
            </w:r>
          </w:p>
        </w:tc>
        <w:tc>
          <w:tcPr>
            <w:tcW w:w="1174" w:type="pct"/>
            <w:tcBorders>
              <w:top w:val="single" w:sz="4" w:space="0" w:color="000031"/>
              <w:left w:val="nil"/>
              <w:bottom w:val="single" w:sz="4" w:space="0" w:color="000031"/>
              <w:right w:val="nil"/>
            </w:tcBorders>
            <w:hideMark/>
          </w:tcPr>
          <w:p w14:paraId="6ECB5E5A" w14:textId="77777777" w:rsidR="0085581F" w:rsidRPr="0085581F" w:rsidRDefault="0085581F" w:rsidP="0085581F">
            <w:pPr>
              <w:keepNext/>
              <w:keepLines/>
              <w:tabs>
                <w:tab w:val="left" w:pos="425"/>
              </w:tabs>
              <w:contextualSpacing/>
              <w:jc w:val="center"/>
              <w:rPr>
                <w:rFonts w:asciiTheme="majorBidi" w:eastAsia="Tahoma" w:hAnsiTheme="majorBidi" w:cstheme="majorBidi"/>
                <w:sz w:val="21"/>
                <w:szCs w:val="21"/>
                <w:bdr w:val="none" w:sz="0" w:space="0" w:color="auto" w:frame="1"/>
                <w:lang w:eastAsia="en-GB"/>
              </w:rPr>
            </w:pPr>
            <w:r w:rsidRPr="0085581F">
              <w:rPr>
                <w:rFonts w:asciiTheme="majorBidi" w:hAnsiTheme="majorBidi" w:cstheme="majorBidi"/>
                <w:sz w:val="21"/>
                <w:lang w:eastAsia="en-GB"/>
              </w:rPr>
              <w:t>-</w:t>
            </w:r>
          </w:p>
        </w:tc>
      </w:tr>
    </w:tbl>
    <w:p w14:paraId="2EE64379" w14:textId="77777777" w:rsidR="00C64C16" w:rsidRDefault="0085581F" w:rsidP="0085581F">
      <w:pPr>
        <w:keepLines/>
        <w:tabs>
          <w:tab w:val="left" w:pos="425"/>
          <w:tab w:val="left" w:pos="1133"/>
        </w:tabs>
        <w:contextualSpacing/>
        <w:rPr>
          <w:rFonts w:asciiTheme="majorBidi" w:hAnsiTheme="majorBidi" w:cstheme="majorBidi"/>
          <w:sz w:val="21"/>
          <w:bdr w:val="none" w:sz="0" w:space="0" w:color="auto" w:frame="1"/>
          <w:vertAlign w:val="subscript"/>
        </w:rPr>
      </w:pPr>
      <w:r w:rsidRPr="0085581F">
        <w:rPr>
          <w:rFonts w:asciiTheme="majorBidi" w:hAnsiTheme="majorBidi" w:cstheme="majorBidi"/>
          <w:sz w:val="21"/>
          <w:bdr w:val="none" w:sz="0" w:space="0" w:color="auto" w:frame="1"/>
        </w:rPr>
        <w:t xml:space="preserve">* </w:t>
      </w:r>
      <w:r w:rsidRPr="00C64C16">
        <w:rPr>
          <w:rFonts w:asciiTheme="majorBidi" w:hAnsiTheme="majorBidi" w:cstheme="majorBidi"/>
          <w:sz w:val="21"/>
          <w:bdr w:val="none" w:sz="0" w:space="0" w:color="auto" w:frame="1"/>
          <w:vertAlign w:val="subscript"/>
        </w:rPr>
        <w:t xml:space="preserve">The Company’s Debentures (Series R) </w:t>
      </w:r>
      <w:r w:rsidR="00C64C16" w:rsidRPr="00C64C16">
        <w:rPr>
          <w:rFonts w:asciiTheme="majorBidi" w:hAnsiTheme="majorBidi" w:cstheme="majorBidi"/>
          <w:sz w:val="21"/>
          <w:bdr w:val="none" w:sz="0" w:space="0" w:color="auto" w:frame="1"/>
          <w:vertAlign w:val="subscript"/>
        </w:rPr>
        <w:t xml:space="preserve">(Series </w:t>
      </w:r>
      <w:r w:rsidR="00C64C16">
        <w:rPr>
          <w:rFonts w:asciiTheme="majorBidi" w:hAnsiTheme="majorBidi" w:cstheme="majorBidi"/>
          <w:sz w:val="21"/>
          <w:bdr w:val="none" w:sz="0" w:space="0" w:color="auto" w:frame="1"/>
          <w:vertAlign w:val="subscript"/>
        </w:rPr>
        <w:t>S</w:t>
      </w:r>
      <w:r w:rsidR="00C64C16" w:rsidRPr="00C64C16">
        <w:rPr>
          <w:rFonts w:asciiTheme="majorBidi" w:hAnsiTheme="majorBidi" w:cstheme="majorBidi"/>
          <w:sz w:val="21"/>
          <w:bdr w:val="none" w:sz="0" w:space="0" w:color="auto" w:frame="1"/>
          <w:vertAlign w:val="subscript"/>
        </w:rPr>
        <w:t xml:space="preserve">) </w:t>
      </w:r>
      <w:r w:rsidRPr="00C64C16">
        <w:rPr>
          <w:rFonts w:asciiTheme="majorBidi" w:hAnsiTheme="majorBidi" w:cstheme="majorBidi"/>
          <w:sz w:val="21"/>
          <w:bdr w:val="none" w:sz="0" w:space="0" w:color="auto" w:frame="1"/>
          <w:vertAlign w:val="subscript"/>
        </w:rPr>
        <w:t xml:space="preserve">and (Series T) that are secured by a lien, are rated by S&amp;P </w:t>
      </w:r>
      <w:proofErr w:type="spellStart"/>
      <w:r w:rsidRPr="00C64C16">
        <w:rPr>
          <w:rFonts w:asciiTheme="majorBidi" w:hAnsiTheme="majorBidi" w:cstheme="majorBidi"/>
          <w:sz w:val="21"/>
          <w:bdr w:val="none" w:sz="0" w:space="0" w:color="auto" w:frame="1"/>
          <w:vertAlign w:val="subscript"/>
        </w:rPr>
        <w:t>Maalot</w:t>
      </w:r>
      <w:proofErr w:type="spellEnd"/>
      <w:r w:rsidRPr="00C64C16">
        <w:rPr>
          <w:rFonts w:asciiTheme="majorBidi" w:hAnsiTheme="majorBidi" w:cstheme="majorBidi"/>
          <w:sz w:val="21"/>
          <w:bdr w:val="none" w:sz="0" w:space="0" w:color="auto" w:frame="1"/>
          <w:vertAlign w:val="subscript"/>
        </w:rPr>
        <w:t xml:space="preserve"> and </w:t>
      </w:r>
      <w:proofErr w:type="spellStart"/>
      <w:r w:rsidRPr="00C64C16">
        <w:rPr>
          <w:rFonts w:asciiTheme="majorBidi" w:hAnsiTheme="majorBidi" w:cstheme="majorBidi"/>
          <w:sz w:val="21"/>
          <w:bdr w:val="none" w:sz="0" w:space="0" w:color="auto" w:frame="1"/>
          <w:vertAlign w:val="subscript"/>
        </w:rPr>
        <w:t>Midroog</w:t>
      </w:r>
      <w:proofErr w:type="spellEnd"/>
      <w:r w:rsidRPr="00C64C16">
        <w:rPr>
          <w:rFonts w:asciiTheme="majorBidi" w:hAnsiTheme="majorBidi" w:cstheme="majorBidi"/>
          <w:sz w:val="21"/>
          <w:bdr w:val="none" w:sz="0" w:space="0" w:color="auto" w:frame="1"/>
          <w:vertAlign w:val="subscript"/>
        </w:rPr>
        <w:t xml:space="preserve"> as </w:t>
      </w:r>
      <w:proofErr w:type="spellStart"/>
      <w:r w:rsidRPr="00C64C16">
        <w:rPr>
          <w:rFonts w:asciiTheme="majorBidi" w:hAnsiTheme="majorBidi" w:cstheme="majorBidi"/>
          <w:sz w:val="21"/>
          <w:bdr w:val="none" w:sz="0" w:space="0" w:color="auto" w:frame="1"/>
          <w:vertAlign w:val="subscript"/>
        </w:rPr>
        <w:t>ilA</w:t>
      </w:r>
      <w:proofErr w:type="spellEnd"/>
      <w:r w:rsidRPr="00C64C16">
        <w:rPr>
          <w:rFonts w:asciiTheme="majorBidi" w:hAnsiTheme="majorBidi" w:cstheme="majorBidi"/>
          <w:sz w:val="21"/>
          <w:bdr w:val="none" w:sz="0" w:space="0" w:color="auto" w:frame="1"/>
          <w:vertAlign w:val="subscript"/>
        </w:rPr>
        <w:t xml:space="preserve"> and A2.il, respectively</w:t>
      </w:r>
      <w:r w:rsidR="00C64C16">
        <w:rPr>
          <w:rFonts w:asciiTheme="majorBidi" w:hAnsiTheme="majorBidi" w:cstheme="majorBidi"/>
          <w:sz w:val="21"/>
          <w:bdr w:val="none" w:sz="0" w:space="0" w:color="auto" w:frame="1"/>
          <w:vertAlign w:val="subscript"/>
        </w:rPr>
        <w:t>.</w:t>
      </w:r>
    </w:p>
    <w:p w14:paraId="239A2223" w14:textId="38C31415" w:rsidR="0085581F" w:rsidRPr="0085581F" w:rsidRDefault="0085581F" w:rsidP="0085581F">
      <w:pPr>
        <w:keepLines/>
        <w:tabs>
          <w:tab w:val="left" w:pos="425"/>
          <w:tab w:val="left" w:pos="1133"/>
        </w:tabs>
        <w:contextualSpacing/>
        <w:rPr>
          <w:rFonts w:asciiTheme="majorBidi" w:hAnsiTheme="majorBidi" w:cstheme="majorBidi"/>
          <w:sz w:val="21"/>
          <w:szCs w:val="21"/>
          <w:bdr w:val="none" w:sz="0" w:space="0" w:color="auto" w:frame="1"/>
          <w:vertAlign w:val="subscript"/>
        </w:rPr>
      </w:pPr>
      <w:r w:rsidRPr="0085581F">
        <w:rPr>
          <w:rFonts w:asciiTheme="majorBidi" w:hAnsiTheme="majorBidi" w:cstheme="majorBidi"/>
          <w:sz w:val="21"/>
          <w:bdr w:val="none" w:sz="0" w:space="0" w:color="auto" w:frame="1"/>
          <w:vertAlign w:val="subscript"/>
        </w:rPr>
        <w:t xml:space="preserve"> </w:t>
      </w:r>
    </w:p>
    <w:p w14:paraId="6B1C6597" w14:textId="77777777" w:rsidR="0085581F" w:rsidRPr="0085581F" w:rsidRDefault="0085581F" w:rsidP="0085581F">
      <w:pPr>
        <w:keepLines/>
        <w:contextualSpacing/>
        <w:rPr>
          <w:rFonts w:asciiTheme="majorBidi" w:hAnsiTheme="majorBidi" w:cstheme="majorBidi"/>
          <w:sz w:val="21"/>
          <w:szCs w:val="21"/>
        </w:rPr>
      </w:pPr>
      <w:bookmarkStart w:id="49" w:name="_Hlk135232885"/>
      <w:r w:rsidRPr="0085581F">
        <w:rPr>
          <w:rFonts w:asciiTheme="majorBidi" w:hAnsiTheme="majorBidi" w:cstheme="majorBidi"/>
          <w:sz w:val="21"/>
        </w:rPr>
        <w:t>The Group's revenue from leasing of apartments in most of the countries (more than 90%) in which the Group operates, other than the United States, are linked to the CPI and contributed to the increase in its revenues and the value of its assets, respectively. At the same time, 69% of the Group's debt is not linked to the CPI (after the effect of swap transactions). An increase in the CPI increases the Group’s share of the debt CPI linked financing expenses. The rental linkage mechanisms constitute long-term financial hedging against the increase in the Company's financing expenses due to the CPI linkage, and with regard to the CPI linked debt (against which there is no CPI linked income in Israel), the Company executes hedging through cross-currency swaps that also include CPI hedging.</w:t>
      </w:r>
    </w:p>
    <w:p w14:paraId="3B7239A2" w14:textId="77777777" w:rsidR="0085581F" w:rsidRPr="0085581F" w:rsidRDefault="0085581F" w:rsidP="0085581F">
      <w:pPr>
        <w:keepLines/>
        <w:contextualSpacing/>
        <w:rPr>
          <w:rFonts w:asciiTheme="majorBidi" w:hAnsiTheme="majorBidi" w:cstheme="majorBidi"/>
          <w:sz w:val="21"/>
          <w:szCs w:val="21"/>
        </w:rPr>
      </w:pPr>
      <w:r w:rsidRPr="0085581F">
        <w:rPr>
          <w:rFonts w:asciiTheme="majorBidi" w:hAnsiTheme="majorBidi" w:cstheme="majorBidi"/>
          <w:sz w:val="21"/>
        </w:rPr>
        <w:t>Furthermore, 88% of the Group's debt is long term at fixed interest (after hedging transactions) and therefore in the short term the Company does not expect that the domestic interest rate increase will not significantly affect the Company's financing expenses. At the same time, the Company is aware that the debt raising costs will grow in line with the increase in market interest rates and estimates that the debt raising costs will increase in accordance with additional increases in the market interest rate, if there will be any.</w:t>
      </w:r>
    </w:p>
    <w:p w14:paraId="2819C55C" w14:textId="77777777" w:rsidR="0085581F" w:rsidRPr="00C64C16" w:rsidRDefault="0085581F" w:rsidP="0085581F">
      <w:pPr>
        <w:keepLines/>
        <w:tabs>
          <w:tab w:val="left" w:pos="425"/>
          <w:tab w:val="left" w:pos="707"/>
        </w:tabs>
        <w:contextualSpacing/>
        <w:rPr>
          <w:rFonts w:asciiTheme="majorBidi" w:hAnsiTheme="majorBidi" w:cstheme="majorBidi"/>
          <w:bCs/>
          <w:sz w:val="21"/>
          <w:szCs w:val="21"/>
        </w:rPr>
      </w:pPr>
      <w:r w:rsidRPr="00C64C16">
        <w:rPr>
          <w:rFonts w:asciiTheme="majorBidi" w:hAnsiTheme="majorBidi" w:cstheme="majorBidi"/>
          <w:bCs/>
          <w:sz w:val="21"/>
        </w:rPr>
        <w:t>It is hereby clarified that the Company is unable to estimate the future effects of the macro-economic changes on its operations and if the foregoing changes will lead to a global recession it could adversely affect the Group's operations and results. For further information see the chapter on Risk Factors in the Company’s periodic report for 2023.</w:t>
      </w:r>
    </w:p>
    <w:bookmarkEnd w:id="49"/>
    <w:p w14:paraId="7FB51529" w14:textId="77777777" w:rsidR="0085581F" w:rsidRPr="0085581F" w:rsidRDefault="0085581F" w:rsidP="0085581F">
      <w:pPr>
        <w:keepLines/>
        <w:tabs>
          <w:tab w:val="left" w:pos="425"/>
          <w:tab w:val="left" w:pos="707"/>
        </w:tabs>
        <w:contextualSpacing/>
        <w:rPr>
          <w:rFonts w:asciiTheme="majorBidi" w:hAnsiTheme="majorBidi" w:cstheme="majorBidi"/>
          <w:sz w:val="21"/>
          <w:szCs w:val="21"/>
          <w:rtl/>
        </w:rPr>
      </w:pPr>
    </w:p>
    <w:p w14:paraId="60F9D5AE" w14:textId="77777777" w:rsidR="0085581F" w:rsidRPr="0085581F" w:rsidRDefault="0085581F" w:rsidP="004D7A72">
      <w:pPr>
        <w:keepNext/>
        <w:keepLines/>
        <w:numPr>
          <w:ilvl w:val="0"/>
          <w:numId w:val="36"/>
        </w:numPr>
        <w:contextualSpacing/>
        <w:outlineLvl w:val="3"/>
        <w:rPr>
          <w:rFonts w:asciiTheme="majorBidi" w:hAnsiTheme="majorBidi" w:cstheme="majorBidi"/>
          <w:vanish/>
          <w:sz w:val="21"/>
          <w:szCs w:val="21"/>
        </w:rPr>
      </w:pPr>
      <w:bookmarkStart w:id="50" w:name="H4_אירועים_מהותיים_בקבוצה_בתקופת_הדוח"/>
    </w:p>
    <w:p w14:paraId="6B8763ED" w14:textId="77777777" w:rsidR="0085581F" w:rsidRPr="0085581F" w:rsidRDefault="0085581F" w:rsidP="004D7A72">
      <w:pPr>
        <w:keepNext/>
        <w:keepLines/>
        <w:numPr>
          <w:ilvl w:val="1"/>
          <w:numId w:val="36"/>
        </w:numPr>
        <w:contextualSpacing/>
        <w:outlineLvl w:val="3"/>
        <w:rPr>
          <w:rFonts w:asciiTheme="majorBidi" w:hAnsiTheme="majorBidi" w:cstheme="majorBidi"/>
          <w:vanish/>
          <w:sz w:val="21"/>
          <w:szCs w:val="21"/>
          <w:rtl/>
        </w:rPr>
      </w:pPr>
    </w:p>
    <w:p w14:paraId="441174A2" w14:textId="77777777" w:rsidR="0085581F" w:rsidRPr="0085581F" w:rsidRDefault="0085581F" w:rsidP="004D7A72">
      <w:pPr>
        <w:keepNext/>
        <w:keepLines/>
        <w:numPr>
          <w:ilvl w:val="1"/>
          <w:numId w:val="36"/>
        </w:numPr>
        <w:contextualSpacing/>
        <w:outlineLvl w:val="3"/>
        <w:rPr>
          <w:rFonts w:asciiTheme="majorBidi" w:hAnsiTheme="majorBidi" w:cstheme="majorBidi"/>
          <w:vanish/>
          <w:sz w:val="21"/>
          <w:szCs w:val="21"/>
          <w:rtl/>
        </w:rPr>
      </w:pPr>
    </w:p>
    <w:p w14:paraId="6CB4364D" w14:textId="77777777" w:rsidR="0085581F" w:rsidRPr="0085581F" w:rsidRDefault="0085581F" w:rsidP="004D7A72">
      <w:pPr>
        <w:keepNext/>
        <w:keepLines/>
        <w:numPr>
          <w:ilvl w:val="1"/>
          <w:numId w:val="36"/>
        </w:numPr>
        <w:ind w:left="423" w:hanging="423"/>
        <w:contextualSpacing/>
        <w:outlineLvl w:val="3"/>
        <w:rPr>
          <w:rFonts w:asciiTheme="majorBidi" w:hAnsiTheme="majorBidi" w:cstheme="majorBidi"/>
          <w:sz w:val="21"/>
          <w:szCs w:val="21"/>
        </w:rPr>
      </w:pPr>
      <w:r w:rsidRPr="0085581F">
        <w:rPr>
          <w:rFonts w:asciiTheme="majorBidi" w:hAnsiTheme="majorBidi" w:cstheme="majorBidi"/>
          <w:sz w:val="21"/>
        </w:rPr>
        <w:t>Material Events in the Group in the Reporting Period</w:t>
      </w:r>
    </w:p>
    <w:p w14:paraId="589424CD" w14:textId="6FCF0BA1" w:rsidR="0085581F" w:rsidRPr="0085581F" w:rsidRDefault="0085581F" w:rsidP="004D7A72">
      <w:pPr>
        <w:keepLines/>
        <w:numPr>
          <w:ilvl w:val="0"/>
          <w:numId w:val="44"/>
        </w:numPr>
        <w:tabs>
          <w:tab w:val="left" w:pos="425"/>
        </w:tabs>
        <w:ind w:left="851"/>
        <w:contextualSpacing/>
        <w:rPr>
          <w:rFonts w:asciiTheme="majorBidi" w:hAnsiTheme="majorBidi" w:cstheme="majorBidi"/>
          <w:sz w:val="21"/>
          <w:szCs w:val="21"/>
        </w:rPr>
      </w:pPr>
      <w:bookmarkStart w:id="51" w:name="_Hlk135233393"/>
      <w:bookmarkStart w:id="52" w:name="_Hlk150767558"/>
      <w:bookmarkEnd w:id="50"/>
      <w:r w:rsidRPr="0085581F">
        <w:rPr>
          <w:rFonts w:asciiTheme="majorBidi" w:hAnsiTheme="majorBidi" w:cstheme="majorBidi"/>
          <w:sz w:val="21"/>
        </w:rPr>
        <w:t xml:space="preserve">For further information concerning the Company's issue of new debentures (Series R), that are secured by the shares of private companies that own investment real estate in the United States, for an amount of NIS 410 million, see Note </w:t>
      </w:r>
      <w:r w:rsidR="00C56200">
        <w:rPr>
          <w:rFonts w:asciiTheme="majorBidi" w:hAnsiTheme="majorBidi" w:cstheme="majorBidi"/>
          <w:sz w:val="21"/>
        </w:rPr>
        <w:t>3A1</w:t>
      </w:r>
      <w:r w:rsidRPr="0085581F">
        <w:rPr>
          <w:rFonts w:asciiTheme="majorBidi" w:hAnsiTheme="majorBidi" w:cstheme="majorBidi"/>
          <w:sz w:val="21"/>
        </w:rPr>
        <w:t xml:space="preserve"> to the financial statements.</w:t>
      </w:r>
    </w:p>
    <w:p w14:paraId="4654BDFD" w14:textId="5F31B605" w:rsidR="0085581F" w:rsidRPr="0085581F" w:rsidRDefault="0085581F" w:rsidP="004D7A72">
      <w:pPr>
        <w:keepLines/>
        <w:numPr>
          <w:ilvl w:val="0"/>
          <w:numId w:val="44"/>
        </w:numPr>
        <w:tabs>
          <w:tab w:val="left" w:pos="425"/>
        </w:tabs>
        <w:ind w:left="851"/>
        <w:contextualSpacing/>
        <w:rPr>
          <w:rFonts w:asciiTheme="majorBidi" w:hAnsiTheme="majorBidi" w:cstheme="majorBidi"/>
          <w:sz w:val="21"/>
          <w:szCs w:val="21"/>
        </w:rPr>
      </w:pPr>
      <w:r w:rsidRPr="0085581F">
        <w:rPr>
          <w:rFonts w:asciiTheme="majorBidi" w:hAnsiTheme="majorBidi" w:cstheme="majorBidi"/>
          <w:sz w:val="21"/>
        </w:rPr>
        <w:t xml:space="preserve">For further information concerning the Company's issue of new debentures (Series </w:t>
      </w:r>
      <w:r w:rsidR="00C64C16">
        <w:rPr>
          <w:rFonts w:asciiTheme="majorBidi" w:hAnsiTheme="majorBidi" w:cstheme="majorBidi"/>
          <w:sz w:val="21"/>
        </w:rPr>
        <w:t>S</w:t>
      </w:r>
      <w:r w:rsidRPr="0085581F">
        <w:rPr>
          <w:rFonts w:asciiTheme="majorBidi" w:hAnsiTheme="majorBidi" w:cstheme="majorBidi"/>
          <w:sz w:val="21"/>
        </w:rPr>
        <w:t xml:space="preserve">), that are secured by the shares of two real estate properties in Israel, for an amount of NIS 495 million, see Note </w:t>
      </w:r>
      <w:r w:rsidR="00C56200">
        <w:rPr>
          <w:rFonts w:asciiTheme="majorBidi" w:hAnsiTheme="majorBidi" w:cstheme="majorBidi"/>
          <w:sz w:val="21"/>
        </w:rPr>
        <w:t>3A7</w:t>
      </w:r>
      <w:r w:rsidRPr="0085581F">
        <w:rPr>
          <w:rFonts w:asciiTheme="majorBidi" w:hAnsiTheme="majorBidi" w:cstheme="majorBidi"/>
          <w:sz w:val="21"/>
        </w:rPr>
        <w:t xml:space="preserve"> to the financial statements.</w:t>
      </w:r>
    </w:p>
    <w:p w14:paraId="3C0973DE" w14:textId="138FB25D" w:rsidR="0085581F" w:rsidRPr="0085581F" w:rsidRDefault="0085581F" w:rsidP="004D7A72">
      <w:pPr>
        <w:keepLines/>
        <w:numPr>
          <w:ilvl w:val="0"/>
          <w:numId w:val="44"/>
        </w:numPr>
        <w:tabs>
          <w:tab w:val="left" w:pos="425"/>
        </w:tabs>
        <w:ind w:left="851"/>
        <w:contextualSpacing/>
        <w:rPr>
          <w:rFonts w:asciiTheme="majorBidi" w:hAnsiTheme="majorBidi" w:cstheme="majorBidi"/>
          <w:sz w:val="21"/>
          <w:szCs w:val="21"/>
        </w:rPr>
      </w:pPr>
      <w:r w:rsidRPr="0085581F">
        <w:rPr>
          <w:rFonts w:asciiTheme="majorBidi" w:hAnsiTheme="majorBidi" w:cstheme="majorBidi"/>
          <w:sz w:val="21"/>
        </w:rPr>
        <w:t xml:space="preserve">For further information concerning the Company's expansion of an existing debenture series (Series P) that is secured by shares of G Europe (a wholly owned subsidiary of the Company) for an amount of NIS 336 million, see Note </w:t>
      </w:r>
      <w:r w:rsidR="00C56200">
        <w:rPr>
          <w:rFonts w:asciiTheme="majorBidi" w:hAnsiTheme="majorBidi" w:cstheme="majorBidi"/>
          <w:sz w:val="21"/>
        </w:rPr>
        <w:t>3A8</w:t>
      </w:r>
      <w:r w:rsidRPr="0085581F">
        <w:rPr>
          <w:rFonts w:asciiTheme="majorBidi" w:hAnsiTheme="majorBidi" w:cstheme="majorBidi"/>
          <w:sz w:val="21"/>
        </w:rPr>
        <w:t xml:space="preserve"> to the financial statements.</w:t>
      </w:r>
    </w:p>
    <w:p w14:paraId="51AEE723" w14:textId="53C4E3BC" w:rsidR="0085581F" w:rsidRPr="0085581F" w:rsidRDefault="0085581F" w:rsidP="004D7A72">
      <w:pPr>
        <w:keepLines/>
        <w:numPr>
          <w:ilvl w:val="0"/>
          <w:numId w:val="44"/>
        </w:numPr>
        <w:tabs>
          <w:tab w:val="left" w:pos="425"/>
        </w:tabs>
        <w:ind w:left="851"/>
        <w:contextualSpacing/>
        <w:rPr>
          <w:rFonts w:asciiTheme="majorBidi" w:hAnsiTheme="majorBidi" w:cstheme="majorBidi"/>
          <w:sz w:val="21"/>
          <w:szCs w:val="21"/>
        </w:rPr>
      </w:pPr>
      <w:r w:rsidRPr="0085581F">
        <w:rPr>
          <w:rFonts w:asciiTheme="majorBidi" w:hAnsiTheme="majorBidi" w:cstheme="majorBidi"/>
          <w:sz w:val="21"/>
        </w:rPr>
        <w:t xml:space="preserve">For further information regarding the buyback of the Company’s debentures for an amount of NIS 120 million par value, see Note </w:t>
      </w:r>
      <w:r w:rsidR="00C56200">
        <w:rPr>
          <w:rFonts w:asciiTheme="majorBidi" w:hAnsiTheme="majorBidi" w:cstheme="majorBidi"/>
          <w:sz w:val="21"/>
        </w:rPr>
        <w:t>3A2</w:t>
      </w:r>
      <w:r w:rsidRPr="0085581F">
        <w:rPr>
          <w:rFonts w:asciiTheme="majorBidi" w:hAnsiTheme="majorBidi" w:cstheme="majorBidi"/>
          <w:sz w:val="21"/>
        </w:rPr>
        <w:t xml:space="preserve"> to the financial statements.</w:t>
      </w:r>
    </w:p>
    <w:p w14:paraId="3DE5FB3D" w14:textId="77777777" w:rsidR="0085581F" w:rsidRPr="0085581F" w:rsidRDefault="0085581F" w:rsidP="004D7A72">
      <w:pPr>
        <w:keepLines/>
        <w:numPr>
          <w:ilvl w:val="0"/>
          <w:numId w:val="44"/>
        </w:numPr>
        <w:tabs>
          <w:tab w:val="left" w:pos="425"/>
        </w:tabs>
        <w:ind w:left="851"/>
        <w:contextualSpacing/>
        <w:rPr>
          <w:rFonts w:asciiTheme="majorBidi" w:hAnsiTheme="majorBidi" w:cstheme="majorBidi"/>
          <w:sz w:val="21"/>
          <w:szCs w:val="21"/>
        </w:rPr>
      </w:pPr>
      <w:r w:rsidRPr="0085581F">
        <w:rPr>
          <w:rFonts w:asciiTheme="majorBidi" w:hAnsiTheme="majorBidi" w:cstheme="majorBidi"/>
          <w:sz w:val="21"/>
        </w:rPr>
        <w:t>In the Quarter, the Company executed a buy-back of 1.1 million shares of the Company for NIS 10 million.</w:t>
      </w:r>
    </w:p>
    <w:p w14:paraId="3AE41E9D" w14:textId="77777777" w:rsidR="0085581F" w:rsidRPr="0085581F" w:rsidRDefault="0085581F" w:rsidP="004D7A72">
      <w:pPr>
        <w:keepLines/>
        <w:numPr>
          <w:ilvl w:val="0"/>
          <w:numId w:val="44"/>
        </w:numPr>
        <w:tabs>
          <w:tab w:val="left" w:pos="425"/>
        </w:tabs>
        <w:ind w:left="851"/>
        <w:contextualSpacing/>
        <w:rPr>
          <w:rFonts w:asciiTheme="majorBidi" w:hAnsiTheme="majorBidi" w:cstheme="majorBidi"/>
          <w:sz w:val="21"/>
          <w:szCs w:val="21"/>
        </w:rPr>
      </w:pPr>
      <w:r w:rsidRPr="0085581F">
        <w:rPr>
          <w:rFonts w:asciiTheme="majorBidi" w:hAnsiTheme="majorBidi" w:cstheme="majorBidi"/>
          <w:sz w:val="21"/>
        </w:rPr>
        <w:t>For further information regarding the issue of debentures by CTY for the amount of EUR 300 million, see Note 3A3 to the financial statements.</w:t>
      </w:r>
    </w:p>
    <w:p w14:paraId="5C774380" w14:textId="5966D986" w:rsidR="0085581F" w:rsidRPr="0085581F" w:rsidRDefault="0085581F" w:rsidP="004D7A72">
      <w:pPr>
        <w:keepLines/>
        <w:numPr>
          <w:ilvl w:val="0"/>
          <w:numId w:val="44"/>
        </w:numPr>
        <w:ind w:left="851"/>
        <w:contextualSpacing/>
        <w:rPr>
          <w:rFonts w:asciiTheme="majorBidi" w:hAnsiTheme="majorBidi" w:cstheme="majorBidi"/>
          <w:sz w:val="21"/>
          <w:szCs w:val="21"/>
        </w:rPr>
      </w:pPr>
      <w:r w:rsidRPr="0085581F">
        <w:rPr>
          <w:rFonts w:asciiTheme="majorBidi" w:hAnsiTheme="majorBidi" w:cstheme="majorBidi"/>
          <w:sz w:val="21"/>
        </w:rPr>
        <w:t xml:space="preserve">For further information regarding the buyback of debentures by CTY in the amount of EUR 213.2 million, see Note </w:t>
      </w:r>
      <w:r w:rsidR="00C56200">
        <w:rPr>
          <w:rFonts w:asciiTheme="majorBidi" w:hAnsiTheme="majorBidi" w:cstheme="majorBidi"/>
          <w:sz w:val="21"/>
        </w:rPr>
        <w:t>3A4</w:t>
      </w:r>
      <w:r w:rsidRPr="0085581F">
        <w:rPr>
          <w:rFonts w:asciiTheme="majorBidi" w:hAnsiTheme="majorBidi" w:cstheme="majorBidi"/>
          <w:sz w:val="21"/>
        </w:rPr>
        <w:t xml:space="preserve"> to the financial statements.</w:t>
      </w:r>
    </w:p>
    <w:p w14:paraId="666576DD" w14:textId="218010BD" w:rsidR="0085581F" w:rsidRPr="0085581F" w:rsidRDefault="0085581F" w:rsidP="004D7A72">
      <w:pPr>
        <w:keepLines/>
        <w:numPr>
          <w:ilvl w:val="0"/>
          <w:numId w:val="44"/>
        </w:numPr>
        <w:tabs>
          <w:tab w:val="left" w:pos="425"/>
        </w:tabs>
        <w:ind w:left="851"/>
        <w:contextualSpacing/>
        <w:rPr>
          <w:rFonts w:asciiTheme="majorBidi" w:hAnsiTheme="majorBidi" w:cstheme="majorBidi"/>
          <w:sz w:val="21"/>
          <w:szCs w:val="21"/>
        </w:rPr>
      </w:pPr>
      <w:r w:rsidRPr="0085581F">
        <w:rPr>
          <w:rFonts w:asciiTheme="majorBidi" w:hAnsiTheme="majorBidi" w:cstheme="majorBidi"/>
          <w:sz w:val="21"/>
        </w:rPr>
        <w:t xml:space="preserve">For further information concerning the proactive early redemption of all outstanding Debentures (Series 2024) of CTY for an amount of EUR 97 million, see Note </w:t>
      </w:r>
      <w:r w:rsidR="00C56200">
        <w:rPr>
          <w:rFonts w:asciiTheme="majorBidi" w:hAnsiTheme="majorBidi" w:cstheme="majorBidi"/>
          <w:sz w:val="21"/>
        </w:rPr>
        <w:t>3A9</w:t>
      </w:r>
      <w:r w:rsidRPr="0085581F">
        <w:rPr>
          <w:rFonts w:asciiTheme="majorBidi" w:hAnsiTheme="majorBidi" w:cstheme="majorBidi"/>
          <w:sz w:val="21"/>
        </w:rPr>
        <w:t xml:space="preserve"> to the financial statements. </w:t>
      </w:r>
    </w:p>
    <w:p w14:paraId="5D8DF5AB" w14:textId="0E259483" w:rsidR="0085581F" w:rsidRPr="0085581F" w:rsidRDefault="0085581F" w:rsidP="004D7A72">
      <w:pPr>
        <w:keepLines/>
        <w:numPr>
          <w:ilvl w:val="0"/>
          <w:numId w:val="44"/>
        </w:numPr>
        <w:tabs>
          <w:tab w:val="left" w:pos="425"/>
        </w:tabs>
        <w:ind w:left="851"/>
        <w:contextualSpacing/>
        <w:rPr>
          <w:rFonts w:asciiTheme="majorBidi" w:hAnsiTheme="majorBidi" w:cstheme="majorBidi"/>
          <w:sz w:val="21"/>
          <w:szCs w:val="21"/>
        </w:rPr>
      </w:pPr>
      <w:r w:rsidRPr="0085581F">
        <w:rPr>
          <w:rFonts w:asciiTheme="majorBidi" w:hAnsiTheme="majorBidi" w:cstheme="majorBidi"/>
          <w:sz w:val="21"/>
        </w:rPr>
        <w:t xml:space="preserve">For further information regarding buy back of G Europe debentures and hybrid debentures for an amount of EUR 101 million par value and EUR 33.5 par value, respectively, see Notes </w:t>
      </w:r>
      <w:r w:rsidR="00C56200">
        <w:rPr>
          <w:rFonts w:asciiTheme="majorBidi" w:hAnsiTheme="majorBidi" w:cstheme="majorBidi"/>
          <w:sz w:val="21"/>
        </w:rPr>
        <w:t>3A5</w:t>
      </w:r>
      <w:r w:rsidRPr="0085581F">
        <w:rPr>
          <w:rFonts w:asciiTheme="majorBidi" w:hAnsiTheme="majorBidi" w:cstheme="majorBidi"/>
          <w:sz w:val="21"/>
        </w:rPr>
        <w:t xml:space="preserve"> and </w:t>
      </w:r>
      <w:r w:rsidR="00C56200">
        <w:rPr>
          <w:rFonts w:asciiTheme="majorBidi" w:hAnsiTheme="majorBidi" w:cstheme="majorBidi"/>
          <w:sz w:val="21"/>
        </w:rPr>
        <w:t xml:space="preserve">3A6 </w:t>
      </w:r>
      <w:r w:rsidRPr="0085581F">
        <w:rPr>
          <w:rFonts w:asciiTheme="majorBidi" w:hAnsiTheme="majorBidi" w:cstheme="majorBidi"/>
          <w:sz w:val="21"/>
        </w:rPr>
        <w:t>to the financial statements.</w:t>
      </w:r>
    </w:p>
    <w:p w14:paraId="2A1684DA" w14:textId="5F8C4C3B" w:rsidR="0085581F" w:rsidRPr="0085581F" w:rsidRDefault="0085581F" w:rsidP="004D7A72">
      <w:pPr>
        <w:keepLines/>
        <w:numPr>
          <w:ilvl w:val="0"/>
          <w:numId w:val="44"/>
        </w:numPr>
        <w:tabs>
          <w:tab w:val="left" w:pos="425"/>
        </w:tabs>
        <w:ind w:left="851"/>
        <w:contextualSpacing/>
        <w:rPr>
          <w:rFonts w:asciiTheme="majorBidi" w:hAnsiTheme="majorBidi" w:cstheme="majorBidi"/>
          <w:sz w:val="21"/>
          <w:szCs w:val="21"/>
        </w:rPr>
      </w:pPr>
      <w:r w:rsidRPr="0085581F">
        <w:rPr>
          <w:rFonts w:asciiTheme="majorBidi" w:hAnsiTheme="majorBidi" w:cstheme="majorBidi"/>
          <w:sz w:val="21"/>
        </w:rPr>
        <w:t xml:space="preserve">For further information concerning the issue of part of the operations in Brazil by way of a </w:t>
      </w:r>
      <w:r w:rsidR="00A453F4">
        <w:rPr>
          <w:rFonts w:asciiTheme="majorBidi" w:hAnsiTheme="majorBidi" w:cstheme="majorBidi"/>
          <w:sz w:val="21"/>
        </w:rPr>
        <w:t>tender offer</w:t>
      </w:r>
      <w:r w:rsidRPr="0085581F">
        <w:rPr>
          <w:rFonts w:asciiTheme="majorBidi" w:hAnsiTheme="majorBidi" w:cstheme="majorBidi"/>
          <w:sz w:val="21"/>
        </w:rPr>
        <w:t xml:space="preserve"> for an amount of BRL 301 million (NIS 226 million), see Note </w:t>
      </w:r>
      <w:r w:rsidR="00C56200">
        <w:rPr>
          <w:rFonts w:asciiTheme="majorBidi" w:hAnsiTheme="majorBidi" w:cstheme="majorBidi"/>
          <w:sz w:val="21"/>
        </w:rPr>
        <w:t>3B1</w:t>
      </w:r>
      <w:r w:rsidRPr="0085581F">
        <w:rPr>
          <w:rFonts w:asciiTheme="majorBidi" w:hAnsiTheme="majorBidi" w:cstheme="majorBidi"/>
          <w:sz w:val="21"/>
        </w:rPr>
        <w:t xml:space="preserve"> to the financial statements.</w:t>
      </w:r>
    </w:p>
    <w:p w14:paraId="3CF36FF8" w14:textId="4F1087FF" w:rsidR="0085581F" w:rsidRPr="0085581F" w:rsidRDefault="0085581F" w:rsidP="004D7A72">
      <w:pPr>
        <w:keepLines/>
        <w:numPr>
          <w:ilvl w:val="0"/>
          <w:numId w:val="44"/>
        </w:numPr>
        <w:tabs>
          <w:tab w:val="left" w:pos="425"/>
        </w:tabs>
        <w:ind w:left="851"/>
        <w:contextualSpacing/>
        <w:rPr>
          <w:rFonts w:asciiTheme="majorBidi" w:hAnsiTheme="majorBidi" w:cstheme="majorBidi"/>
          <w:sz w:val="21"/>
          <w:szCs w:val="21"/>
        </w:rPr>
      </w:pPr>
      <w:r w:rsidRPr="0085581F">
        <w:rPr>
          <w:rFonts w:asciiTheme="majorBidi" w:hAnsiTheme="majorBidi" w:cstheme="majorBidi"/>
          <w:sz w:val="21"/>
        </w:rPr>
        <w:t xml:space="preserve">For further information regarding equity raising by CTY in the amount of EUR 48 million and the Company’s participation in the issue, see Note </w:t>
      </w:r>
      <w:r w:rsidR="00C56200">
        <w:rPr>
          <w:rFonts w:asciiTheme="majorBidi" w:hAnsiTheme="majorBidi" w:cstheme="majorBidi"/>
          <w:sz w:val="21"/>
        </w:rPr>
        <w:t>3B2</w:t>
      </w:r>
      <w:r w:rsidRPr="0085581F">
        <w:rPr>
          <w:rFonts w:asciiTheme="majorBidi" w:hAnsiTheme="majorBidi" w:cstheme="majorBidi"/>
          <w:sz w:val="21"/>
        </w:rPr>
        <w:t xml:space="preserve"> to the financial statements.</w:t>
      </w:r>
    </w:p>
    <w:p w14:paraId="621B4F97" w14:textId="77777777" w:rsidR="0085581F" w:rsidRPr="0085581F" w:rsidRDefault="0085581F" w:rsidP="004D7A72">
      <w:pPr>
        <w:keepLines/>
        <w:numPr>
          <w:ilvl w:val="0"/>
          <w:numId w:val="44"/>
        </w:numPr>
        <w:tabs>
          <w:tab w:val="left" w:pos="425"/>
        </w:tabs>
        <w:ind w:left="851"/>
        <w:contextualSpacing/>
        <w:rPr>
          <w:rFonts w:asciiTheme="majorBidi" w:hAnsiTheme="majorBidi" w:cstheme="majorBidi"/>
          <w:sz w:val="21"/>
          <w:szCs w:val="21"/>
        </w:rPr>
      </w:pPr>
      <w:r w:rsidRPr="0085581F">
        <w:rPr>
          <w:rFonts w:asciiTheme="majorBidi" w:hAnsiTheme="majorBidi" w:cstheme="majorBidi"/>
          <w:sz w:val="21"/>
        </w:rPr>
        <w:t>For further information concerning CTY’s acquisition of the partner's holdings (50%) in a joint transaction in Sweden, see Note 3B3 to the financial statements.</w:t>
      </w:r>
    </w:p>
    <w:p w14:paraId="4CC92D2B" w14:textId="77777777" w:rsidR="0085581F" w:rsidRPr="0085581F" w:rsidRDefault="0085581F" w:rsidP="004D7A72">
      <w:pPr>
        <w:keepLines/>
        <w:numPr>
          <w:ilvl w:val="0"/>
          <w:numId w:val="44"/>
        </w:numPr>
        <w:tabs>
          <w:tab w:val="left" w:pos="425"/>
        </w:tabs>
        <w:ind w:left="851"/>
        <w:contextualSpacing/>
        <w:rPr>
          <w:rFonts w:asciiTheme="majorBidi" w:hAnsiTheme="majorBidi" w:cstheme="majorBidi"/>
          <w:sz w:val="21"/>
          <w:szCs w:val="21"/>
        </w:rPr>
      </w:pPr>
      <w:r w:rsidRPr="0085581F">
        <w:rPr>
          <w:rFonts w:asciiTheme="majorBidi" w:hAnsiTheme="majorBidi" w:cstheme="majorBidi"/>
          <w:sz w:val="21"/>
        </w:rPr>
        <w:t xml:space="preserve">In May 2024, CTY extended the term of the financing agreement in the amount of EUR 650 million (consisting of a revolving credit line of EUR 400 million and a long term loan in an amount of EUR 250 million), by way of exercising options given to CTY under the agreement, for a further period of one year (until April 2027). Furthermore, CTY extended the loan agreement assigned to it as part of the acquisition of </w:t>
      </w:r>
      <w:proofErr w:type="spellStart"/>
      <w:r w:rsidRPr="0085581F">
        <w:rPr>
          <w:rFonts w:asciiTheme="majorBidi" w:hAnsiTheme="majorBidi" w:cstheme="majorBidi"/>
          <w:sz w:val="21"/>
        </w:rPr>
        <w:t>Kista</w:t>
      </w:r>
      <w:proofErr w:type="spellEnd"/>
      <w:r w:rsidRPr="0085581F">
        <w:rPr>
          <w:rFonts w:asciiTheme="majorBidi" w:hAnsiTheme="majorBidi" w:cstheme="majorBidi"/>
          <w:sz w:val="21"/>
        </w:rPr>
        <w:t>, for a period of five years (until May 2029).</w:t>
      </w:r>
    </w:p>
    <w:p w14:paraId="5CD6B83D" w14:textId="15B36DFF" w:rsidR="0085581F" w:rsidRPr="0085581F" w:rsidRDefault="0085581F" w:rsidP="004D7A72">
      <w:pPr>
        <w:keepLines/>
        <w:numPr>
          <w:ilvl w:val="0"/>
          <w:numId w:val="44"/>
        </w:numPr>
        <w:tabs>
          <w:tab w:val="left" w:pos="425"/>
        </w:tabs>
        <w:ind w:left="851"/>
        <w:contextualSpacing/>
        <w:rPr>
          <w:rFonts w:asciiTheme="majorBidi" w:hAnsiTheme="majorBidi" w:cstheme="majorBidi"/>
          <w:sz w:val="21"/>
          <w:szCs w:val="21"/>
        </w:rPr>
      </w:pPr>
      <w:r w:rsidRPr="0085581F">
        <w:rPr>
          <w:rFonts w:asciiTheme="majorBidi" w:hAnsiTheme="majorBidi" w:cstheme="majorBidi"/>
          <w:sz w:val="21"/>
        </w:rPr>
        <w:t xml:space="preserve">For further information concerning the exchange of hybrid debentures by CTY in return for the issue of a new series of hybrid debentures and cash payment, see Note </w:t>
      </w:r>
      <w:r w:rsidR="00C56200">
        <w:rPr>
          <w:rFonts w:asciiTheme="majorBidi" w:hAnsiTheme="majorBidi" w:cstheme="majorBidi"/>
          <w:sz w:val="21"/>
        </w:rPr>
        <w:t>3A10</w:t>
      </w:r>
      <w:r w:rsidRPr="0085581F">
        <w:rPr>
          <w:rFonts w:asciiTheme="majorBidi" w:hAnsiTheme="majorBidi" w:cstheme="majorBidi"/>
          <w:sz w:val="21"/>
        </w:rPr>
        <w:t xml:space="preserve"> to the financial statements.</w:t>
      </w:r>
    </w:p>
    <w:p w14:paraId="3466F266" w14:textId="77777777" w:rsidR="0085581F" w:rsidRPr="0085581F" w:rsidRDefault="0085581F" w:rsidP="0085581F">
      <w:pPr>
        <w:keepLines/>
        <w:tabs>
          <w:tab w:val="left" w:pos="425"/>
        </w:tabs>
        <w:contextualSpacing/>
        <w:rPr>
          <w:rFonts w:asciiTheme="majorBidi" w:hAnsiTheme="majorBidi" w:cstheme="majorBidi"/>
          <w:sz w:val="21"/>
          <w:szCs w:val="21"/>
        </w:rPr>
      </w:pPr>
    </w:p>
    <w:p w14:paraId="6C6DFEA8" w14:textId="77777777" w:rsidR="0085581F" w:rsidRPr="0085581F" w:rsidRDefault="0085581F" w:rsidP="004D7A72">
      <w:pPr>
        <w:keepNext/>
        <w:keepLines/>
        <w:numPr>
          <w:ilvl w:val="1"/>
          <w:numId w:val="36"/>
        </w:numPr>
        <w:tabs>
          <w:tab w:val="left" w:pos="425"/>
          <w:tab w:val="left" w:pos="707"/>
        </w:tabs>
        <w:ind w:left="0" w:firstLine="0"/>
        <w:contextualSpacing/>
        <w:outlineLvl w:val="3"/>
        <w:rPr>
          <w:rFonts w:asciiTheme="majorBidi" w:hAnsiTheme="majorBidi" w:cstheme="majorBidi"/>
          <w:sz w:val="21"/>
          <w:szCs w:val="21"/>
        </w:rPr>
      </w:pPr>
      <w:bookmarkStart w:id="53" w:name="H4_מדיניות_חלוקת_דיבידנד"/>
      <w:bookmarkStart w:id="54" w:name="_Hlk142829891"/>
      <w:bookmarkEnd w:id="51"/>
      <w:bookmarkEnd w:id="52"/>
      <w:r w:rsidRPr="0085581F">
        <w:rPr>
          <w:rFonts w:asciiTheme="majorBidi" w:hAnsiTheme="majorBidi" w:cstheme="majorBidi"/>
          <w:sz w:val="21"/>
        </w:rPr>
        <w:t>Dividend Distribution Policy</w:t>
      </w:r>
    </w:p>
    <w:p w14:paraId="0B421ED0" w14:textId="78794CFC" w:rsidR="00D1153E" w:rsidRPr="00D1153E" w:rsidRDefault="00D1153E" w:rsidP="00D1153E">
      <w:pPr>
        <w:tabs>
          <w:tab w:val="left" w:pos="1133"/>
        </w:tabs>
        <w:contextualSpacing/>
        <w:outlineLvl w:val="3"/>
        <w:rPr>
          <w:rFonts w:asciiTheme="majorBidi" w:eastAsia="Times New Roman" w:hAnsiTheme="majorBidi" w:cstheme="majorBidi"/>
          <w:sz w:val="21"/>
          <w:szCs w:val="21"/>
          <w:lang w:val="en-IL"/>
        </w:rPr>
      </w:pPr>
      <w:bookmarkStart w:id="55" w:name="H4_מצב_כספי"/>
      <w:bookmarkEnd w:id="53"/>
      <w:bookmarkEnd w:id="54"/>
      <w:r w:rsidRPr="00D1153E">
        <w:rPr>
          <w:rFonts w:asciiTheme="majorBidi" w:eastAsia="Times New Roman" w:hAnsiTheme="majorBidi" w:cstheme="majorBidi"/>
          <w:sz w:val="21"/>
          <w:szCs w:val="21"/>
          <w:lang w:val="en"/>
        </w:rPr>
        <w:t>As of January 2023 until the date of the report, the company has not distributed a dividend to its shareholders. On August 14, 2024, the Company's board of directors decided to return to the company's dividend distribution policy, which was adopted by the board of directors in 1998, according to which the company used to distribute dividends to its shareholders on a regular basis every quarter. Accordingly, the company's board of directors decided to distribute a dividend for the third quarter of 2024 in the amount of 0.10 NIS per share (a total of NIS 18.2 million), and this after examining the company's financial situation, including its projected cash flow, and in accordance with the progress of the property disposal plan announced by the company on October 25, 2022, as updated from time to time, as well as other considerations, and in accordance with the distribution tests set forth in the Companies Law, 1999. The Company's board of directors will return and review the scope of the dividend distribution every quarter, in accordance with the aforesaid considerations.</w:t>
      </w:r>
    </w:p>
    <w:p w14:paraId="00A88218" w14:textId="02A4D813" w:rsidR="00271F4D" w:rsidRPr="009A026B" w:rsidRDefault="00271F4D" w:rsidP="004A28A2">
      <w:pPr>
        <w:tabs>
          <w:tab w:val="left" w:pos="1133"/>
        </w:tabs>
        <w:contextualSpacing/>
        <w:outlineLvl w:val="3"/>
        <w:rPr>
          <w:rFonts w:asciiTheme="majorBidi" w:eastAsia="Times New Roman" w:hAnsiTheme="majorBidi" w:cstheme="majorBidi"/>
          <w:sz w:val="21"/>
          <w:szCs w:val="21"/>
          <w:lang w:val="en-IL"/>
        </w:rPr>
      </w:pPr>
    </w:p>
    <w:p w14:paraId="775A2672" w14:textId="77777777" w:rsidR="0085581F" w:rsidRPr="0085581F" w:rsidRDefault="0085581F" w:rsidP="004D7A72">
      <w:pPr>
        <w:keepNext/>
        <w:keepLines/>
        <w:numPr>
          <w:ilvl w:val="1"/>
          <w:numId w:val="36"/>
        </w:numPr>
        <w:tabs>
          <w:tab w:val="left" w:pos="425"/>
          <w:tab w:val="left" w:pos="707"/>
        </w:tabs>
        <w:ind w:left="0" w:firstLine="0"/>
        <w:contextualSpacing/>
        <w:outlineLvl w:val="3"/>
        <w:rPr>
          <w:rFonts w:asciiTheme="majorBidi" w:hAnsiTheme="majorBidi" w:cstheme="majorBidi"/>
          <w:sz w:val="21"/>
          <w:szCs w:val="21"/>
        </w:rPr>
      </w:pPr>
      <w:r w:rsidRPr="0085581F">
        <w:rPr>
          <w:rFonts w:asciiTheme="majorBidi" w:hAnsiTheme="majorBidi" w:cstheme="majorBidi"/>
          <w:sz w:val="21"/>
        </w:rPr>
        <w:lastRenderedPageBreak/>
        <w:t>Financial Position</w:t>
      </w:r>
    </w:p>
    <w:p w14:paraId="5881DD8C" w14:textId="77777777" w:rsidR="0085581F" w:rsidRPr="0085581F" w:rsidRDefault="0085581F" w:rsidP="0085581F">
      <w:pPr>
        <w:keepNext/>
        <w:keepLines/>
        <w:tabs>
          <w:tab w:val="left" w:pos="425"/>
          <w:tab w:val="left" w:pos="1133"/>
        </w:tabs>
        <w:contextualSpacing/>
        <w:outlineLvl w:val="4"/>
        <w:rPr>
          <w:rFonts w:asciiTheme="majorBidi" w:hAnsiTheme="majorBidi" w:cstheme="majorBidi"/>
          <w:sz w:val="21"/>
          <w:szCs w:val="21"/>
          <w:u w:val="single"/>
        </w:rPr>
      </w:pPr>
      <w:bookmarkStart w:id="56" w:name="H5_נכסים_שוטפים"/>
      <w:bookmarkStart w:id="57" w:name="_Hlk142830009"/>
      <w:bookmarkEnd w:id="55"/>
      <w:r w:rsidRPr="0085581F">
        <w:rPr>
          <w:rFonts w:asciiTheme="majorBidi" w:hAnsiTheme="majorBidi" w:cstheme="majorBidi"/>
          <w:sz w:val="21"/>
          <w:u w:val="single"/>
        </w:rPr>
        <w:t>Current assets</w:t>
      </w:r>
    </w:p>
    <w:bookmarkEnd w:id="56"/>
    <w:p w14:paraId="091D20B3" w14:textId="77777777" w:rsidR="0085581F" w:rsidRPr="0085581F" w:rsidRDefault="0085581F" w:rsidP="0085581F">
      <w:pPr>
        <w:keepLines/>
        <w:tabs>
          <w:tab w:val="left" w:pos="425"/>
          <w:tab w:val="left" w:pos="1133"/>
        </w:tabs>
        <w:contextualSpacing/>
        <w:rPr>
          <w:rFonts w:asciiTheme="majorBidi" w:hAnsiTheme="majorBidi" w:cstheme="majorBidi"/>
          <w:sz w:val="21"/>
          <w:szCs w:val="21"/>
        </w:rPr>
      </w:pPr>
      <w:r w:rsidRPr="0085581F">
        <w:rPr>
          <w:rFonts w:asciiTheme="majorBidi" w:hAnsiTheme="majorBidi" w:cstheme="majorBidi"/>
          <w:sz w:val="21"/>
        </w:rPr>
        <w:t xml:space="preserve">Current assets, as at June 30, 2024, amounted to NIS 4.0 billion, compared with NIS 4.3 billion at December 31, 2023. The decrease in current assets is mainly due to the disposal of investment real estate held for sale that was offset by an increase in cash and cash equivalents. </w:t>
      </w:r>
    </w:p>
    <w:p w14:paraId="3D7C2887" w14:textId="77777777" w:rsidR="0085581F" w:rsidRPr="0085581F" w:rsidRDefault="0085581F" w:rsidP="0085581F">
      <w:pPr>
        <w:keepLines/>
        <w:tabs>
          <w:tab w:val="left" w:pos="425"/>
          <w:tab w:val="left" w:pos="1133"/>
        </w:tabs>
        <w:contextualSpacing/>
        <w:rPr>
          <w:rFonts w:asciiTheme="majorBidi" w:hAnsiTheme="majorBidi" w:cstheme="majorBidi"/>
          <w:sz w:val="21"/>
          <w:szCs w:val="21"/>
          <w:u w:val="single"/>
          <w:rtl/>
        </w:rPr>
      </w:pPr>
    </w:p>
    <w:p w14:paraId="5F2B910B" w14:textId="77777777" w:rsidR="0085581F" w:rsidRPr="0085581F" w:rsidRDefault="0085581F" w:rsidP="0085581F">
      <w:pPr>
        <w:keepNext/>
        <w:keepLines/>
        <w:tabs>
          <w:tab w:val="left" w:pos="425"/>
          <w:tab w:val="left" w:pos="1133"/>
        </w:tabs>
        <w:contextualSpacing/>
        <w:outlineLvl w:val="4"/>
        <w:rPr>
          <w:rFonts w:asciiTheme="majorBidi" w:hAnsiTheme="majorBidi" w:cstheme="majorBidi"/>
          <w:sz w:val="21"/>
          <w:szCs w:val="21"/>
          <w:u w:val="single"/>
        </w:rPr>
      </w:pPr>
      <w:bookmarkStart w:id="58" w:name="H5_השקעות_המטופלות_בשיטת_השווי_המאזני"/>
      <w:r w:rsidRPr="0085581F">
        <w:rPr>
          <w:rFonts w:asciiTheme="majorBidi" w:hAnsiTheme="majorBidi" w:cstheme="majorBidi"/>
          <w:sz w:val="21"/>
          <w:u w:val="single"/>
        </w:rPr>
        <w:t>Equity accounted investments</w:t>
      </w:r>
    </w:p>
    <w:bookmarkEnd w:id="58"/>
    <w:p w14:paraId="25683035" w14:textId="77777777" w:rsidR="0085581F" w:rsidRPr="0085581F" w:rsidRDefault="0085581F" w:rsidP="0085581F">
      <w:pPr>
        <w:keepLines/>
        <w:tabs>
          <w:tab w:val="left" w:pos="425"/>
          <w:tab w:val="left" w:pos="1133"/>
        </w:tabs>
        <w:contextualSpacing/>
        <w:rPr>
          <w:rFonts w:asciiTheme="majorBidi" w:hAnsiTheme="majorBidi" w:cstheme="majorBidi"/>
          <w:sz w:val="21"/>
          <w:szCs w:val="21"/>
        </w:rPr>
      </w:pPr>
      <w:r w:rsidRPr="0085581F">
        <w:rPr>
          <w:rFonts w:asciiTheme="majorBidi" w:hAnsiTheme="majorBidi" w:cstheme="majorBidi"/>
          <w:sz w:val="21"/>
        </w:rPr>
        <w:t xml:space="preserve">Equity-accounted investments amounted to NIS 1.0 billion as at June 30, 2024, compared to NIS 1.1 billion as at December 31, 2023. Equity-accounted investments is primarily comprised of the balance of investments in real estate held-for-sale through joint ventures as recorded in the books of Gazit Horizons and Gazit Canada. The decrease in equity accounted investments is primarily due to the acquisition of the partner’s share in the </w:t>
      </w:r>
      <w:proofErr w:type="spellStart"/>
      <w:r w:rsidRPr="0085581F">
        <w:rPr>
          <w:rFonts w:asciiTheme="majorBidi" w:hAnsiTheme="majorBidi" w:cstheme="majorBidi"/>
          <w:sz w:val="21"/>
        </w:rPr>
        <w:t>Kista</w:t>
      </w:r>
      <w:proofErr w:type="spellEnd"/>
      <w:r w:rsidRPr="0085581F">
        <w:rPr>
          <w:rFonts w:asciiTheme="majorBidi" w:hAnsiTheme="majorBidi" w:cstheme="majorBidi"/>
          <w:sz w:val="21"/>
        </w:rPr>
        <w:t xml:space="preserve"> Galleria property which was under joint control, for further information see Note 3B3 to the financial statements.</w:t>
      </w:r>
    </w:p>
    <w:p w14:paraId="290E3999" w14:textId="77777777" w:rsidR="0085581F" w:rsidRPr="0085581F" w:rsidRDefault="0085581F" w:rsidP="0085581F">
      <w:pPr>
        <w:keepLines/>
        <w:tabs>
          <w:tab w:val="left" w:pos="425"/>
          <w:tab w:val="left" w:pos="1133"/>
        </w:tabs>
        <w:contextualSpacing/>
        <w:rPr>
          <w:rFonts w:asciiTheme="majorBidi" w:hAnsiTheme="majorBidi" w:cstheme="majorBidi"/>
          <w:sz w:val="21"/>
          <w:szCs w:val="21"/>
          <w:rtl/>
        </w:rPr>
      </w:pPr>
    </w:p>
    <w:p w14:paraId="21C45BFB" w14:textId="77777777" w:rsidR="0085581F" w:rsidRPr="0085581F" w:rsidRDefault="0085581F" w:rsidP="0085581F">
      <w:pPr>
        <w:keepNext/>
        <w:keepLines/>
        <w:tabs>
          <w:tab w:val="left" w:pos="425"/>
          <w:tab w:val="left" w:pos="1133"/>
        </w:tabs>
        <w:contextualSpacing/>
        <w:outlineLvl w:val="4"/>
        <w:rPr>
          <w:rFonts w:asciiTheme="majorBidi" w:hAnsiTheme="majorBidi" w:cstheme="majorBidi"/>
          <w:sz w:val="21"/>
          <w:szCs w:val="21"/>
          <w:u w:val="single"/>
        </w:rPr>
      </w:pPr>
      <w:bookmarkStart w:id="59" w:name="H5_נגזרים_פיננסיים_לא_שוטפים_"/>
      <w:r w:rsidRPr="0085581F">
        <w:rPr>
          <w:rFonts w:asciiTheme="majorBidi" w:hAnsiTheme="majorBidi" w:cstheme="majorBidi"/>
          <w:sz w:val="21"/>
          <w:u w:val="single"/>
        </w:rPr>
        <w:t xml:space="preserve">Non-current financial derivatives </w:t>
      </w:r>
    </w:p>
    <w:bookmarkEnd w:id="59"/>
    <w:p w14:paraId="050964E9" w14:textId="77777777" w:rsidR="0085581F" w:rsidRPr="0085581F" w:rsidRDefault="0085581F" w:rsidP="0085581F">
      <w:pPr>
        <w:keepLines/>
        <w:tabs>
          <w:tab w:val="left" w:pos="425"/>
          <w:tab w:val="left" w:pos="1133"/>
        </w:tabs>
        <w:contextualSpacing/>
        <w:rPr>
          <w:rFonts w:asciiTheme="majorBidi" w:hAnsiTheme="majorBidi" w:cstheme="majorBidi"/>
          <w:sz w:val="21"/>
          <w:szCs w:val="21"/>
        </w:rPr>
      </w:pPr>
      <w:r w:rsidRPr="0085581F">
        <w:rPr>
          <w:rFonts w:asciiTheme="majorBidi" w:hAnsiTheme="majorBidi" w:cstheme="majorBidi"/>
        </w:rPr>
        <w:t>The balance of financial derivatives arises mainly from cross-currency swap transactions, performed as part of the Group’s policy to maintain as close a correlation as possible between the currency in which properties are acquired and the currency in which the liabilities to finance the acquisition of those properties are incurred (on a proportionate consolidation basis), and are presented at fair value (see also section 4 below).</w:t>
      </w:r>
      <w:r w:rsidRPr="0085581F">
        <w:rPr>
          <w:rFonts w:asciiTheme="majorBidi" w:hAnsiTheme="majorBidi" w:cstheme="majorBidi"/>
          <w:sz w:val="21"/>
        </w:rPr>
        <w:t xml:space="preserve"> The balance of the financial derivatives is presented net of amounts received under CSA (Credit Support Annex) agreements signed with certain banks and that establish ongoing accounting mechanisms between the Company and the bank through which  the swap transaction with regard to the fair value of such transactions are carried out. As at June 30, 2024, this balance amounted to NIS 185 million compared to NIS 290 million at December 31, 2023.</w:t>
      </w:r>
    </w:p>
    <w:p w14:paraId="5470DF03" w14:textId="77777777" w:rsidR="0085581F" w:rsidRPr="0085581F" w:rsidRDefault="0085581F" w:rsidP="0085581F">
      <w:pPr>
        <w:keepLines/>
        <w:tabs>
          <w:tab w:val="left" w:pos="425"/>
          <w:tab w:val="left" w:pos="1133"/>
        </w:tabs>
        <w:contextualSpacing/>
        <w:rPr>
          <w:rFonts w:asciiTheme="majorBidi" w:hAnsiTheme="majorBidi" w:cstheme="majorBidi"/>
          <w:sz w:val="21"/>
          <w:szCs w:val="21"/>
          <w:u w:val="single"/>
          <w:rtl/>
        </w:rPr>
      </w:pPr>
    </w:p>
    <w:p w14:paraId="092861EA" w14:textId="62FABF22" w:rsidR="0085581F" w:rsidRPr="0085581F" w:rsidRDefault="00F52410" w:rsidP="0085581F">
      <w:pPr>
        <w:keepNext/>
        <w:keepLines/>
        <w:tabs>
          <w:tab w:val="left" w:pos="425"/>
          <w:tab w:val="left" w:pos="1133"/>
        </w:tabs>
        <w:contextualSpacing/>
        <w:outlineLvl w:val="4"/>
        <w:rPr>
          <w:rFonts w:asciiTheme="majorBidi" w:hAnsiTheme="majorBidi" w:cstheme="majorBidi"/>
          <w:sz w:val="21"/>
          <w:szCs w:val="21"/>
          <w:u w:val="single"/>
        </w:rPr>
      </w:pPr>
      <w:bookmarkStart w:id="60" w:name="H5_נדלן_להשקעה_ונדלן_להשקעה_בפיתוח_"/>
      <w:r>
        <w:rPr>
          <w:rFonts w:asciiTheme="majorBidi" w:hAnsiTheme="majorBidi" w:cstheme="majorBidi"/>
          <w:sz w:val="21"/>
          <w:u w:val="single"/>
        </w:rPr>
        <w:t>I</w:t>
      </w:r>
      <w:r w:rsidR="0085581F" w:rsidRPr="0085581F">
        <w:rPr>
          <w:rFonts w:asciiTheme="majorBidi" w:hAnsiTheme="majorBidi" w:cstheme="majorBidi"/>
          <w:sz w:val="21"/>
          <w:u w:val="single"/>
        </w:rPr>
        <w:t xml:space="preserve">nvestment property and investment property under development </w:t>
      </w:r>
    </w:p>
    <w:bookmarkEnd w:id="60"/>
    <w:p w14:paraId="6D411018" w14:textId="77777777" w:rsidR="0085581F" w:rsidRPr="0085581F" w:rsidRDefault="0085581F" w:rsidP="0085581F">
      <w:pPr>
        <w:keepLines/>
        <w:tabs>
          <w:tab w:val="left" w:pos="425"/>
          <w:tab w:val="left" w:pos="1133"/>
        </w:tabs>
        <w:contextualSpacing/>
        <w:rPr>
          <w:rFonts w:asciiTheme="majorBidi" w:hAnsiTheme="majorBidi" w:cstheme="majorBidi"/>
          <w:sz w:val="21"/>
          <w:szCs w:val="21"/>
        </w:rPr>
      </w:pPr>
      <w:r w:rsidRPr="0085581F">
        <w:rPr>
          <w:rFonts w:asciiTheme="majorBidi" w:hAnsiTheme="majorBidi" w:cstheme="majorBidi"/>
          <w:sz w:val="21"/>
        </w:rPr>
        <w:t xml:space="preserve">Investment property and investment property under development (including properties held for sale, presented in current assets) as of June 30, 2024, amounted to NIS 34.8 billion, similar to the balance as at December 31, 2023. </w:t>
      </w:r>
    </w:p>
    <w:p w14:paraId="74134A7F" w14:textId="26133D97" w:rsidR="0085581F" w:rsidRPr="0085581F" w:rsidRDefault="0085581F" w:rsidP="0085581F">
      <w:pPr>
        <w:keepLines/>
        <w:tabs>
          <w:tab w:val="left" w:pos="425"/>
          <w:tab w:val="left" w:pos="1133"/>
        </w:tabs>
        <w:contextualSpacing/>
        <w:rPr>
          <w:rFonts w:asciiTheme="majorBidi" w:hAnsiTheme="majorBidi" w:cstheme="majorBidi"/>
          <w:sz w:val="21"/>
          <w:szCs w:val="21"/>
        </w:rPr>
      </w:pPr>
      <w:r w:rsidRPr="0085581F">
        <w:rPr>
          <w:rFonts w:asciiTheme="majorBidi" w:hAnsiTheme="majorBidi" w:cstheme="majorBidi"/>
          <w:sz w:val="21"/>
        </w:rPr>
        <w:t xml:space="preserve">The changes in the balances of the various items in the reporting period are mainly due to the disposal of investment real estate and the depreciation of the Group's operating currencies against the NIS, which was offset by the first time consolidation of the </w:t>
      </w:r>
      <w:proofErr w:type="spellStart"/>
      <w:r w:rsidRPr="0085581F">
        <w:rPr>
          <w:rFonts w:asciiTheme="majorBidi" w:hAnsiTheme="majorBidi" w:cstheme="majorBidi"/>
          <w:sz w:val="21"/>
        </w:rPr>
        <w:t>Kista</w:t>
      </w:r>
      <w:proofErr w:type="spellEnd"/>
      <w:r w:rsidRPr="0085581F">
        <w:rPr>
          <w:rFonts w:asciiTheme="majorBidi" w:hAnsiTheme="majorBidi" w:cstheme="majorBidi"/>
          <w:sz w:val="21"/>
        </w:rPr>
        <w:t xml:space="preserve"> Galleria investment real estate due to the acquisition of the partner's share and the increase in the value of investment </w:t>
      </w:r>
      <w:r w:rsidR="00C64C16">
        <w:rPr>
          <w:rFonts w:asciiTheme="majorBidi" w:hAnsiTheme="majorBidi" w:cstheme="majorBidi"/>
          <w:sz w:val="21"/>
        </w:rPr>
        <w:t>properties</w:t>
      </w:r>
      <w:r w:rsidRPr="0085581F">
        <w:rPr>
          <w:rFonts w:asciiTheme="majorBidi" w:hAnsiTheme="majorBidi" w:cstheme="majorBidi"/>
          <w:sz w:val="21"/>
        </w:rPr>
        <w:t xml:space="preserve"> recognized in the reporting period.</w:t>
      </w:r>
    </w:p>
    <w:p w14:paraId="231DEBFD" w14:textId="77777777" w:rsidR="0085581F" w:rsidRPr="0085581F" w:rsidRDefault="0085581F" w:rsidP="0085581F">
      <w:pPr>
        <w:keepLines/>
        <w:tabs>
          <w:tab w:val="left" w:pos="425"/>
          <w:tab w:val="left" w:pos="1133"/>
        </w:tabs>
        <w:contextualSpacing/>
        <w:rPr>
          <w:rFonts w:asciiTheme="majorBidi" w:hAnsiTheme="majorBidi" w:cstheme="majorBidi"/>
          <w:sz w:val="21"/>
          <w:szCs w:val="21"/>
          <w:rtl/>
        </w:rPr>
      </w:pPr>
    </w:p>
    <w:p w14:paraId="4DF31A82" w14:textId="77777777" w:rsidR="0085581F" w:rsidRPr="0085581F" w:rsidRDefault="0085581F" w:rsidP="0085581F">
      <w:pPr>
        <w:keepNext/>
        <w:keepLines/>
        <w:tabs>
          <w:tab w:val="left" w:pos="425"/>
          <w:tab w:val="left" w:pos="1133"/>
        </w:tabs>
        <w:contextualSpacing/>
        <w:outlineLvl w:val="4"/>
        <w:rPr>
          <w:rFonts w:asciiTheme="majorBidi" w:hAnsiTheme="majorBidi" w:cstheme="majorBidi"/>
          <w:sz w:val="21"/>
          <w:szCs w:val="21"/>
          <w:u w:val="single"/>
        </w:rPr>
      </w:pPr>
      <w:bookmarkStart w:id="61" w:name="H5_נכסים_בלתי_מוחשיים_נטו"/>
      <w:r w:rsidRPr="0085581F">
        <w:rPr>
          <w:rFonts w:asciiTheme="majorBidi" w:hAnsiTheme="majorBidi" w:cstheme="majorBidi"/>
          <w:sz w:val="21"/>
          <w:u w:val="single"/>
        </w:rPr>
        <w:t>Intangible assets, net</w:t>
      </w:r>
    </w:p>
    <w:bookmarkEnd w:id="61"/>
    <w:p w14:paraId="024CBFA7" w14:textId="77777777" w:rsidR="0085581F" w:rsidRPr="0085581F" w:rsidRDefault="0085581F" w:rsidP="0085581F">
      <w:pPr>
        <w:keepLines/>
        <w:tabs>
          <w:tab w:val="left" w:pos="425"/>
          <w:tab w:val="left" w:pos="1133"/>
        </w:tabs>
        <w:contextualSpacing/>
        <w:rPr>
          <w:rFonts w:asciiTheme="majorBidi" w:hAnsiTheme="majorBidi" w:cstheme="majorBidi"/>
          <w:sz w:val="21"/>
          <w:szCs w:val="21"/>
        </w:rPr>
      </w:pPr>
      <w:r w:rsidRPr="0085581F">
        <w:rPr>
          <w:rFonts w:asciiTheme="majorBidi" w:hAnsiTheme="majorBidi" w:cstheme="majorBidi"/>
          <w:sz w:val="21"/>
        </w:rPr>
        <w:t xml:space="preserve">Net intangible assets amounted to NIS 431 million as at June 30, 2024, compared to NIS 447 million at December 31, 2023. The intangible assets is the goodwill attributable to the assets in Norway that are held by CTY. </w:t>
      </w:r>
    </w:p>
    <w:p w14:paraId="556115A6" w14:textId="77777777" w:rsidR="0085581F" w:rsidRPr="0085581F" w:rsidRDefault="0085581F" w:rsidP="0085581F">
      <w:pPr>
        <w:keepLines/>
        <w:tabs>
          <w:tab w:val="left" w:pos="425"/>
          <w:tab w:val="left" w:pos="1133"/>
        </w:tabs>
        <w:contextualSpacing/>
        <w:rPr>
          <w:rFonts w:asciiTheme="majorBidi" w:hAnsiTheme="majorBidi" w:cstheme="majorBidi"/>
          <w:sz w:val="21"/>
          <w:szCs w:val="21"/>
          <w:u w:val="single"/>
          <w:rtl/>
        </w:rPr>
      </w:pPr>
    </w:p>
    <w:p w14:paraId="0888730D" w14:textId="77777777" w:rsidR="0085581F" w:rsidRPr="0085581F" w:rsidRDefault="0085581F" w:rsidP="0085581F">
      <w:pPr>
        <w:keepNext/>
        <w:keepLines/>
        <w:tabs>
          <w:tab w:val="left" w:pos="425"/>
          <w:tab w:val="left" w:pos="1133"/>
        </w:tabs>
        <w:contextualSpacing/>
        <w:outlineLvl w:val="4"/>
        <w:rPr>
          <w:rFonts w:asciiTheme="majorBidi" w:hAnsiTheme="majorBidi" w:cstheme="majorBidi"/>
          <w:sz w:val="21"/>
          <w:szCs w:val="21"/>
          <w:u w:val="single"/>
        </w:rPr>
      </w:pPr>
      <w:bookmarkStart w:id="62" w:name="H5_התחייבויות_שוטפות"/>
      <w:r w:rsidRPr="0085581F">
        <w:rPr>
          <w:rFonts w:asciiTheme="majorBidi" w:hAnsiTheme="majorBidi" w:cstheme="majorBidi"/>
          <w:sz w:val="21"/>
          <w:u w:val="single"/>
        </w:rPr>
        <w:t>Current liabilities</w:t>
      </w:r>
    </w:p>
    <w:bookmarkEnd w:id="62"/>
    <w:p w14:paraId="75B279DC" w14:textId="77777777" w:rsidR="0085581F" w:rsidRPr="0085581F" w:rsidRDefault="0085581F" w:rsidP="0085581F">
      <w:pPr>
        <w:keepLines/>
        <w:tabs>
          <w:tab w:val="left" w:pos="425"/>
          <w:tab w:val="left" w:pos="1133"/>
        </w:tabs>
        <w:contextualSpacing/>
        <w:rPr>
          <w:rFonts w:asciiTheme="majorBidi" w:hAnsiTheme="majorBidi" w:cstheme="majorBidi"/>
          <w:sz w:val="21"/>
          <w:szCs w:val="21"/>
        </w:rPr>
      </w:pPr>
      <w:r w:rsidRPr="0085581F">
        <w:rPr>
          <w:rFonts w:asciiTheme="majorBidi" w:hAnsiTheme="majorBidi" w:cstheme="majorBidi"/>
          <w:sz w:val="21"/>
        </w:rPr>
        <w:t>Current liabilities, as at June 30, 2024, amounted to NIS 4.2 billion, compared with NIS 6.9 billion at December 31, 2023. The balance consists mainly of short term credit from banks and others and current maturities with regard to long term liabilities in the amount of NIS 2.8 billion compared to NIS 4.2 billion as at December 31, 2023. The decrease in current liabilities is mainly due to a decrease in liabilities attributable to held for sale properties, due to completion of disposal of properties and a decrease in current maturities of non-current liabilities due to the extension of credit lines and their classification as long term.</w:t>
      </w:r>
    </w:p>
    <w:p w14:paraId="5AF9D958" w14:textId="77777777" w:rsidR="0085581F" w:rsidRPr="0085581F" w:rsidRDefault="0085581F" w:rsidP="0085581F">
      <w:pPr>
        <w:keepLines/>
        <w:tabs>
          <w:tab w:val="left" w:pos="425"/>
          <w:tab w:val="left" w:pos="1133"/>
        </w:tabs>
        <w:contextualSpacing/>
        <w:rPr>
          <w:rFonts w:asciiTheme="majorBidi" w:hAnsiTheme="majorBidi" w:cstheme="majorBidi"/>
          <w:sz w:val="21"/>
          <w:szCs w:val="21"/>
          <w:rtl/>
        </w:rPr>
      </w:pPr>
    </w:p>
    <w:p w14:paraId="3E13D884" w14:textId="77777777" w:rsidR="0085581F" w:rsidRPr="0085581F" w:rsidRDefault="0085581F" w:rsidP="0085581F">
      <w:pPr>
        <w:keepNext/>
        <w:keepLines/>
        <w:tabs>
          <w:tab w:val="left" w:pos="425"/>
          <w:tab w:val="left" w:pos="1133"/>
        </w:tabs>
        <w:contextualSpacing/>
        <w:outlineLvl w:val="4"/>
        <w:rPr>
          <w:rFonts w:asciiTheme="majorBidi" w:hAnsiTheme="majorBidi" w:cstheme="majorBidi"/>
          <w:sz w:val="21"/>
          <w:szCs w:val="21"/>
          <w:u w:val="single"/>
        </w:rPr>
      </w:pPr>
      <w:bookmarkStart w:id="63" w:name="H5_התחייבויות_לא_שוטפות"/>
      <w:r w:rsidRPr="0085581F">
        <w:rPr>
          <w:rFonts w:asciiTheme="majorBidi" w:hAnsiTheme="majorBidi" w:cstheme="majorBidi"/>
          <w:sz w:val="21"/>
          <w:u w:val="single"/>
        </w:rPr>
        <w:t>Non-current liabilities</w:t>
      </w:r>
    </w:p>
    <w:bookmarkEnd w:id="63"/>
    <w:p w14:paraId="1A6607BD" w14:textId="77777777" w:rsidR="0085581F" w:rsidRPr="0085581F" w:rsidRDefault="0085581F" w:rsidP="0085581F">
      <w:pPr>
        <w:keepLines/>
        <w:tabs>
          <w:tab w:val="left" w:pos="425"/>
          <w:tab w:val="left" w:pos="1133"/>
        </w:tabs>
        <w:contextualSpacing/>
        <w:rPr>
          <w:rFonts w:asciiTheme="majorBidi" w:hAnsiTheme="majorBidi" w:cstheme="majorBidi"/>
          <w:sz w:val="21"/>
          <w:szCs w:val="21"/>
        </w:rPr>
      </w:pPr>
      <w:r w:rsidRPr="0085581F">
        <w:rPr>
          <w:rFonts w:asciiTheme="majorBidi" w:hAnsiTheme="majorBidi" w:cstheme="majorBidi"/>
          <w:sz w:val="21"/>
        </w:rPr>
        <w:t xml:space="preserve">Non-current liabilities as at June 30, 2024, amounted to NIS 22.9 billion, compared with NIS 20.7 billion as at December 31, 2023. The increase in non-current liabilities is mainly due to raising of debentures, classification of credit lines as long term due to extension of their term, and first time consolidation of the </w:t>
      </w:r>
      <w:proofErr w:type="spellStart"/>
      <w:r w:rsidRPr="0085581F">
        <w:rPr>
          <w:rFonts w:asciiTheme="majorBidi" w:hAnsiTheme="majorBidi" w:cstheme="majorBidi"/>
          <w:sz w:val="21"/>
        </w:rPr>
        <w:t>Kista</w:t>
      </w:r>
      <w:proofErr w:type="spellEnd"/>
      <w:r w:rsidRPr="0085581F">
        <w:rPr>
          <w:rFonts w:asciiTheme="majorBidi" w:hAnsiTheme="majorBidi" w:cstheme="majorBidi"/>
          <w:sz w:val="21"/>
        </w:rPr>
        <w:t xml:space="preserve"> Galleria loan following acquisition of partner’s share, the foregoing increase was offset by the buyback of debentures.</w:t>
      </w:r>
    </w:p>
    <w:bookmarkEnd w:id="57"/>
    <w:p w14:paraId="57439196" w14:textId="77777777" w:rsidR="0085581F" w:rsidRPr="0085581F" w:rsidRDefault="0085581F" w:rsidP="0085581F">
      <w:pPr>
        <w:keepLines/>
        <w:tabs>
          <w:tab w:val="left" w:pos="425"/>
          <w:tab w:val="left" w:pos="1133"/>
        </w:tabs>
        <w:contextualSpacing/>
        <w:rPr>
          <w:rFonts w:asciiTheme="majorBidi" w:hAnsiTheme="majorBidi" w:cstheme="majorBidi"/>
          <w:sz w:val="21"/>
          <w:szCs w:val="21"/>
          <w:rtl/>
        </w:rPr>
      </w:pPr>
    </w:p>
    <w:p w14:paraId="5634FC9C" w14:textId="77777777" w:rsidR="0085581F" w:rsidRPr="0085581F" w:rsidRDefault="0085581F" w:rsidP="0085581F">
      <w:pPr>
        <w:keepNext/>
        <w:keepLines/>
        <w:tabs>
          <w:tab w:val="left" w:pos="425"/>
          <w:tab w:val="left" w:pos="1133"/>
        </w:tabs>
        <w:contextualSpacing/>
        <w:outlineLvl w:val="4"/>
        <w:rPr>
          <w:rFonts w:asciiTheme="majorBidi" w:hAnsiTheme="majorBidi" w:cstheme="majorBidi"/>
          <w:sz w:val="21"/>
          <w:szCs w:val="21"/>
          <w:u w:val="single"/>
        </w:rPr>
      </w:pPr>
      <w:bookmarkStart w:id="64" w:name="H5_הון_המיוחס_לבעלי_מניות_החברה__"/>
      <w:r w:rsidRPr="0085581F">
        <w:rPr>
          <w:rFonts w:asciiTheme="majorBidi" w:hAnsiTheme="majorBidi" w:cstheme="majorBidi"/>
          <w:sz w:val="21"/>
          <w:u w:val="single"/>
        </w:rPr>
        <w:lastRenderedPageBreak/>
        <w:t xml:space="preserve">Equity attributable to equity holders of the Company  </w:t>
      </w:r>
    </w:p>
    <w:bookmarkEnd w:id="64"/>
    <w:p w14:paraId="49CBD3B3" w14:textId="77777777" w:rsidR="0085581F" w:rsidRPr="0085581F" w:rsidRDefault="0085581F" w:rsidP="0085581F">
      <w:pPr>
        <w:keepLines/>
        <w:tabs>
          <w:tab w:val="left" w:pos="425"/>
          <w:tab w:val="left" w:pos="1133"/>
        </w:tabs>
        <w:contextualSpacing/>
        <w:rPr>
          <w:rFonts w:asciiTheme="majorBidi" w:hAnsiTheme="majorBidi" w:cstheme="majorBidi"/>
          <w:sz w:val="21"/>
          <w:szCs w:val="21"/>
        </w:rPr>
      </w:pPr>
      <w:r w:rsidRPr="0085581F">
        <w:rPr>
          <w:rFonts w:asciiTheme="majorBidi" w:hAnsiTheme="majorBidi" w:cstheme="majorBidi"/>
          <w:sz w:val="21"/>
        </w:rPr>
        <w:t>The share capital attributable to the Company's shareholders as at June 30, 2024, amounted to NIS 4,925 million, compared with NIS 4,837 million as at December 31, 2023. The increase is mainly due to profit attributable to the shareholders in the amount of NIS 186 million, which was offset by a decrease in the capital reserves item in the amount of NIS 154 million (mainly adjustments due to translation of the financial statements of foreign operations, the effect of issues by subsidiaries) and the acquisition of treasury shares in an amount of NIS 10 million.,</w:t>
      </w:r>
    </w:p>
    <w:p w14:paraId="2B854A80" w14:textId="77777777" w:rsidR="0085581F" w:rsidRPr="0085581F" w:rsidRDefault="0085581F" w:rsidP="0085581F">
      <w:pPr>
        <w:keepLines/>
        <w:tabs>
          <w:tab w:val="left" w:pos="425"/>
          <w:tab w:val="left" w:pos="1133"/>
        </w:tabs>
        <w:contextualSpacing/>
        <w:rPr>
          <w:rFonts w:asciiTheme="majorBidi" w:hAnsiTheme="majorBidi" w:cstheme="majorBidi"/>
          <w:sz w:val="21"/>
          <w:szCs w:val="21"/>
        </w:rPr>
      </w:pPr>
      <w:r w:rsidRPr="0085581F">
        <w:rPr>
          <w:rFonts w:asciiTheme="majorBidi" w:hAnsiTheme="majorBidi" w:cstheme="majorBidi"/>
          <w:sz w:val="21"/>
        </w:rPr>
        <w:t xml:space="preserve">The equity per share attributable to the Company's shareholders as at June 30, 2024, amounted to NIS 26.6, compared with NIS 26.0 million as at December 31, 2023.  </w:t>
      </w:r>
    </w:p>
    <w:p w14:paraId="3387ED7D" w14:textId="77777777" w:rsidR="0085581F" w:rsidRPr="0085581F" w:rsidRDefault="0085581F" w:rsidP="0085581F">
      <w:pPr>
        <w:keepLines/>
        <w:tabs>
          <w:tab w:val="left" w:pos="425"/>
          <w:tab w:val="left" w:pos="1133"/>
        </w:tabs>
        <w:contextualSpacing/>
        <w:rPr>
          <w:rFonts w:asciiTheme="majorBidi" w:hAnsiTheme="majorBidi" w:cstheme="majorBidi"/>
          <w:sz w:val="21"/>
          <w:szCs w:val="21"/>
          <w:rtl/>
        </w:rPr>
      </w:pPr>
    </w:p>
    <w:p w14:paraId="00AE97DA" w14:textId="77777777" w:rsidR="0085581F" w:rsidRPr="0085581F" w:rsidRDefault="0085581F" w:rsidP="0085581F">
      <w:pPr>
        <w:keepNext/>
        <w:keepLines/>
        <w:tabs>
          <w:tab w:val="left" w:pos="425"/>
          <w:tab w:val="left" w:pos="1133"/>
        </w:tabs>
        <w:contextualSpacing/>
        <w:outlineLvl w:val="4"/>
        <w:rPr>
          <w:rFonts w:asciiTheme="majorBidi" w:hAnsiTheme="majorBidi" w:cstheme="majorBidi"/>
          <w:sz w:val="21"/>
          <w:szCs w:val="21"/>
          <w:u w:val="single"/>
        </w:rPr>
      </w:pPr>
      <w:bookmarkStart w:id="65" w:name="H5_זכויות_שאינן_מקנות_שליטה"/>
      <w:r w:rsidRPr="0085581F">
        <w:rPr>
          <w:rFonts w:asciiTheme="majorBidi" w:hAnsiTheme="majorBidi" w:cstheme="majorBidi"/>
          <w:sz w:val="21"/>
          <w:u w:val="single"/>
        </w:rPr>
        <w:t>Non-controlling interests</w:t>
      </w:r>
    </w:p>
    <w:bookmarkEnd w:id="65"/>
    <w:p w14:paraId="45042597" w14:textId="77777777" w:rsidR="0085581F" w:rsidRPr="0085581F" w:rsidRDefault="0085581F" w:rsidP="0085581F">
      <w:pPr>
        <w:keepLines/>
        <w:tabs>
          <w:tab w:val="left" w:pos="425"/>
          <w:tab w:val="left" w:pos="1133"/>
        </w:tabs>
        <w:contextualSpacing/>
        <w:rPr>
          <w:rFonts w:asciiTheme="majorBidi" w:hAnsiTheme="majorBidi" w:cstheme="majorBidi"/>
          <w:sz w:val="21"/>
          <w:szCs w:val="21"/>
        </w:rPr>
      </w:pPr>
      <w:r w:rsidRPr="0085581F">
        <w:rPr>
          <w:rFonts w:asciiTheme="majorBidi" w:hAnsiTheme="majorBidi" w:cstheme="majorBidi"/>
          <w:sz w:val="21"/>
        </w:rPr>
        <w:t>Non-controlling interests as at June 30, 2024, amounted to NIS 6.8 billion, compared with NIS 6.5 billion at December 31, 2023. The balance mainly includes the share of the other CTY shareholder at a rate of 50.4% of CTY’s share capital, the share of the shareholders in operations in Brazil, and the share of partners in several properties in the USA. Furthermore, the balance also includes the balance of CTY and-G Europe hybrid debentures.</w:t>
      </w:r>
    </w:p>
    <w:p w14:paraId="4B22EFD1" w14:textId="77777777" w:rsidR="0085581F" w:rsidRPr="0085581F" w:rsidRDefault="0085581F" w:rsidP="0085581F">
      <w:pPr>
        <w:keepLines/>
        <w:tabs>
          <w:tab w:val="left" w:pos="425"/>
          <w:tab w:val="left" w:pos="1133"/>
        </w:tabs>
        <w:contextualSpacing/>
        <w:rPr>
          <w:rFonts w:asciiTheme="majorBidi" w:hAnsiTheme="majorBidi" w:cstheme="majorBidi"/>
          <w:sz w:val="21"/>
          <w:szCs w:val="21"/>
        </w:rPr>
      </w:pPr>
      <w:bookmarkStart w:id="66" w:name="_Hlk135233541"/>
      <w:r w:rsidRPr="0085581F">
        <w:rPr>
          <w:rFonts w:asciiTheme="majorBidi" w:hAnsiTheme="majorBidi" w:cstheme="majorBidi"/>
          <w:sz w:val="21"/>
        </w:rPr>
        <w:t>The increase in the non-controlling interests in the reporting period is mainly due to the issues carried out in the reporting period in CTY and Brazil in the amount of NIS 448 million, the share of the other shareholders in comprehensive income in an amount of NIS 221 million. The foregoing increase was offset by the buyback of G Europe hybrid debentures in the amount of NIS 203 million, payment of interest to holders of hybrid debentures in the amount of NIS 67 million, and the share of the other shareholders in the dividend distributed of NIS 64 million.</w:t>
      </w:r>
      <w:bookmarkEnd w:id="66"/>
    </w:p>
    <w:p w14:paraId="165701B1" w14:textId="77777777" w:rsidR="0085581F" w:rsidRPr="0085581F" w:rsidRDefault="0085581F" w:rsidP="004D7A72">
      <w:pPr>
        <w:keepNext/>
        <w:pageBreakBefore/>
        <w:numPr>
          <w:ilvl w:val="1"/>
          <w:numId w:val="37"/>
        </w:numPr>
        <w:tabs>
          <w:tab w:val="left" w:pos="425"/>
          <w:tab w:val="left" w:pos="707"/>
        </w:tabs>
        <w:ind w:left="0" w:firstLine="0"/>
        <w:contextualSpacing/>
        <w:outlineLvl w:val="3"/>
        <w:rPr>
          <w:rFonts w:asciiTheme="majorBidi" w:hAnsiTheme="majorBidi" w:cstheme="majorBidi"/>
          <w:color w:val="222A35"/>
          <w:sz w:val="21"/>
          <w:szCs w:val="21"/>
        </w:rPr>
      </w:pPr>
      <w:bookmarkStart w:id="67" w:name="RG_MARKER_56624"/>
      <w:bookmarkStart w:id="68" w:name="H5_ניתוח_תוצאות_הפעולות_לתקופת_הדוח"/>
      <w:r w:rsidRPr="0085581F">
        <w:rPr>
          <w:rFonts w:asciiTheme="majorBidi" w:hAnsiTheme="majorBidi" w:cstheme="majorBidi"/>
          <w:color w:val="222A35"/>
          <w:sz w:val="21"/>
        </w:rPr>
        <w:lastRenderedPageBreak/>
        <w:t>Operating results and analysis</w:t>
      </w:r>
      <w:bookmarkEnd w:id="67"/>
    </w:p>
    <w:p w14:paraId="22E891D5" w14:textId="77777777" w:rsidR="0085581F" w:rsidRPr="0085581F" w:rsidRDefault="0085581F" w:rsidP="004D7A72">
      <w:pPr>
        <w:keepNext/>
        <w:numPr>
          <w:ilvl w:val="0"/>
          <w:numId w:val="38"/>
        </w:numPr>
        <w:tabs>
          <w:tab w:val="left" w:pos="425"/>
          <w:tab w:val="left" w:pos="1132"/>
        </w:tabs>
        <w:ind w:left="0" w:firstLine="0"/>
        <w:contextualSpacing/>
        <w:outlineLvl w:val="4"/>
        <w:rPr>
          <w:rFonts w:asciiTheme="majorBidi" w:hAnsiTheme="majorBidi" w:cstheme="majorBidi"/>
          <w:sz w:val="21"/>
          <w:szCs w:val="21"/>
        </w:rPr>
      </w:pPr>
      <w:r w:rsidRPr="0085581F">
        <w:rPr>
          <w:rFonts w:asciiTheme="majorBidi" w:hAnsiTheme="majorBidi" w:cstheme="majorBidi"/>
          <w:sz w:val="21"/>
        </w:rPr>
        <w:t>Breakdown of operating results: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85581F" w:rsidRPr="0085581F" w14:paraId="51A577DE" w14:textId="77777777" w:rsidTr="00A65A6F">
        <w:trPr>
          <w:cantSplit/>
        </w:trPr>
        <w:tc>
          <w:tcPr>
            <w:tcW w:w="5000" w:type="pct"/>
          </w:tcPr>
          <w:tbl>
            <w:tblPr>
              <w:tblStyle w:val="CDMRange120"/>
              <w:tblW w:w="9795" w:type="dxa"/>
              <w:tblLook w:val="0600" w:firstRow="0" w:lastRow="0" w:firstColumn="0" w:lastColumn="0" w:noHBand="1" w:noVBand="1"/>
              <w:tblCaption w:val="Print_Area"/>
            </w:tblPr>
            <w:tblGrid>
              <w:gridCol w:w="310"/>
              <w:gridCol w:w="3796"/>
              <w:gridCol w:w="1120"/>
              <w:gridCol w:w="1120"/>
              <w:gridCol w:w="1120"/>
              <w:gridCol w:w="1120"/>
              <w:gridCol w:w="1120"/>
            </w:tblGrid>
            <w:tr w:rsidR="0085581F" w:rsidRPr="0085581F" w14:paraId="6111911F" w14:textId="77777777" w:rsidTr="00A65A6F">
              <w:trPr>
                <w:trHeight w:val="300"/>
              </w:trPr>
              <w:tc>
                <w:tcPr>
                  <w:tcW w:w="300" w:type="dxa"/>
                  <w:tcBorders>
                    <w:top w:val="nil"/>
                    <w:left w:val="nil"/>
                    <w:bottom w:val="nil"/>
                    <w:right w:val="nil"/>
                    <w:tl2br w:val="nil"/>
                    <w:tr2bl w:val="nil"/>
                  </w:tcBorders>
                  <w:shd w:val="clear" w:color="FFFFFF" w:fill="000031"/>
                  <w:noWrap/>
                  <w:tcMar>
                    <w:left w:w="0" w:type="dxa"/>
                    <w:right w:w="0" w:type="dxa"/>
                  </w:tcMar>
                  <w:vAlign w:val="bottom"/>
                </w:tcPr>
                <w:p w14:paraId="4F2F6A80"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21"/>
                    </w:rPr>
                  </w:pPr>
                </w:p>
              </w:tc>
              <w:tc>
                <w:tcPr>
                  <w:tcW w:w="3870" w:type="dxa"/>
                  <w:tcBorders>
                    <w:top w:val="nil"/>
                    <w:left w:val="nil"/>
                    <w:bottom w:val="nil"/>
                    <w:right w:val="nil"/>
                    <w:tl2br w:val="nil"/>
                    <w:tr2bl w:val="nil"/>
                  </w:tcBorders>
                  <w:shd w:val="clear" w:color="FFFFFF" w:fill="000031"/>
                  <w:noWrap/>
                  <w:tcMar>
                    <w:left w:w="0" w:type="dxa"/>
                    <w:right w:w="0" w:type="dxa"/>
                  </w:tcMar>
                  <w:vAlign w:val="bottom"/>
                </w:tcPr>
                <w:p w14:paraId="69158D55"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21"/>
                    </w:rPr>
                  </w:pPr>
                </w:p>
              </w:tc>
              <w:tc>
                <w:tcPr>
                  <w:tcW w:w="2250" w:type="dxa"/>
                  <w:gridSpan w:val="2"/>
                  <w:tcBorders>
                    <w:top w:val="nil"/>
                    <w:left w:val="nil"/>
                    <w:bottom w:val="nil"/>
                    <w:right w:val="nil"/>
                    <w:tl2br w:val="nil"/>
                    <w:tr2bl w:val="nil"/>
                  </w:tcBorders>
                  <w:shd w:val="clear" w:color="FFFFFF" w:fill="000031"/>
                  <w:tcMar>
                    <w:left w:w="40" w:type="dxa"/>
                    <w:right w:w="40" w:type="dxa"/>
                  </w:tcMar>
                  <w:vAlign w:val="bottom"/>
                </w:tcPr>
                <w:p w14:paraId="7ADBF81A"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9"/>
                      <w:szCs w:val="19"/>
                    </w:rPr>
                  </w:pPr>
                  <w:r w:rsidRPr="0085581F">
                    <w:rPr>
                      <w:rFonts w:asciiTheme="majorBidi" w:hAnsiTheme="majorBidi" w:cstheme="majorBidi"/>
                      <w:b/>
                      <w:color w:val="FFFFFF"/>
                      <w:sz w:val="19"/>
                      <w:szCs w:val="19"/>
                    </w:rPr>
                    <w:t xml:space="preserve">Six months ended </w:t>
                  </w:r>
                </w:p>
                <w:p w14:paraId="63C9F1CF"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9"/>
                      <w:szCs w:val="19"/>
                    </w:rPr>
                  </w:pPr>
                  <w:r w:rsidRPr="0085581F">
                    <w:rPr>
                      <w:rFonts w:asciiTheme="majorBidi" w:hAnsiTheme="majorBidi" w:cstheme="majorBidi"/>
                      <w:b/>
                      <w:color w:val="FFFFFF"/>
                      <w:sz w:val="19"/>
                      <w:szCs w:val="19"/>
                    </w:rPr>
                    <w:t>June 30</w:t>
                  </w:r>
                </w:p>
              </w:tc>
              <w:tc>
                <w:tcPr>
                  <w:tcW w:w="2250" w:type="dxa"/>
                  <w:gridSpan w:val="2"/>
                  <w:tcBorders>
                    <w:top w:val="nil"/>
                    <w:left w:val="nil"/>
                    <w:bottom w:val="nil"/>
                    <w:right w:val="nil"/>
                    <w:tl2br w:val="nil"/>
                    <w:tr2bl w:val="nil"/>
                  </w:tcBorders>
                  <w:shd w:val="clear" w:color="FFFFFF" w:fill="000031"/>
                  <w:tcMar>
                    <w:left w:w="40" w:type="dxa"/>
                    <w:right w:w="40" w:type="dxa"/>
                  </w:tcMar>
                  <w:vAlign w:val="bottom"/>
                </w:tcPr>
                <w:p w14:paraId="554E6F7C"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9"/>
                      <w:szCs w:val="19"/>
                    </w:rPr>
                  </w:pPr>
                  <w:r w:rsidRPr="0085581F">
                    <w:rPr>
                      <w:rFonts w:asciiTheme="majorBidi" w:hAnsiTheme="majorBidi" w:cstheme="majorBidi"/>
                      <w:b/>
                      <w:color w:val="FFFFFF"/>
                      <w:sz w:val="19"/>
                      <w:szCs w:val="19"/>
                    </w:rPr>
                    <w:t xml:space="preserve">Three months ended </w:t>
                  </w:r>
                </w:p>
                <w:p w14:paraId="3D17C75B"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9"/>
                      <w:szCs w:val="19"/>
                    </w:rPr>
                  </w:pPr>
                  <w:r w:rsidRPr="0085581F">
                    <w:rPr>
                      <w:rFonts w:asciiTheme="majorBidi" w:hAnsiTheme="majorBidi" w:cstheme="majorBidi"/>
                      <w:b/>
                      <w:color w:val="FFFFFF"/>
                      <w:sz w:val="19"/>
                      <w:szCs w:val="19"/>
                    </w:rPr>
                    <w:t>June 30</w:t>
                  </w:r>
                </w:p>
              </w:tc>
              <w:tc>
                <w:tcPr>
                  <w:tcW w:w="1125" w:type="dxa"/>
                  <w:tcBorders>
                    <w:top w:val="nil"/>
                    <w:left w:val="nil"/>
                    <w:bottom w:val="nil"/>
                    <w:right w:val="nil"/>
                    <w:tl2br w:val="nil"/>
                    <w:tr2bl w:val="nil"/>
                  </w:tcBorders>
                  <w:shd w:val="clear" w:color="FFFFFF" w:fill="000031"/>
                  <w:tcMar>
                    <w:left w:w="40" w:type="dxa"/>
                    <w:right w:w="40" w:type="dxa"/>
                  </w:tcMar>
                  <w:vAlign w:val="bottom"/>
                </w:tcPr>
                <w:p w14:paraId="5447C9B2"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9"/>
                      <w:szCs w:val="19"/>
                    </w:rPr>
                  </w:pPr>
                  <w:r w:rsidRPr="0085581F">
                    <w:rPr>
                      <w:rFonts w:asciiTheme="majorBidi" w:hAnsiTheme="majorBidi" w:cstheme="majorBidi"/>
                      <w:b/>
                      <w:color w:val="FFFFFF"/>
                      <w:sz w:val="19"/>
                      <w:szCs w:val="19"/>
                    </w:rPr>
                    <w:t>Year ended December 31</w:t>
                  </w:r>
                </w:p>
              </w:tc>
            </w:tr>
            <w:tr w:rsidR="0085581F" w:rsidRPr="0085581F" w14:paraId="10714BC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79F93BD5"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3870" w:type="dxa"/>
                  <w:tcBorders>
                    <w:top w:val="nil"/>
                    <w:left w:val="nil"/>
                    <w:bottom w:val="nil"/>
                    <w:right w:val="nil"/>
                    <w:tl2br w:val="nil"/>
                    <w:tr2bl w:val="nil"/>
                  </w:tcBorders>
                  <w:shd w:val="clear" w:color="auto" w:fill="auto"/>
                  <w:noWrap/>
                  <w:tcMar>
                    <w:left w:w="0" w:type="dxa"/>
                    <w:right w:w="0" w:type="dxa"/>
                  </w:tcMar>
                  <w:vAlign w:val="bottom"/>
                </w:tcPr>
                <w:p w14:paraId="697957F5"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6F303C53"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9"/>
                      <w:szCs w:val="19"/>
                    </w:rPr>
                  </w:pPr>
                  <w:r w:rsidRPr="0085581F">
                    <w:rPr>
                      <w:rFonts w:asciiTheme="majorBidi" w:hAnsiTheme="majorBidi" w:cstheme="majorBidi"/>
                      <w:b/>
                      <w:color w:val="000000"/>
                      <w:sz w:val="19"/>
                      <w:szCs w:val="19"/>
                    </w:rPr>
                    <w:t>2024</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88732B1"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9"/>
                      <w:szCs w:val="19"/>
                    </w:rPr>
                  </w:pPr>
                  <w:r w:rsidRPr="0085581F">
                    <w:rPr>
                      <w:rFonts w:asciiTheme="majorBidi" w:hAnsiTheme="majorBidi" w:cstheme="majorBidi"/>
                      <w:b/>
                      <w:color w:val="000000"/>
                      <w:sz w:val="19"/>
                      <w:szCs w:val="19"/>
                    </w:rPr>
                    <w:t>2023</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65B07190"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9"/>
                      <w:szCs w:val="19"/>
                    </w:rPr>
                  </w:pPr>
                  <w:r w:rsidRPr="0085581F">
                    <w:rPr>
                      <w:rFonts w:asciiTheme="majorBidi" w:hAnsiTheme="majorBidi" w:cstheme="majorBidi"/>
                      <w:b/>
                      <w:color w:val="000000"/>
                      <w:sz w:val="19"/>
                      <w:szCs w:val="19"/>
                    </w:rPr>
                    <w:t>2024</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3D01832B"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9"/>
                      <w:szCs w:val="19"/>
                    </w:rPr>
                  </w:pPr>
                  <w:r w:rsidRPr="0085581F">
                    <w:rPr>
                      <w:rFonts w:asciiTheme="majorBidi" w:hAnsiTheme="majorBidi" w:cstheme="majorBidi"/>
                      <w:b/>
                      <w:color w:val="000000"/>
                      <w:sz w:val="19"/>
                      <w:szCs w:val="19"/>
                    </w:rPr>
                    <w:t>2023</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7E11EB00"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9"/>
                      <w:szCs w:val="19"/>
                    </w:rPr>
                  </w:pPr>
                  <w:r w:rsidRPr="0085581F">
                    <w:rPr>
                      <w:rFonts w:asciiTheme="majorBidi" w:hAnsiTheme="majorBidi" w:cstheme="majorBidi"/>
                      <w:b/>
                      <w:color w:val="000000"/>
                      <w:sz w:val="19"/>
                      <w:szCs w:val="19"/>
                    </w:rPr>
                    <w:t>2023</w:t>
                  </w:r>
                </w:p>
              </w:tc>
            </w:tr>
            <w:tr w:rsidR="0085581F" w:rsidRPr="0085581F" w14:paraId="0220774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0" w:type="dxa"/>
                  <w:tcBorders>
                    <w:top w:val="nil"/>
                    <w:left w:val="nil"/>
                    <w:bottom w:val="nil"/>
                    <w:right w:val="nil"/>
                    <w:tl2br w:val="nil"/>
                    <w:tr2bl w:val="nil"/>
                  </w:tcBorders>
                  <w:shd w:val="clear" w:color="FFFFFF" w:fill="000031"/>
                  <w:noWrap/>
                  <w:tcMar>
                    <w:left w:w="0" w:type="dxa"/>
                    <w:right w:w="0" w:type="dxa"/>
                  </w:tcMar>
                  <w:vAlign w:val="bottom"/>
                </w:tcPr>
                <w:p w14:paraId="6575A10E"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21"/>
                    </w:rPr>
                  </w:pPr>
                </w:p>
              </w:tc>
              <w:tc>
                <w:tcPr>
                  <w:tcW w:w="3870" w:type="dxa"/>
                  <w:tcBorders>
                    <w:top w:val="nil"/>
                    <w:left w:val="nil"/>
                    <w:bottom w:val="nil"/>
                    <w:right w:val="nil"/>
                    <w:tl2br w:val="nil"/>
                    <w:tr2bl w:val="nil"/>
                  </w:tcBorders>
                  <w:shd w:val="clear" w:color="FFFFFF" w:fill="000031"/>
                  <w:noWrap/>
                  <w:tcMar>
                    <w:left w:w="0" w:type="dxa"/>
                    <w:right w:w="0" w:type="dxa"/>
                  </w:tcMar>
                  <w:vAlign w:val="bottom"/>
                </w:tcPr>
                <w:p w14:paraId="6CB08F05"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21"/>
                    </w:rPr>
                  </w:pPr>
                </w:p>
              </w:tc>
              <w:tc>
                <w:tcPr>
                  <w:tcW w:w="4500" w:type="dxa"/>
                  <w:gridSpan w:val="4"/>
                  <w:tcBorders>
                    <w:top w:val="nil"/>
                    <w:left w:val="nil"/>
                    <w:bottom w:val="nil"/>
                    <w:right w:val="nil"/>
                    <w:tl2br w:val="nil"/>
                    <w:tr2bl w:val="nil"/>
                  </w:tcBorders>
                  <w:shd w:val="clear" w:color="FFFFFF" w:fill="000031"/>
                  <w:noWrap/>
                  <w:tcMar>
                    <w:left w:w="40" w:type="dxa"/>
                    <w:right w:w="40" w:type="dxa"/>
                  </w:tcMar>
                  <w:vAlign w:val="bottom"/>
                </w:tcPr>
                <w:p w14:paraId="4C6B9319"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9"/>
                      <w:szCs w:val="19"/>
                    </w:rPr>
                  </w:pPr>
                  <w:r w:rsidRPr="0085581F">
                    <w:rPr>
                      <w:rFonts w:asciiTheme="majorBidi" w:hAnsiTheme="majorBidi" w:cstheme="majorBidi"/>
                      <w:b/>
                      <w:color w:val="FFFFFF"/>
                      <w:sz w:val="19"/>
                      <w:szCs w:val="19"/>
                    </w:rPr>
                    <w:t>Unaudited</w:t>
                  </w:r>
                </w:p>
              </w:tc>
              <w:tc>
                <w:tcPr>
                  <w:tcW w:w="1125" w:type="dxa"/>
                  <w:tcBorders>
                    <w:top w:val="nil"/>
                    <w:left w:val="nil"/>
                    <w:bottom w:val="nil"/>
                    <w:right w:val="nil"/>
                    <w:tl2br w:val="nil"/>
                    <w:tr2bl w:val="nil"/>
                  </w:tcBorders>
                  <w:shd w:val="clear" w:color="FFFFFF" w:fill="000031"/>
                  <w:noWrap/>
                  <w:tcMar>
                    <w:left w:w="40" w:type="dxa"/>
                    <w:right w:w="40" w:type="dxa"/>
                  </w:tcMar>
                  <w:vAlign w:val="bottom"/>
                </w:tcPr>
                <w:p w14:paraId="55F70FA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9"/>
                      <w:szCs w:val="19"/>
                    </w:rPr>
                  </w:pPr>
                  <w:r w:rsidRPr="0085581F">
                    <w:rPr>
                      <w:rFonts w:asciiTheme="majorBidi" w:hAnsiTheme="majorBidi" w:cstheme="majorBidi"/>
                      <w:b/>
                      <w:color w:val="FFFFFF"/>
                      <w:sz w:val="19"/>
                      <w:szCs w:val="19"/>
                    </w:rPr>
                    <w:t>Audited</w:t>
                  </w:r>
                </w:p>
              </w:tc>
            </w:tr>
            <w:tr w:rsidR="0085581F" w:rsidRPr="0085581F" w14:paraId="7BF4632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28B9636"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38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00E65CB"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5625" w:type="dxa"/>
                  <w:gridSpan w:val="5"/>
                  <w:tcBorders>
                    <w:top w:val="nil"/>
                    <w:left w:val="nil"/>
                    <w:bottom w:val="single" w:sz="4" w:space="0" w:color="000000"/>
                    <w:right w:val="nil"/>
                    <w:tl2br w:val="nil"/>
                    <w:tr2bl w:val="nil"/>
                  </w:tcBorders>
                  <w:shd w:val="clear" w:color="auto" w:fill="auto"/>
                  <w:tcMar>
                    <w:left w:w="40" w:type="dxa"/>
                    <w:right w:w="40" w:type="dxa"/>
                  </w:tcMar>
                  <w:vAlign w:val="bottom"/>
                </w:tcPr>
                <w:p w14:paraId="3363F4DD"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9"/>
                      <w:szCs w:val="19"/>
                    </w:rPr>
                  </w:pPr>
                  <w:r w:rsidRPr="0085581F">
                    <w:rPr>
                      <w:rFonts w:asciiTheme="majorBidi" w:hAnsiTheme="majorBidi" w:cstheme="majorBidi"/>
                      <w:b/>
                      <w:color w:val="000000"/>
                      <w:sz w:val="19"/>
                      <w:szCs w:val="19"/>
                    </w:rPr>
                    <w:t>NIS million</w:t>
                  </w:r>
                </w:p>
                <w:p w14:paraId="1CB58D24"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9"/>
                      <w:szCs w:val="19"/>
                    </w:rPr>
                  </w:pPr>
                  <w:r w:rsidRPr="0085581F">
                    <w:rPr>
                      <w:rFonts w:asciiTheme="majorBidi" w:hAnsiTheme="majorBidi" w:cstheme="majorBidi"/>
                      <w:b/>
                      <w:color w:val="000000"/>
                      <w:sz w:val="19"/>
                      <w:szCs w:val="19"/>
                    </w:rPr>
                    <w:t>(Other than earnings (loss) per share)</w:t>
                  </w:r>
                </w:p>
              </w:tc>
            </w:tr>
            <w:tr w:rsidR="0085581F" w:rsidRPr="0085581F" w14:paraId="1EF56FA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single" w:sz="4" w:space="0" w:color="000000"/>
                    <w:left w:val="nil"/>
                    <w:bottom w:val="nil"/>
                    <w:right w:val="nil"/>
                    <w:tl2br w:val="nil"/>
                    <w:tr2bl w:val="nil"/>
                  </w:tcBorders>
                  <w:shd w:val="clear" w:color="auto" w:fill="auto"/>
                  <w:tcMar>
                    <w:left w:w="40" w:type="dxa"/>
                    <w:right w:w="40" w:type="dxa"/>
                  </w:tcMar>
                  <w:vAlign w:val="bottom"/>
                </w:tcPr>
                <w:p w14:paraId="698D07DD"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Rental and other income</w:t>
                  </w:r>
                </w:p>
              </w:tc>
              <w:tc>
                <w:tcPr>
                  <w:tcW w:w="1125"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62739FB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1,253</w:t>
                  </w:r>
                </w:p>
              </w:tc>
              <w:tc>
                <w:tcPr>
                  <w:tcW w:w="1125"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08C442E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1,189</w:t>
                  </w:r>
                </w:p>
              </w:tc>
              <w:tc>
                <w:tcPr>
                  <w:tcW w:w="1125"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6C47233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632</w:t>
                  </w:r>
                </w:p>
              </w:tc>
              <w:tc>
                <w:tcPr>
                  <w:tcW w:w="1125"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001F78B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585</w:t>
                  </w:r>
                </w:p>
              </w:tc>
              <w:tc>
                <w:tcPr>
                  <w:tcW w:w="1125"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52659AE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2,438</w:t>
                  </w:r>
                </w:p>
              </w:tc>
            </w:tr>
            <w:tr w:rsidR="0085581F" w:rsidRPr="0085581F" w14:paraId="5634841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nil"/>
                    <w:left w:val="nil"/>
                    <w:bottom w:val="single" w:sz="4" w:space="0" w:color="000000"/>
                    <w:right w:val="nil"/>
                    <w:tl2br w:val="nil"/>
                    <w:tr2bl w:val="nil"/>
                  </w:tcBorders>
                  <w:shd w:val="clear" w:color="auto" w:fill="auto"/>
                  <w:tcMar>
                    <w:left w:w="40" w:type="dxa"/>
                    <w:right w:w="40" w:type="dxa"/>
                  </w:tcMar>
                  <w:vAlign w:val="bottom"/>
                </w:tcPr>
                <w:p w14:paraId="48C8738A"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Property operating and other expenses</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D055F3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397</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2233C1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361</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CC425A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194</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BE54A7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167</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666862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771</w:t>
                  </w:r>
                </w:p>
              </w:tc>
            </w:tr>
            <w:tr w:rsidR="0085581F" w:rsidRPr="0085581F" w14:paraId="273A224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37BC59F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FD4635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1F4288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EC3525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63A3C7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32E031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1A591FB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nil"/>
                    <w:left w:val="nil"/>
                    <w:bottom w:val="single" w:sz="4" w:space="0" w:color="000000"/>
                    <w:right w:val="nil"/>
                    <w:tl2br w:val="nil"/>
                    <w:tr2bl w:val="nil"/>
                  </w:tcBorders>
                  <w:shd w:val="clear" w:color="auto" w:fill="auto"/>
                  <w:tcMar>
                    <w:left w:w="40" w:type="dxa"/>
                    <w:right w:w="40" w:type="dxa"/>
                  </w:tcMar>
                  <w:vAlign w:val="bottom"/>
                </w:tcPr>
                <w:p w14:paraId="7C413D0D"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Operating income, net</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DD01E5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856</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42820B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828</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27B8F6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438</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9393F7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418</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4451C3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1,667</w:t>
                  </w:r>
                </w:p>
              </w:tc>
            </w:tr>
            <w:tr w:rsidR="0085581F" w:rsidRPr="0085581F" w14:paraId="51FC954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6823458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C2F9B9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970F59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D8AF78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747B79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559D2E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14611B8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4170" w:type="dxa"/>
                  <w:gridSpan w:val="2"/>
                  <w:tcBorders>
                    <w:top w:val="nil"/>
                    <w:left w:val="nil"/>
                    <w:bottom w:val="nil"/>
                    <w:right w:val="nil"/>
                    <w:tl2br w:val="nil"/>
                    <w:tr2bl w:val="nil"/>
                  </w:tcBorders>
                  <w:shd w:val="clear" w:color="auto" w:fill="auto"/>
                  <w:tcMar>
                    <w:left w:w="40" w:type="dxa"/>
                    <w:right w:w="40" w:type="dxa"/>
                  </w:tcMar>
                  <w:vAlign w:val="bottom"/>
                </w:tcPr>
                <w:p w14:paraId="61F68DF7"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Appreciation (impairment) of investment property and investment property </w:t>
                  </w:r>
                </w:p>
                <w:p w14:paraId="4AB13524"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under development, net</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0B507BF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340</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29AFD2E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293</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593A8F2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344</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3693B87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138</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5C17B3F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(767)</w:t>
                  </w:r>
                </w:p>
              </w:tc>
            </w:tr>
            <w:tr w:rsidR="0085581F" w:rsidRPr="0085581F" w14:paraId="1F1511A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nil"/>
                    <w:left w:val="nil"/>
                    <w:bottom w:val="nil"/>
                    <w:right w:val="nil"/>
                    <w:tl2br w:val="nil"/>
                    <w:tr2bl w:val="nil"/>
                  </w:tcBorders>
                  <w:shd w:val="clear" w:color="auto" w:fill="auto"/>
                  <w:tcMar>
                    <w:left w:w="40" w:type="dxa"/>
                    <w:right w:w="40" w:type="dxa"/>
                  </w:tcMar>
                  <w:vAlign w:val="bottom"/>
                </w:tcPr>
                <w:p w14:paraId="6C69AE02"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General and administrative expenses</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2D4563C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(168)</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5A10EC0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(166)</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563ADD1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(71)</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2B40CFC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(78)</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70704BB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(349)</w:t>
                  </w:r>
                </w:p>
              </w:tc>
            </w:tr>
            <w:tr w:rsidR="0085581F" w:rsidRPr="0085581F" w14:paraId="1A623A0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nil"/>
                    <w:left w:val="nil"/>
                    <w:bottom w:val="nil"/>
                    <w:right w:val="nil"/>
                    <w:tl2br w:val="nil"/>
                    <w:tr2bl w:val="nil"/>
                  </w:tcBorders>
                  <w:shd w:val="clear" w:color="auto" w:fill="auto"/>
                  <w:tcMar>
                    <w:left w:w="40" w:type="dxa"/>
                    <w:right w:w="40" w:type="dxa"/>
                  </w:tcMar>
                  <w:vAlign w:val="bottom"/>
                </w:tcPr>
                <w:p w14:paraId="06523438"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Other income</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1AA9FCF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185</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0659970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3603831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3FC9E9B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401901A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w:t>
                  </w:r>
                </w:p>
              </w:tc>
            </w:tr>
            <w:tr w:rsidR="0085581F" w:rsidRPr="0085581F" w14:paraId="3BD8565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nil"/>
                    <w:left w:val="nil"/>
                    <w:bottom w:val="nil"/>
                    <w:right w:val="nil"/>
                    <w:tl2br w:val="nil"/>
                    <w:tr2bl w:val="nil"/>
                  </w:tcBorders>
                  <w:shd w:val="clear" w:color="auto" w:fill="auto"/>
                  <w:tcMar>
                    <w:left w:w="40" w:type="dxa"/>
                    <w:right w:w="40" w:type="dxa"/>
                  </w:tcMar>
                  <w:vAlign w:val="bottom"/>
                </w:tcPr>
                <w:p w14:paraId="45588212"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Other expenses</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6F82C57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(124)</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06DECA7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(680)</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2C09F57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(3)</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151BE0C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(158)</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698C063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(686)</w:t>
                  </w:r>
                </w:p>
              </w:tc>
            </w:tr>
            <w:tr w:rsidR="0085581F" w:rsidRPr="0085581F" w14:paraId="1E8AC26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4170" w:type="dxa"/>
                  <w:gridSpan w:val="2"/>
                  <w:tcBorders>
                    <w:top w:val="nil"/>
                    <w:left w:val="nil"/>
                    <w:bottom w:val="single" w:sz="4" w:space="0" w:color="000000"/>
                    <w:right w:val="nil"/>
                    <w:tl2br w:val="nil"/>
                    <w:tr2bl w:val="nil"/>
                  </w:tcBorders>
                  <w:shd w:val="clear" w:color="auto" w:fill="auto"/>
                  <w:tcMar>
                    <w:left w:w="40" w:type="dxa"/>
                    <w:right w:w="40" w:type="dxa"/>
                  </w:tcMar>
                  <w:vAlign w:val="bottom"/>
                </w:tcPr>
                <w:p w14:paraId="7574E49A"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Company's share in profits (losses) of </w:t>
                  </w:r>
                </w:p>
                <w:p w14:paraId="2072CD1A"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equity accounted investees, net</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F331A4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110</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6854DE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53</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30B2F1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107</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F19CBA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99</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BA6F17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(2)</w:t>
                  </w:r>
                </w:p>
              </w:tc>
            </w:tr>
            <w:tr w:rsidR="0085581F" w:rsidRPr="0085581F" w14:paraId="279ACC0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4C51485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550A6F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222338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51F040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1E964E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1D15AF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0A1D28A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nil"/>
                    <w:left w:val="nil"/>
                    <w:bottom w:val="nil"/>
                    <w:right w:val="nil"/>
                    <w:tl2br w:val="nil"/>
                    <w:tr2bl w:val="nil"/>
                  </w:tcBorders>
                  <w:shd w:val="clear" w:color="auto" w:fill="auto"/>
                  <w:tcMar>
                    <w:left w:w="40" w:type="dxa"/>
                    <w:right w:w="40" w:type="dxa"/>
                  </w:tcMar>
                  <w:vAlign w:val="bottom"/>
                </w:tcPr>
                <w:p w14:paraId="78913740"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Operating profit (loss)</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760179D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1,199</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31AD684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333</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648761C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815</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38BE3F1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419</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7588547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(132)</w:t>
                  </w:r>
                </w:p>
              </w:tc>
            </w:tr>
            <w:tr w:rsidR="0085581F" w:rsidRPr="0085581F" w14:paraId="5A95079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nil"/>
                    <w:left w:val="nil"/>
                    <w:bottom w:val="nil"/>
                    <w:right w:val="nil"/>
                    <w:tl2br w:val="nil"/>
                    <w:tr2bl w:val="nil"/>
                  </w:tcBorders>
                  <w:shd w:val="clear" w:color="auto" w:fill="auto"/>
                  <w:tcMar>
                    <w:left w:w="0" w:type="dxa"/>
                    <w:right w:w="0" w:type="dxa"/>
                  </w:tcMar>
                  <w:vAlign w:val="bottom"/>
                </w:tcPr>
                <w:p w14:paraId="1BAD7D3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69A8713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7E0BBEC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23A24E1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249B20A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6E414F8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0D4089F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nil"/>
                    <w:left w:val="nil"/>
                    <w:bottom w:val="nil"/>
                    <w:right w:val="nil"/>
                    <w:tl2br w:val="nil"/>
                    <w:tr2bl w:val="nil"/>
                  </w:tcBorders>
                  <w:shd w:val="clear" w:color="auto" w:fill="auto"/>
                  <w:tcMar>
                    <w:left w:w="40" w:type="dxa"/>
                    <w:right w:w="40" w:type="dxa"/>
                  </w:tcMar>
                  <w:vAlign w:val="bottom"/>
                </w:tcPr>
                <w:p w14:paraId="22504CEC"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Financing expenses</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7DA3CE4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(663)</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102C694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(736)</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12CED42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(370)</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23ACD6F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(395)</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38BEDD6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(1,340)</w:t>
                  </w:r>
                </w:p>
              </w:tc>
            </w:tr>
            <w:tr w:rsidR="0085581F" w:rsidRPr="0085581F" w14:paraId="50453B8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nil"/>
                    <w:left w:val="nil"/>
                    <w:bottom w:val="single" w:sz="4" w:space="0" w:color="000000"/>
                    <w:right w:val="nil"/>
                    <w:tl2br w:val="nil"/>
                    <w:tr2bl w:val="nil"/>
                  </w:tcBorders>
                  <w:shd w:val="clear" w:color="auto" w:fill="auto"/>
                  <w:tcMar>
                    <w:left w:w="40" w:type="dxa"/>
                    <w:right w:w="40" w:type="dxa"/>
                  </w:tcMar>
                  <w:vAlign w:val="bottom"/>
                </w:tcPr>
                <w:p w14:paraId="7FF8AE00"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Financing income</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23832D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90</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102E08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140</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66CA25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51</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09DBC4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147</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E4CB84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272</w:t>
                  </w:r>
                </w:p>
              </w:tc>
            </w:tr>
            <w:tr w:rsidR="0085581F" w:rsidRPr="0085581F" w14:paraId="7998023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0B09807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6910CB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5A1EC5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FF4F5B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382353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540FF8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35AB9A7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nil"/>
                    <w:left w:val="nil"/>
                    <w:bottom w:val="nil"/>
                    <w:right w:val="nil"/>
                    <w:tl2br w:val="nil"/>
                    <w:tr2bl w:val="nil"/>
                  </w:tcBorders>
                  <w:shd w:val="clear" w:color="auto" w:fill="auto"/>
                  <w:tcMar>
                    <w:left w:w="40" w:type="dxa"/>
                    <w:right w:w="40" w:type="dxa"/>
                  </w:tcMar>
                  <w:vAlign w:val="bottom"/>
                </w:tcPr>
                <w:p w14:paraId="5799AA7B"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Income (loss) before taxes on income</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3D2E1B0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626</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2CCEEBE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(263)</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193CBE0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496</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4A530CD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171</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6F1FE54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(1,200)</w:t>
                  </w:r>
                </w:p>
              </w:tc>
            </w:tr>
            <w:tr w:rsidR="0085581F" w:rsidRPr="0085581F" w14:paraId="159A4AD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nil"/>
                    <w:left w:val="nil"/>
                    <w:bottom w:val="single" w:sz="4" w:space="0" w:color="000000"/>
                    <w:right w:val="nil"/>
                    <w:tl2br w:val="nil"/>
                    <w:tr2bl w:val="nil"/>
                  </w:tcBorders>
                  <w:shd w:val="clear" w:color="auto" w:fill="auto"/>
                  <w:tcMar>
                    <w:left w:w="40" w:type="dxa"/>
                    <w:right w:w="40" w:type="dxa"/>
                  </w:tcMar>
                  <w:vAlign w:val="bottom"/>
                </w:tcPr>
                <w:p w14:paraId="13521177"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Taxes on income</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E74BF3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122</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FD8C20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37</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997611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78</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F74F9E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73</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5A3525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120</w:t>
                  </w:r>
                </w:p>
              </w:tc>
            </w:tr>
            <w:tr w:rsidR="0085581F" w:rsidRPr="0085581F" w14:paraId="74A6671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single" w:sz="4" w:space="0" w:color="000000"/>
                    <w:left w:val="nil"/>
                    <w:bottom w:val="double" w:sz="6" w:space="0" w:color="000000"/>
                    <w:right w:val="nil"/>
                    <w:tl2br w:val="nil"/>
                    <w:tr2bl w:val="nil"/>
                  </w:tcBorders>
                  <w:shd w:val="clear" w:color="auto" w:fill="auto"/>
                  <w:tcMar>
                    <w:left w:w="40" w:type="dxa"/>
                    <w:right w:w="40" w:type="dxa"/>
                  </w:tcMar>
                  <w:vAlign w:val="bottom"/>
                </w:tcPr>
                <w:p w14:paraId="5B35EA5A"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Net profit (loss)</w:t>
                  </w:r>
                </w:p>
              </w:tc>
              <w:tc>
                <w:tcPr>
                  <w:tcW w:w="112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E6C6D2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504</w:t>
                  </w:r>
                </w:p>
              </w:tc>
              <w:tc>
                <w:tcPr>
                  <w:tcW w:w="112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0A3CDE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(300)</w:t>
                  </w:r>
                </w:p>
              </w:tc>
              <w:tc>
                <w:tcPr>
                  <w:tcW w:w="112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071DF56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418</w:t>
                  </w:r>
                </w:p>
              </w:tc>
              <w:tc>
                <w:tcPr>
                  <w:tcW w:w="112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235B260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98</w:t>
                  </w:r>
                </w:p>
              </w:tc>
              <w:tc>
                <w:tcPr>
                  <w:tcW w:w="112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7ACF100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(1,320)</w:t>
                  </w:r>
                </w:p>
              </w:tc>
            </w:tr>
            <w:tr w:rsidR="0085581F" w:rsidRPr="0085581F" w14:paraId="5111BEE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0" w:type="dxa"/>
                  <w:tcBorders>
                    <w:top w:val="double" w:sz="6" w:space="0" w:color="000000"/>
                    <w:left w:val="nil"/>
                    <w:bottom w:val="nil"/>
                    <w:right w:val="nil"/>
                    <w:tl2br w:val="nil"/>
                    <w:tr2bl w:val="nil"/>
                  </w:tcBorders>
                  <w:shd w:val="clear" w:color="auto" w:fill="auto"/>
                  <w:tcMar>
                    <w:left w:w="0" w:type="dxa"/>
                    <w:right w:w="0" w:type="dxa"/>
                  </w:tcMar>
                  <w:vAlign w:val="bottom"/>
                </w:tcPr>
                <w:p w14:paraId="2ECE682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3870" w:type="dxa"/>
                  <w:tcBorders>
                    <w:top w:val="double" w:sz="6" w:space="0" w:color="000000"/>
                    <w:left w:val="nil"/>
                    <w:bottom w:val="nil"/>
                    <w:right w:val="nil"/>
                    <w:tl2br w:val="nil"/>
                    <w:tr2bl w:val="nil"/>
                  </w:tcBorders>
                  <w:shd w:val="clear" w:color="auto" w:fill="auto"/>
                  <w:tcMar>
                    <w:left w:w="0" w:type="dxa"/>
                    <w:right w:w="0" w:type="dxa"/>
                  </w:tcMar>
                  <w:vAlign w:val="bottom"/>
                </w:tcPr>
                <w:p w14:paraId="3F7F597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3972EC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9E9486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58B6A4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0796EA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D97BBF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46A2CCD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nil"/>
                    <w:left w:val="nil"/>
                    <w:bottom w:val="nil"/>
                    <w:right w:val="nil"/>
                    <w:tl2br w:val="nil"/>
                    <w:tr2bl w:val="nil"/>
                  </w:tcBorders>
                  <w:shd w:val="clear" w:color="auto" w:fill="auto"/>
                  <w:tcMar>
                    <w:left w:w="40" w:type="dxa"/>
                    <w:right w:w="40" w:type="dxa"/>
                  </w:tcMar>
                  <w:vAlign w:val="bottom"/>
                </w:tcPr>
                <w:p w14:paraId="30D58B9F"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Attributable to:</w:t>
                  </w: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0B5A153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19ED09F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35A435E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77B4AB5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691E334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61E6469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nil"/>
                    <w:left w:val="nil"/>
                    <w:bottom w:val="nil"/>
                    <w:right w:val="nil"/>
                    <w:tl2br w:val="nil"/>
                    <w:tr2bl w:val="nil"/>
                  </w:tcBorders>
                  <w:shd w:val="clear" w:color="auto" w:fill="auto"/>
                  <w:tcMar>
                    <w:left w:w="40" w:type="dxa"/>
                    <w:right w:w="40" w:type="dxa"/>
                  </w:tcMar>
                  <w:vAlign w:val="bottom"/>
                </w:tcPr>
                <w:p w14:paraId="6E9932F6"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Equity holders of the Company</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064505E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252</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210100A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(512)</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3E820EC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329</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1E7DF6E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(3)</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617508F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(1,203)</w:t>
                  </w:r>
                </w:p>
              </w:tc>
            </w:tr>
            <w:tr w:rsidR="0085581F" w:rsidRPr="0085581F" w14:paraId="5C329DF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nil"/>
                    <w:left w:val="nil"/>
                    <w:bottom w:val="single" w:sz="4" w:space="0" w:color="000000"/>
                    <w:right w:val="nil"/>
                    <w:tl2br w:val="nil"/>
                    <w:tr2bl w:val="nil"/>
                  </w:tcBorders>
                  <w:shd w:val="clear" w:color="auto" w:fill="auto"/>
                  <w:tcMar>
                    <w:left w:w="40" w:type="dxa"/>
                    <w:right w:w="40" w:type="dxa"/>
                  </w:tcMar>
                  <w:vAlign w:val="bottom"/>
                </w:tcPr>
                <w:p w14:paraId="5A2F2503"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Non-controlling interests</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DABBE3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252</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0ADA49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212</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0910A4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89</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745221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101</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2387D7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(117)</w:t>
                  </w:r>
                </w:p>
              </w:tc>
            </w:tr>
            <w:tr w:rsidR="0085581F" w:rsidRPr="0085581F" w14:paraId="1D729E4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CE2F51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49E1E79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504</w:t>
                  </w:r>
                </w:p>
              </w:tc>
              <w:tc>
                <w:tcPr>
                  <w:tcW w:w="112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7A7F9E4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(300)</w:t>
                  </w:r>
                </w:p>
              </w:tc>
              <w:tc>
                <w:tcPr>
                  <w:tcW w:w="112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0CE893C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418</w:t>
                  </w:r>
                </w:p>
              </w:tc>
              <w:tc>
                <w:tcPr>
                  <w:tcW w:w="112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517A7FA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98</w:t>
                  </w:r>
                </w:p>
              </w:tc>
              <w:tc>
                <w:tcPr>
                  <w:tcW w:w="112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37F15C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(1,320)</w:t>
                  </w:r>
                </w:p>
              </w:tc>
            </w:tr>
            <w:tr w:rsidR="0085581F" w:rsidRPr="0085581F" w14:paraId="0C7DDAA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12DD0DF"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387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5B2C9C2"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11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6F3140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653663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88555D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E3B481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3486CA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3F81243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nil"/>
                    <w:left w:val="nil"/>
                    <w:bottom w:val="nil"/>
                    <w:right w:val="nil"/>
                    <w:tl2br w:val="nil"/>
                    <w:tr2bl w:val="nil"/>
                  </w:tcBorders>
                  <w:shd w:val="clear" w:color="auto" w:fill="auto"/>
                  <w:tcMar>
                    <w:left w:w="40" w:type="dxa"/>
                    <w:right w:w="40" w:type="dxa"/>
                  </w:tcMar>
                  <w:vAlign w:val="bottom"/>
                </w:tcPr>
                <w:p w14:paraId="533AF0AC"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u w:val="single"/>
                    </w:rPr>
                  </w:pPr>
                  <w:r w:rsidRPr="0085581F">
                    <w:rPr>
                      <w:rFonts w:asciiTheme="majorBidi" w:hAnsiTheme="majorBidi" w:cstheme="majorBidi"/>
                      <w:color w:val="000000"/>
                      <w:sz w:val="21"/>
                      <w:u w:val="single"/>
                    </w:rPr>
                    <w:t>Net earnings (loss) per share attributable to equity holders of the Company (NIS)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172FCE7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00F990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116F2C9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710E5E6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F49063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5C04F34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170" w:type="dxa"/>
                  <w:gridSpan w:val="2"/>
                  <w:tcBorders>
                    <w:top w:val="nil"/>
                    <w:left w:val="nil"/>
                    <w:bottom w:val="double" w:sz="6" w:space="0" w:color="000000"/>
                    <w:right w:val="nil"/>
                    <w:tl2br w:val="nil"/>
                    <w:tr2bl w:val="nil"/>
                  </w:tcBorders>
                  <w:shd w:val="clear" w:color="auto" w:fill="auto"/>
                  <w:tcMar>
                    <w:left w:w="40" w:type="dxa"/>
                    <w:right w:w="40" w:type="dxa"/>
                  </w:tcMar>
                  <w:vAlign w:val="bottom"/>
                </w:tcPr>
                <w:p w14:paraId="5856DB1F"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Total basic net earnings (loss)</w:t>
                  </w:r>
                </w:p>
              </w:tc>
              <w:tc>
                <w:tcPr>
                  <w:tcW w:w="1125"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721143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1.36</w:t>
                  </w:r>
                </w:p>
              </w:tc>
              <w:tc>
                <w:tcPr>
                  <w:tcW w:w="1125"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B12828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(2.93)</w:t>
                  </w:r>
                </w:p>
              </w:tc>
              <w:tc>
                <w:tcPr>
                  <w:tcW w:w="1125"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025BC5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1.77</w:t>
                  </w:r>
                </w:p>
              </w:tc>
              <w:tc>
                <w:tcPr>
                  <w:tcW w:w="1125"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2B682D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(0.01)</w:t>
                  </w:r>
                </w:p>
              </w:tc>
              <w:tc>
                <w:tcPr>
                  <w:tcW w:w="1125"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EC5240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(6.79)</w:t>
                  </w:r>
                </w:p>
              </w:tc>
            </w:tr>
            <w:tr w:rsidR="0085581F" w:rsidRPr="0085581F" w14:paraId="26D7375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9"/>
              </w:trPr>
              <w:tc>
                <w:tcPr>
                  <w:tcW w:w="4170" w:type="dxa"/>
                  <w:gridSpan w:val="2"/>
                  <w:tcBorders>
                    <w:top w:val="double" w:sz="6" w:space="0" w:color="000000"/>
                    <w:left w:val="nil"/>
                    <w:bottom w:val="double" w:sz="6" w:space="0" w:color="000000"/>
                    <w:right w:val="nil"/>
                    <w:tl2br w:val="nil"/>
                    <w:tr2bl w:val="nil"/>
                  </w:tcBorders>
                  <w:shd w:val="clear" w:color="auto" w:fill="auto"/>
                  <w:noWrap/>
                  <w:tcMar>
                    <w:left w:w="40" w:type="dxa"/>
                    <w:right w:w="40" w:type="dxa"/>
                  </w:tcMar>
                  <w:vAlign w:val="bottom"/>
                </w:tcPr>
                <w:p w14:paraId="44F67CA8"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Total diluted net earnings (loss)</w:t>
                  </w:r>
                </w:p>
              </w:tc>
              <w:tc>
                <w:tcPr>
                  <w:tcW w:w="1125"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3F190EE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1.22</w:t>
                  </w:r>
                </w:p>
              </w:tc>
              <w:tc>
                <w:tcPr>
                  <w:tcW w:w="1125"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3F5D6D8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(2.94)</w:t>
                  </w:r>
                </w:p>
              </w:tc>
              <w:tc>
                <w:tcPr>
                  <w:tcW w:w="1125"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7E4014C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1.54</w:t>
                  </w:r>
                </w:p>
              </w:tc>
              <w:tc>
                <w:tcPr>
                  <w:tcW w:w="1125"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7B69373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(0.01)</w:t>
                  </w:r>
                </w:p>
              </w:tc>
              <w:tc>
                <w:tcPr>
                  <w:tcW w:w="1125"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0E77D94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(6.79)</w:t>
                  </w:r>
                </w:p>
              </w:tc>
            </w:tr>
          </w:tbl>
          <w:p w14:paraId="2973919A" w14:textId="77777777" w:rsidR="0085581F" w:rsidRPr="0085581F" w:rsidRDefault="0085581F" w:rsidP="0085581F">
            <w:pPr>
              <w:rPr>
                <w:rFonts w:asciiTheme="majorBidi" w:hAnsiTheme="majorBidi" w:cstheme="majorBidi"/>
              </w:rPr>
            </w:pPr>
          </w:p>
        </w:tc>
      </w:tr>
    </w:tbl>
    <w:p w14:paraId="53F45EF5" w14:textId="77777777" w:rsidR="0085581F" w:rsidRPr="0085581F" w:rsidRDefault="0085581F" w:rsidP="0085581F">
      <w:pPr>
        <w:keepNext/>
        <w:tabs>
          <w:tab w:val="left" w:pos="425"/>
          <w:tab w:val="left" w:pos="1132"/>
        </w:tabs>
        <w:contextualSpacing/>
        <w:outlineLvl w:val="4"/>
        <w:rPr>
          <w:rFonts w:asciiTheme="majorBidi" w:hAnsiTheme="majorBidi" w:cstheme="majorBidi"/>
          <w:sz w:val="21"/>
          <w:szCs w:val="21"/>
        </w:rPr>
      </w:pPr>
      <w:r w:rsidRPr="0085581F">
        <w:rPr>
          <w:rFonts w:asciiTheme="majorBidi" w:hAnsiTheme="majorBidi" w:cstheme="majorBidi"/>
          <w:sz w:val="21"/>
        </w:rPr>
        <w:lastRenderedPageBreak/>
        <w:t xml:space="preserve">Presentation of statement of comprehensive income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85581F" w:rsidRPr="0085581F" w14:paraId="164B293C" w14:textId="77777777" w:rsidTr="00A65A6F">
        <w:trPr>
          <w:cantSplit/>
        </w:trPr>
        <w:tc>
          <w:tcPr>
            <w:tcW w:w="5000" w:type="pct"/>
          </w:tcPr>
          <w:tbl>
            <w:tblPr>
              <w:tblStyle w:val="CDMRange220"/>
              <w:tblW w:w="9960" w:type="dxa"/>
              <w:tblLook w:val="0600" w:firstRow="0" w:lastRow="0" w:firstColumn="0" w:lastColumn="0" w:noHBand="1" w:noVBand="1"/>
              <w:tblCaption w:val="Print_Area"/>
            </w:tblPr>
            <w:tblGrid>
              <w:gridCol w:w="335"/>
              <w:gridCol w:w="332"/>
              <w:gridCol w:w="3549"/>
              <w:gridCol w:w="1098"/>
              <w:gridCol w:w="1098"/>
              <w:gridCol w:w="1098"/>
              <w:gridCol w:w="1098"/>
              <w:gridCol w:w="1098"/>
            </w:tblGrid>
            <w:tr w:rsidR="0085581F" w:rsidRPr="0085581F" w14:paraId="465C8D6A" w14:textId="77777777" w:rsidTr="00A65A6F">
              <w:trPr>
                <w:trHeight w:val="300"/>
              </w:trPr>
              <w:tc>
                <w:tcPr>
                  <w:tcW w:w="330" w:type="dxa"/>
                  <w:tcBorders>
                    <w:top w:val="nil"/>
                    <w:left w:val="nil"/>
                    <w:bottom w:val="nil"/>
                    <w:right w:val="nil"/>
                    <w:tl2br w:val="nil"/>
                    <w:tr2bl w:val="nil"/>
                  </w:tcBorders>
                  <w:shd w:val="clear" w:color="FFFFFF" w:fill="000031"/>
                  <w:noWrap/>
                  <w:tcMar>
                    <w:left w:w="0" w:type="dxa"/>
                    <w:right w:w="0" w:type="dxa"/>
                  </w:tcMar>
                  <w:vAlign w:val="bottom"/>
                </w:tcPr>
                <w:p w14:paraId="60EBB8A4"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21"/>
                    </w:rPr>
                  </w:pPr>
                </w:p>
              </w:tc>
              <w:tc>
                <w:tcPr>
                  <w:tcW w:w="330" w:type="dxa"/>
                  <w:tcBorders>
                    <w:top w:val="nil"/>
                    <w:left w:val="nil"/>
                    <w:bottom w:val="nil"/>
                    <w:right w:val="nil"/>
                    <w:tl2br w:val="nil"/>
                    <w:tr2bl w:val="nil"/>
                  </w:tcBorders>
                  <w:shd w:val="clear" w:color="FFFFFF" w:fill="000031"/>
                  <w:noWrap/>
                  <w:tcMar>
                    <w:left w:w="0" w:type="dxa"/>
                    <w:right w:w="0" w:type="dxa"/>
                  </w:tcMar>
                  <w:vAlign w:val="bottom"/>
                </w:tcPr>
                <w:p w14:paraId="4E174B09"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21"/>
                    </w:rPr>
                  </w:pPr>
                </w:p>
              </w:tc>
              <w:tc>
                <w:tcPr>
                  <w:tcW w:w="3675" w:type="dxa"/>
                  <w:tcBorders>
                    <w:top w:val="nil"/>
                    <w:left w:val="nil"/>
                    <w:bottom w:val="nil"/>
                    <w:right w:val="nil"/>
                    <w:tl2br w:val="nil"/>
                    <w:tr2bl w:val="nil"/>
                  </w:tcBorders>
                  <w:shd w:val="clear" w:color="FFFFFF" w:fill="000031"/>
                  <w:noWrap/>
                  <w:tcMar>
                    <w:left w:w="0" w:type="dxa"/>
                    <w:right w:w="0" w:type="dxa"/>
                  </w:tcMar>
                  <w:vAlign w:val="bottom"/>
                </w:tcPr>
                <w:p w14:paraId="6EA681D7"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21"/>
                    </w:rPr>
                  </w:pPr>
                </w:p>
              </w:tc>
              <w:tc>
                <w:tcPr>
                  <w:tcW w:w="2250" w:type="dxa"/>
                  <w:gridSpan w:val="2"/>
                  <w:tcBorders>
                    <w:top w:val="nil"/>
                    <w:left w:val="nil"/>
                    <w:bottom w:val="nil"/>
                    <w:right w:val="nil"/>
                    <w:tl2br w:val="nil"/>
                    <w:tr2bl w:val="nil"/>
                  </w:tcBorders>
                  <w:shd w:val="clear" w:color="FFFFFF" w:fill="000031"/>
                  <w:tcMar>
                    <w:left w:w="40" w:type="dxa"/>
                    <w:right w:w="40" w:type="dxa"/>
                  </w:tcMar>
                  <w:vAlign w:val="bottom"/>
                </w:tcPr>
                <w:p w14:paraId="04D012B0"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9"/>
                      <w:szCs w:val="19"/>
                    </w:rPr>
                  </w:pPr>
                  <w:r w:rsidRPr="0085581F">
                    <w:rPr>
                      <w:rFonts w:asciiTheme="majorBidi" w:hAnsiTheme="majorBidi" w:cstheme="majorBidi"/>
                      <w:b/>
                      <w:color w:val="FFFFFF"/>
                      <w:sz w:val="19"/>
                      <w:szCs w:val="19"/>
                    </w:rPr>
                    <w:t xml:space="preserve">Six months ended </w:t>
                  </w:r>
                </w:p>
                <w:p w14:paraId="3D69ADE6"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9"/>
                      <w:szCs w:val="19"/>
                    </w:rPr>
                  </w:pPr>
                  <w:r w:rsidRPr="0085581F">
                    <w:rPr>
                      <w:rFonts w:asciiTheme="majorBidi" w:hAnsiTheme="majorBidi" w:cstheme="majorBidi"/>
                      <w:b/>
                      <w:color w:val="FFFFFF"/>
                      <w:sz w:val="19"/>
                      <w:szCs w:val="19"/>
                    </w:rPr>
                    <w:t>June 30</w:t>
                  </w:r>
                </w:p>
              </w:tc>
              <w:tc>
                <w:tcPr>
                  <w:tcW w:w="2250" w:type="dxa"/>
                  <w:gridSpan w:val="2"/>
                  <w:tcBorders>
                    <w:top w:val="nil"/>
                    <w:left w:val="nil"/>
                    <w:bottom w:val="nil"/>
                    <w:right w:val="nil"/>
                    <w:tl2br w:val="nil"/>
                    <w:tr2bl w:val="nil"/>
                  </w:tcBorders>
                  <w:shd w:val="clear" w:color="FFFFFF" w:fill="000031"/>
                  <w:tcMar>
                    <w:left w:w="40" w:type="dxa"/>
                    <w:right w:w="40" w:type="dxa"/>
                  </w:tcMar>
                  <w:vAlign w:val="bottom"/>
                </w:tcPr>
                <w:p w14:paraId="1A4120BB"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9"/>
                      <w:szCs w:val="19"/>
                    </w:rPr>
                  </w:pPr>
                  <w:r w:rsidRPr="0085581F">
                    <w:rPr>
                      <w:rFonts w:asciiTheme="majorBidi" w:hAnsiTheme="majorBidi" w:cstheme="majorBidi"/>
                      <w:b/>
                      <w:color w:val="FFFFFF"/>
                      <w:sz w:val="19"/>
                      <w:szCs w:val="19"/>
                    </w:rPr>
                    <w:t xml:space="preserve">Three months ended </w:t>
                  </w:r>
                </w:p>
                <w:p w14:paraId="4F91670C"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9"/>
                      <w:szCs w:val="19"/>
                    </w:rPr>
                  </w:pPr>
                  <w:r w:rsidRPr="0085581F">
                    <w:rPr>
                      <w:rFonts w:asciiTheme="majorBidi" w:hAnsiTheme="majorBidi" w:cstheme="majorBidi"/>
                      <w:b/>
                      <w:color w:val="FFFFFF"/>
                      <w:sz w:val="19"/>
                      <w:szCs w:val="19"/>
                    </w:rPr>
                    <w:t>June 30</w:t>
                  </w:r>
                </w:p>
              </w:tc>
              <w:tc>
                <w:tcPr>
                  <w:tcW w:w="1125" w:type="dxa"/>
                  <w:tcBorders>
                    <w:top w:val="nil"/>
                    <w:left w:val="nil"/>
                    <w:bottom w:val="nil"/>
                    <w:right w:val="nil"/>
                    <w:tl2br w:val="nil"/>
                    <w:tr2bl w:val="nil"/>
                  </w:tcBorders>
                  <w:shd w:val="clear" w:color="FFFFFF" w:fill="000031"/>
                  <w:tcMar>
                    <w:left w:w="40" w:type="dxa"/>
                    <w:right w:w="40" w:type="dxa"/>
                  </w:tcMar>
                  <w:vAlign w:val="bottom"/>
                </w:tcPr>
                <w:p w14:paraId="182B0B48"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9"/>
                      <w:szCs w:val="19"/>
                    </w:rPr>
                  </w:pPr>
                  <w:r w:rsidRPr="0085581F">
                    <w:rPr>
                      <w:rFonts w:asciiTheme="majorBidi" w:hAnsiTheme="majorBidi" w:cstheme="majorBidi"/>
                      <w:b/>
                      <w:color w:val="FFFFFF"/>
                      <w:sz w:val="19"/>
                      <w:szCs w:val="19"/>
                    </w:rPr>
                    <w:t>Year ended December 31</w:t>
                  </w:r>
                </w:p>
              </w:tc>
            </w:tr>
            <w:tr w:rsidR="0085581F" w:rsidRPr="0085581F" w14:paraId="337FFD7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0" w:type="dxa"/>
                  <w:tcBorders>
                    <w:top w:val="nil"/>
                    <w:left w:val="nil"/>
                    <w:bottom w:val="nil"/>
                    <w:right w:val="nil"/>
                    <w:tl2br w:val="nil"/>
                    <w:tr2bl w:val="nil"/>
                  </w:tcBorders>
                  <w:shd w:val="clear" w:color="auto" w:fill="auto"/>
                  <w:noWrap/>
                  <w:tcMar>
                    <w:left w:w="0" w:type="dxa"/>
                    <w:right w:w="0" w:type="dxa"/>
                  </w:tcMar>
                  <w:vAlign w:val="bottom"/>
                </w:tcPr>
                <w:p w14:paraId="67AA078D"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330" w:type="dxa"/>
                  <w:tcBorders>
                    <w:top w:val="nil"/>
                    <w:left w:val="nil"/>
                    <w:bottom w:val="nil"/>
                    <w:right w:val="nil"/>
                    <w:tl2br w:val="nil"/>
                    <w:tr2bl w:val="nil"/>
                  </w:tcBorders>
                  <w:shd w:val="clear" w:color="auto" w:fill="auto"/>
                  <w:noWrap/>
                  <w:tcMar>
                    <w:left w:w="0" w:type="dxa"/>
                    <w:right w:w="0" w:type="dxa"/>
                  </w:tcMar>
                  <w:vAlign w:val="bottom"/>
                </w:tcPr>
                <w:p w14:paraId="00F0A995"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3675" w:type="dxa"/>
                  <w:tcBorders>
                    <w:top w:val="nil"/>
                    <w:left w:val="nil"/>
                    <w:bottom w:val="nil"/>
                    <w:right w:val="nil"/>
                    <w:tl2br w:val="nil"/>
                    <w:tr2bl w:val="nil"/>
                  </w:tcBorders>
                  <w:shd w:val="clear" w:color="auto" w:fill="auto"/>
                  <w:noWrap/>
                  <w:tcMar>
                    <w:left w:w="0" w:type="dxa"/>
                    <w:right w:w="0" w:type="dxa"/>
                  </w:tcMar>
                  <w:vAlign w:val="bottom"/>
                </w:tcPr>
                <w:p w14:paraId="2BA6682F"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9F7AF9D"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9"/>
                      <w:szCs w:val="19"/>
                    </w:rPr>
                  </w:pPr>
                  <w:r w:rsidRPr="0085581F">
                    <w:rPr>
                      <w:rFonts w:asciiTheme="majorBidi" w:hAnsiTheme="majorBidi" w:cstheme="majorBidi"/>
                      <w:b/>
                      <w:color w:val="000000"/>
                      <w:sz w:val="19"/>
                      <w:szCs w:val="19"/>
                    </w:rPr>
                    <w:t>2024</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1E18E587"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9"/>
                      <w:szCs w:val="19"/>
                    </w:rPr>
                  </w:pPr>
                  <w:r w:rsidRPr="0085581F">
                    <w:rPr>
                      <w:rFonts w:asciiTheme="majorBidi" w:hAnsiTheme="majorBidi" w:cstheme="majorBidi"/>
                      <w:b/>
                      <w:color w:val="000000"/>
                      <w:sz w:val="19"/>
                      <w:szCs w:val="19"/>
                    </w:rPr>
                    <w:t>2023</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3C2A32D0"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9"/>
                      <w:szCs w:val="19"/>
                    </w:rPr>
                  </w:pPr>
                  <w:r w:rsidRPr="0085581F">
                    <w:rPr>
                      <w:rFonts w:asciiTheme="majorBidi" w:hAnsiTheme="majorBidi" w:cstheme="majorBidi"/>
                      <w:b/>
                      <w:color w:val="000000"/>
                      <w:sz w:val="19"/>
                      <w:szCs w:val="19"/>
                    </w:rPr>
                    <w:t>2024</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39EC31B0"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9"/>
                      <w:szCs w:val="19"/>
                    </w:rPr>
                  </w:pPr>
                  <w:r w:rsidRPr="0085581F">
                    <w:rPr>
                      <w:rFonts w:asciiTheme="majorBidi" w:hAnsiTheme="majorBidi" w:cstheme="majorBidi"/>
                      <w:b/>
                      <w:color w:val="000000"/>
                      <w:sz w:val="19"/>
                      <w:szCs w:val="19"/>
                    </w:rPr>
                    <w:t>2023</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353B001C"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9"/>
                      <w:szCs w:val="19"/>
                    </w:rPr>
                  </w:pPr>
                  <w:r w:rsidRPr="0085581F">
                    <w:rPr>
                      <w:rFonts w:asciiTheme="majorBidi" w:hAnsiTheme="majorBidi" w:cstheme="majorBidi"/>
                      <w:b/>
                      <w:color w:val="000000"/>
                      <w:sz w:val="19"/>
                      <w:szCs w:val="19"/>
                    </w:rPr>
                    <w:t>2023</w:t>
                  </w:r>
                </w:p>
              </w:tc>
            </w:tr>
            <w:tr w:rsidR="0085581F" w:rsidRPr="0085581F" w14:paraId="18EEE68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0" w:type="dxa"/>
                  <w:tcBorders>
                    <w:top w:val="nil"/>
                    <w:left w:val="nil"/>
                    <w:bottom w:val="nil"/>
                    <w:right w:val="nil"/>
                    <w:tl2br w:val="nil"/>
                    <w:tr2bl w:val="nil"/>
                  </w:tcBorders>
                  <w:shd w:val="clear" w:color="FFFFFF" w:fill="000031"/>
                  <w:noWrap/>
                  <w:tcMar>
                    <w:left w:w="0" w:type="dxa"/>
                    <w:right w:w="0" w:type="dxa"/>
                  </w:tcMar>
                  <w:vAlign w:val="bottom"/>
                </w:tcPr>
                <w:p w14:paraId="502BF9DA"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21"/>
                    </w:rPr>
                  </w:pPr>
                </w:p>
              </w:tc>
              <w:tc>
                <w:tcPr>
                  <w:tcW w:w="330" w:type="dxa"/>
                  <w:tcBorders>
                    <w:top w:val="nil"/>
                    <w:left w:val="nil"/>
                    <w:bottom w:val="nil"/>
                    <w:right w:val="nil"/>
                    <w:tl2br w:val="nil"/>
                    <w:tr2bl w:val="nil"/>
                  </w:tcBorders>
                  <w:shd w:val="clear" w:color="FFFFFF" w:fill="000031"/>
                  <w:noWrap/>
                  <w:tcMar>
                    <w:left w:w="0" w:type="dxa"/>
                    <w:right w:w="0" w:type="dxa"/>
                  </w:tcMar>
                  <w:vAlign w:val="bottom"/>
                </w:tcPr>
                <w:p w14:paraId="421CF371"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21"/>
                    </w:rPr>
                  </w:pPr>
                </w:p>
              </w:tc>
              <w:tc>
                <w:tcPr>
                  <w:tcW w:w="3675" w:type="dxa"/>
                  <w:tcBorders>
                    <w:top w:val="nil"/>
                    <w:left w:val="nil"/>
                    <w:bottom w:val="nil"/>
                    <w:right w:val="nil"/>
                    <w:tl2br w:val="nil"/>
                    <w:tr2bl w:val="nil"/>
                  </w:tcBorders>
                  <w:shd w:val="clear" w:color="FFFFFF" w:fill="000031"/>
                  <w:noWrap/>
                  <w:tcMar>
                    <w:left w:w="0" w:type="dxa"/>
                    <w:right w:w="0" w:type="dxa"/>
                  </w:tcMar>
                  <w:vAlign w:val="bottom"/>
                </w:tcPr>
                <w:p w14:paraId="6BB40852" w14:textId="77777777" w:rsidR="0085581F" w:rsidRPr="0085581F" w:rsidRDefault="0085581F" w:rsidP="0085581F">
                  <w:pPr>
                    <w:spacing w:before="0" w:after="0" w:line="240" w:lineRule="auto"/>
                    <w:jc w:val="left"/>
                    <w:rPr>
                      <w:rFonts w:asciiTheme="majorBidi" w:eastAsia="Ploni ML Medium AAA Medium" w:hAnsiTheme="majorBidi" w:cstheme="majorBidi"/>
                      <w:color w:val="FFFFFF"/>
                      <w:sz w:val="21"/>
                    </w:rPr>
                  </w:pPr>
                </w:p>
              </w:tc>
              <w:tc>
                <w:tcPr>
                  <w:tcW w:w="4500" w:type="dxa"/>
                  <w:gridSpan w:val="4"/>
                  <w:tcBorders>
                    <w:top w:val="nil"/>
                    <w:left w:val="nil"/>
                    <w:bottom w:val="nil"/>
                    <w:right w:val="nil"/>
                    <w:tl2br w:val="nil"/>
                    <w:tr2bl w:val="nil"/>
                  </w:tcBorders>
                  <w:shd w:val="clear" w:color="FFFFFF" w:fill="000031"/>
                  <w:noWrap/>
                  <w:tcMar>
                    <w:left w:w="40" w:type="dxa"/>
                    <w:right w:w="40" w:type="dxa"/>
                  </w:tcMar>
                  <w:vAlign w:val="bottom"/>
                </w:tcPr>
                <w:p w14:paraId="74B01C8F"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9"/>
                      <w:szCs w:val="19"/>
                    </w:rPr>
                  </w:pPr>
                  <w:r w:rsidRPr="0085581F">
                    <w:rPr>
                      <w:rFonts w:asciiTheme="majorBidi" w:hAnsiTheme="majorBidi" w:cstheme="majorBidi"/>
                      <w:b/>
                      <w:color w:val="FFFFFF"/>
                      <w:sz w:val="19"/>
                      <w:szCs w:val="19"/>
                    </w:rPr>
                    <w:t>Unaudited</w:t>
                  </w:r>
                </w:p>
              </w:tc>
              <w:tc>
                <w:tcPr>
                  <w:tcW w:w="1125" w:type="dxa"/>
                  <w:tcBorders>
                    <w:top w:val="nil"/>
                    <w:left w:val="nil"/>
                    <w:bottom w:val="nil"/>
                    <w:right w:val="nil"/>
                    <w:tl2br w:val="nil"/>
                    <w:tr2bl w:val="nil"/>
                  </w:tcBorders>
                  <w:shd w:val="clear" w:color="FFFFFF" w:fill="000031"/>
                  <w:noWrap/>
                  <w:tcMar>
                    <w:left w:w="40" w:type="dxa"/>
                    <w:right w:w="40" w:type="dxa"/>
                  </w:tcMar>
                  <w:vAlign w:val="bottom"/>
                </w:tcPr>
                <w:p w14:paraId="23449402"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FFFFFF"/>
                      <w:sz w:val="19"/>
                      <w:szCs w:val="19"/>
                    </w:rPr>
                  </w:pPr>
                  <w:r w:rsidRPr="0085581F">
                    <w:rPr>
                      <w:rFonts w:asciiTheme="majorBidi" w:hAnsiTheme="majorBidi" w:cstheme="majorBidi"/>
                      <w:b/>
                      <w:color w:val="FFFFFF"/>
                      <w:sz w:val="19"/>
                      <w:szCs w:val="19"/>
                    </w:rPr>
                    <w:t>Audited</w:t>
                  </w:r>
                </w:p>
              </w:tc>
            </w:tr>
            <w:tr w:rsidR="0085581F" w:rsidRPr="0085581F" w14:paraId="60C97C4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00E5555"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3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0EC6FA0"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36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9832D7B"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5625" w:type="dxa"/>
                  <w:gridSpan w:val="5"/>
                  <w:tcBorders>
                    <w:top w:val="nil"/>
                    <w:left w:val="nil"/>
                    <w:bottom w:val="single" w:sz="4" w:space="0" w:color="000000"/>
                    <w:right w:val="nil"/>
                    <w:tl2br w:val="nil"/>
                    <w:tr2bl w:val="nil"/>
                  </w:tcBorders>
                  <w:shd w:val="clear" w:color="auto" w:fill="auto"/>
                  <w:tcMar>
                    <w:left w:w="40" w:type="dxa"/>
                    <w:right w:w="40" w:type="dxa"/>
                  </w:tcMar>
                  <w:vAlign w:val="bottom"/>
                </w:tcPr>
                <w:p w14:paraId="6874B826" w14:textId="77777777" w:rsidR="0085581F" w:rsidRPr="0085581F" w:rsidRDefault="0085581F" w:rsidP="0085581F">
                  <w:pPr>
                    <w:spacing w:before="0" w:after="0" w:line="240" w:lineRule="auto"/>
                    <w:jc w:val="center"/>
                    <w:rPr>
                      <w:rFonts w:asciiTheme="majorBidi" w:eastAsia="Ploni ML Medium AAA Medium" w:hAnsiTheme="majorBidi" w:cstheme="majorBidi"/>
                      <w:b/>
                      <w:color w:val="000000"/>
                      <w:sz w:val="19"/>
                      <w:szCs w:val="19"/>
                    </w:rPr>
                  </w:pPr>
                  <w:r w:rsidRPr="0085581F">
                    <w:rPr>
                      <w:rFonts w:asciiTheme="majorBidi" w:hAnsiTheme="majorBidi" w:cstheme="majorBidi"/>
                      <w:b/>
                      <w:color w:val="000000"/>
                      <w:sz w:val="19"/>
                      <w:szCs w:val="19"/>
                    </w:rPr>
                    <w:t>NIS million</w:t>
                  </w:r>
                </w:p>
              </w:tc>
            </w:tr>
            <w:tr w:rsidR="0085581F" w:rsidRPr="0085581F" w14:paraId="26DD608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335" w:type="dxa"/>
                  <w:gridSpan w:val="3"/>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CB23811"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Net profit (loss)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C1DB07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504</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A07288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(300)</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FAAD3C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418</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078C5CF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98</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ED7C64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(1,320)</w:t>
                  </w:r>
                </w:p>
              </w:tc>
            </w:tr>
            <w:tr w:rsidR="0085581F" w:rsidRPr="0085581F" w14:paraId="304DE13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CC649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3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3B0CD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36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6902E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0A12D7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25AD88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231446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71AF44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01AD44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67D84D0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335" w:type="dxa"/>
                  <w:gridSpan w:val="3"/>
                  <w:tcBorders>
                    <w:top w:val="nil"/>
                    <w:left w:val="nil"/>
                    <w:bottom w:val="nil"/>
                    <w:right w:val="nil"/>
                    <w:tl2br w:val="nil"/>
                    <w:tr2bl w:val="nil"/>
                  </w:tcBorders>
                  <w:shd w:val="clear" w:color="auto" w:fill="auto"/>
                  <w:tcMar>
                    <w:left w:w="40" w:type="dxa"/>
                    <w:right w:w="40" w:type="dxa"/>
                  </w:tcMar>
                  <w:vAlign w:val="bottom"/>
                </w:tcPr>
                <w:p w14:paraId="36C5AA69"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Other comprehensive income (loss) (net of tax effect):</w:t>
                  </w: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5827572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784791A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6CAB20E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7C1B617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4176063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74C1120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0" w:type="dxa"/>
                  <w:tcBorders>
                    <w:top w:val="nil"/>
                    <w:left w:val="nil"/>
                    <w:bottom w:val="nil"/>
                    <w:right w:val="nil"/>
                    <w:tl2br w:val="nil"/>
                    <w:tr2bl w:val="nil"/>
                  </w:tcBorders>
                  <w:shd w:val="clear" w:color="auto" w:fill="auto"/>
                  <w:noWrap/>
                  <w:tcMar>
                    <w:left w:w="0" w:type="dxa"/>
                    <w:right w:w="0" w:type="dxa"/>
                  </w:tcMar>
                  <w:vAlign w:val="bottom"/>
                </w:tcPr>
                <w:p w14:paraId="7011085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330" w:type="dxa"/>
                  <w:tcBorders>
                    <w:top w:val="nil"/>
                    <w:left w:val="nil"/>
                    <w:bottom w:val="nil"/>
                    <w:right w:val="nil"/>
                    <w:tl2br w:val="nil"/>
                    <w:tr2bl w:val="nil"/>
                  </w:tcBorders>
                  <w:shd w:val="clear" w:color="auto" w:fill="auto"/>
                  <w:noWrap/>
                  <w:tcMar>
                    <w:left w:w="0" w:type="dxa"/>
                    <w:right w:w="0" w:type="dxa"/>
                  </w:tcMar>
                  <w:vAlign w:val="bottom"/>
                </w:tcPr>
                <w:p w14:paraId="587923C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3675" w:type="dxa"/>
                  <w:tcBorders>
                    <w:top w:val="nil"/>
                    <w:left w:val="nil"/>
                    <w:bottom w:val="nil"/>
                    <w:right w:val="nil"/>
                    <w:tl2br w:val="nil"/>
                    <w:tr2bl w:val="nil"/>
                  </w:tcBorders>
                  <w:shd w:val="clear" w:color="auto" w:fill="auto"/>
                  <w:noWrap/>
                  <w:tcMar>
                    <w:left w:w="0" w:type="dxa"/>
                    <w:right w:w="0" w:type="dxa"/>
                  </w:tcMar>
                  <w:vAlign w:val="bottom"/>
                </w:tcPr>
                <w:p w14:paraId="3A5D879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31279BF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579688E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450FC92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09A4F44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183CEF9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54312D3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335" w:type="dxa"/>
                  <w:gridSpan w:val="3"/>
                  <w:tcBorders>
                    <w:top w:val="nil"/>
                    <w:left w:val="nil"/>
                    <w:bottom w:val="nil"/>
                    <w:right w:val="nil"/>
                    <w:tl2br w:val="nil"/>
                    <w:tr2bl w:val="nil"/>
                  </w:tcBorders>
                  <w:shd w:val="clear" w:color="auto" w:fill="auto"/>
                  <w:noWrap/>
                  <w:tcMar>
                    <w:left w:w="40" w:type="dxa"/>
                    <w:right w:w="40" w:type="dxa"/>
                  </w:tcMar>
                  <w:vAlign w:val="bottom"/>
                </w:tcPr>
                <w:p w14:paraId="2DDCA481"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u w:val="single"/>
                    </w:rPr>
                  </w:pPr>
                  <w:r w:rsidRPr="0085581F">
                    <w:rPr>
                      <w:rFonts w:asciiTheme="majorBidi" w:hAnsiTheme="majorBidi" w:cstheme="majorBidi"/>
                      <w:color w:val="000000"/>
                      <w:sz w:val="21"/>
                      <w:u w:val="single"/>
                    </w:rPr>
                    <w:t>Amounts not subsequently reclassified to profit or loss</w:t>
                  </w: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049FB15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7D62631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427F599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2A9BFA2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3CD861E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1E8BD04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4335" w:type="dxa"/>
                  <w:gridSpan w:val="3"/>
                  <w:tcBorders>
                    <w:top w:val="nil"/>
                    <w:left w:val="nil"/>
                    <w:bottom w:val="nil"/>
                    <w:right w:val="nil"/>
                    <w:tl2br w:val="nil"/>
                    <w:tr2bl w:val="nil"/>
                  </w:tcBorders>
                  <w:shd w:val="clear" w:color="auto" w:fill="auto"/>
                  <w:tcMar>
                    <w:left w:w="40" w:type="dxa"/>
                    <w:right w:w="40" w:type="dxa"/>
                  </w:tcMar>
                  <w:vAlign w:val="bottom"/>
                </w:tcPr>
                <w:p w14:paraId="7DA17830"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Loss with regard to financial assets at fair value </w:t>
                  </w:r>
                </w:p>
                <w:p w14:paraId="368CD362"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through other comprehensive income</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5396198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405D984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(33)</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61A8700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15DF97C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(33)</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3DCDE30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(51)</w:t>
                  </w:r>
                </w:p>
              </w:tc>
            </w:tr>
            <w:tr w:rsidR="0085581F" w:rsidRPr="0085581F" w14:paraId="67B412A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0" w:type="dxa"/>
                  <w:tcBorders>
                    <w:top w:val="nil"/>
                    <w:left w:val="nil"/>
                    <w:bottom w:val="nil"/>
                    <w:right w:val="nil"/>
                    <w:tl2br w:val="nil"/>
                    <w:tr2bl w:val="nil"/>
                  </w:tcBorders>
                  <w:shd w:val="clear" w:color="auto" w:fill="auto"/>
                  <w:noWrap/>
                  <w:tcMar>
                    <w:left w:w="0" w:type="dxa"/>
                    <w:right w:w="0" w:type="dxa"/>
                  </w:tcMar>
                  <w:vAlign w:val="bottom"/>
                </w:tcPr>
                <w:p w14:paraId="74C0E40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330" w:type="dxa"/>
                  <w:tcBorders>
                    <w:top w:val="nil"/>
                    <w:left w:val="nil"/>
                    <w:bottom w:val="nil"/>
                    <w:right w:val="nil"/>
                    <w:tl2br w:val="nil"/>
                    <w:tr2bl w:val="nil"/>
                  </w:tcBorders>
                  <w:shd w:val="clear" w:color="auto" w:fill="auto"/>
                  <w:noWrap/>
                  <w:tcMar>
                    <w:left w:w="0" w:type="dxa"/>
                    <w:right w:w="0" w:type="dxa"/>
                  </w:tcMar>
                  <w:vAlign w:val="bottom"/>
                </w:tcPr>
                <w:p w14:paraId="26F8533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3675" w:type="dxa"/>
                  <w:tcBorders>
                    <w:top w:val="nil"/>
                    <w:left w:val="nil"/>
                    <w:bottom w:val="nil"/>
                    <w:right w:val="nil"/>
                    <w:tl2br w:val="nil"/>
                    <w:tr2bl w:val="nil"/>
                  </w:tcBorders>
                  <w:shd w:val="clear" w:color="auto" w:fill="auto"/>
                  <w:noWrap/>
                  <w:tcMar>
                    <w:left w:w="0" w:type="dxa"/>
                    <w:right w:w="0" w:type="dxa"/>
                  </w:tcMar>
                  <w:vAlign w:val="bottom"/>
                </w:tcPr>
                <w:p w14:paraId="1F9CE58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611D6A1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407CDC1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1114140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4A50464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04A5CCF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299BED8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335" w:type="dxa"/>
                  <w:gridSpan w:val="3"/>
                  <w:tcBorders>
                    <w:top w:val="nil"/>
                    <w:left w:val="nil"/>
                    <w:bottom w:val="nil"/>
                    <w:right w:val="nil"/>
                    <w:tl2br w:val="nil"/>
                    <w:tr2bl w:val="nil"/>
                  </w:tcBorders>
                  <w:shd w:val="clear" w:color="auto" w:fill="auto"/>
                  <w:noWrap/>
                  <w:tcMar>
                    <w:left w:w="40" w:type="dxa"/>
                    <w:right w:w="40" w:type="dxa"/>
                  </w:tcMar>
                  <w:vAlign w:val="bottom"/>
                </w:tcPr>
                <w:p w14:paraId="023BF64C"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u w:val="single"/>
                    </w:rPr>
                  </w:pPr>
                  <w:r w:rsidRPr="0085581F">
                    <w:rPr>
                      <w:rFonts w:asciiTheme="majorBidi" w:hAnsiTheme="majorBidi" w:cstheme="majorBidi"/>
                      <w:color w:val="000000"/>
                      <w:sz w:val="21"/>
                      <w:u w:val="single"/>
                    </w:rPr>
                    <w:t>Amounts classified or reclassified to profit or loss</w:t>
                  </w: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5164777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16489A8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7A5D0CA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5EBB33D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4EBFA7F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3DDF22B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335" w:type="dxa"/>
                  <w:gridSpan w:val="3"/>
                  <w:tcBorders>
                    <w:top w:val="nil"/>
                    <w:left w:val="nil"/>
                    <w:bottom w:val="nil"/>
                    <w:right w:val="nil"/>
                    <w:tl2br w:val="nil"/>
                    <w:tr2bl w:val="nil"/>
                  </w:tcBorders>
                  <w:shd w:val="clear" w:color="auto" w:fill="auto"/>
                  <w:tcMar>
                    <w:left w:w="40" w:type="dxa"/>
                    <w:right w:w="40" w:type="dxa"/>
                  </w:tcMar>
                  <w:vAlign w:val="bottom"/>
                </w:tcPr>
                <w:p w14:paraId="5DF30C82"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Adjustments for conversion of financial statements of foreign operations </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5033BC3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(149)</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6BC8F79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992</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17CEC1E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92</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71F2A74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415</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0508CE4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1,048</w:t>
                  </w:r>
                </w:p>
              </w:tc>
            </w:tr>
            <w:tr w:rsidR="0085581F" w:rsidRPr="0085581F" w14:paraId="393B0F2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335" w:type="dxa"/>
                  <w:gridSpan w:val="3"/>
                  <w:tcBorders>
                    <w:top w:val="nil"/>
                    <w:left w:val="nil"/>
                    <w:bottom w:val="single" w:sz="4" w:space="0" w:color="000000"/>
                    <w:right w:val="nil"/>
                    <w:tl2br w:val="nil"/>
                    <w:tr2bl w:val="nil"/>
                  </w:tcBorders>
                  <w:shd w:val="clear" w:color="auto" w:fill="auto"/>
                  <w:tcMar>
                    <w:left w:w="40" w:type="dxa"/>
                    <w:right w:w="40" w:type="dxa"/>
                  </w:tcMar>
                </w:tcPr>
                <w:p w14:paraId="34445A11"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Profit (loss) for cash flow hedges </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D401AD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34</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F535E3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7</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C5213D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3D0BB6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17</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9B17DF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(81)</w:t>
                  </w:r>
                </w:p>
              </w:tc>
            </w:tr>
            <w:tr w:rsidR="0085581F" w:rsidRPr="0085581F" w14:paraId="0EFD02A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335"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14:paraId="29C1268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u w:val="single"/>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1EF0CC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ACB5B4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678C8C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2BB06A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BFB33C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70B8B5C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33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1B5A7E9B"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Total other comprehensive income (loss)</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9B7C8E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(115)</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AA3933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966</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053BFD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97</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7F41FB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399</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B7132D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916</w:t>
                  </w:r>
                </w:p>
              </w:tc>
            </w:tr>
            <w:tr w:rsidR="0085581F" w:rsidRPr="0085581F" w14:paraId="2A7569A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22726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3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8ABA0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36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102AD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9492537"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625B36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F5F689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A3BD58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47B54E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050DA08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335" w:type="dxa"/>
                  <w:gridSpan w:val="3"/>
                  <w:tcBorders>
                    <w:top w:val="nil"/>
                    <w:left w:val="nil"/>
                    <w:bottom w:val="double" w:sz="6" w:space="0" w:color="000000"/>
                    <w:right w:val="nil"/>
                    <w:tl2br w:val="nil"/>
                    <w:tr2bl w:val="nil"/>
                  </w:tcBorders>
                  <w:shd w:val="clear" w:color="auto" w:fill="auto"/>
                  <w:noWrap/>
                  <w:tcMar>
                    <w:left w:w="40" w:type="dxa"/>
                    <w:right w:w="40" w:type="dxa"/>
                  </w:tcMar>
                  <w:vAlign w:val="bottom"/>
                </w:tcPr>
                <w:p w14:paraId="7563F56D" w14:textId="77777777" w:rsidR="0085581F" w:rsidRPr="0085581F" w:rsidRDefault="0085581F" w:rsidP="0085581F">
                  <w:pPr>
                    <w:spacing w:before="0" w:after="0" w:line="240" w:lineRule="auto"/>
                    <w:rPr>
                      <w:rFonts w:asciiTheme="majorBidi" w:eastAsia="Ploni ML Medium AAA Medium" w:hAnsiTheme="majorBidi" w:cstheme="majorBidi"/>
                      <w:color w:val="000000"/>
                      <w:sz w:val="21"/>
                    </w:rPr>
                  </w:pPr>
                  <w:r w:rsidRPr="0085581F">
                    <w:rPr>
                      <w:rFonts w:asciiTheme="majorBidi" w:hAnsiTheme="majorBidi" w:cstheme="majorBidi"/>
                      <w:color w:val="000000"/>
                      <w:sz w:val="21"/>
                    </w:rPr>
                    <w:t>Total comprehensive income (loss)</w:t>
                  </w:r>
                </w:p>
              </w:tc>
              <w:tc>
                <w:tcPr>
                  <w:tcW w:w="1125"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6CB3FC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389</w:t>
                  </w:r>
                </w:p>
              </w:tc>
              <w:tc>
                <w:tcPr>
                  <w:tcW w:w="1125"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E5B4FD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666</w:t>
                  </w:r>
                </w:p>
              </w:tc>
              <w:tc>
                <w:tcPr>
                  <w:tcW w:w="1125"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013106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515</w:t>
                  </w:r>
                </w:p>
              </w:tc>
              <w:tc>
                <w:tcPr>
                  <w:tcW w:w="1125"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668E75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497</w:t>
                  </w:r>
                </w:p>
              </w:tc>
              <w:tc>
                <w:tcPr>
                  <w:tcW w:w="1125"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18060C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(404)</w:t>
                  </w:r>
                </w:p>
              </w:tc>
            </w:tr>
            <w:tr w:rsidR="0085581F" w:rsidRPr="0085581F" w14:paraId="7683F2B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6D3A2D8"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3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01B2FD5"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367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E06BF7E"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1125"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3ED18B2"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9D928ED"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B03D1C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C93BCA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AB901BA"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5AD7696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335" w:type="dxa"/>
                  <w:gridSpan w:val="3"/>
                  <w:tcBorders>
                    <w:top w:val="nil"/>
                    <w:left w:val="nil"/>
                    <w:bottom w:val="nil"/>
                    <w:right w:val="nil"/>
                    <w:tl2br w:val="nil"/>
                    <w:tr2bl w:val="nil"/>
                  </w:tcBorders>
                  <w:shd w:val="clear" w:color="auto" w:fill="auto"/>
                  <w:noWrap/>
                  <w:tcMar>
                    <w:left w:w="40" w:type="dxa"/>
                    <w:right w:w="40" w:type="dxa"/>
                  </w:tcMar>
                  <w:vAlign w:val="bottom"/>
                </w:tcPr>
                <w:p w14:paraId="3F044960"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Attributable to:</w:t>
                  </w: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227FC68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1AEF52E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6A4B398F"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62EC092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135" w:type="dxa"/>
                  </w:tcMar>
                  <w:vAlign w:val="bottom"/>
                </w:tcPr>
                <w:p w14:paraId="1427EDB8"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p>
              </w:tc>
            </w:tr>
            <w:tr w:rsidR="0085581F" w:rsidRPr="0085581F" w14:paraId="24497DC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335" w:type="dxa"/>
                  <w:gridSpan w:val="3"/>
                  <w:tcBorders>
                    <w:top w:val="nil"/>
                    <w:left w:val="nil"/>
                    <w:bottom w:val="nil"/>
                    <w:right w:val="nil"/>
                    <w:tl2br w:val="nil"/>
                    <w:tr2bl w:val="nil"/>
                  </w:tcBorders>
                  <w:shd w:val="clear" w:color="auto" w:fill="auto"/>
                  <w:noWrap/>
                  <w:tcMar>
                    <w:left w:w="40" w:type="dxa"/>
                    <w:right w:w="40" w:type="dxa"/>
                  </w:tcMar>
                  <w:vAlign w:val="bottom"/>
                </w:tcPr>
                <w:p w14:paraId="14F4AD01"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Shareholders of the Company (1)</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099DC58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167</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04AE7394"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178</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3394B175"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333</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6A68B44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311</w:t>
                  </w:r>
                </w:p>
              </w:tc>
              <w:tc>
                <w:tcPr>
                  <w:tcW w:w="1125" w:type="dxa"/>
                  <w:tcBorders>
                    <w:top w:val="nil"/>
                    <w:left w:val="nil"/>
                    <w:bottom w:val="nil"/>
                    <w:right w:val="nil"/>
                    <w:tl2br w:val="nil"/>
                    <w:tr2bl w:val="nil"/>
                  </w:tcBorders>
                  <w:shd w:val="clear" w:color="auto" w:fill="auto"/>
                  <w:noWrap/>
                  <w:tcMar>
                    <w:left w:w="40" w:type="dxa"/>
                    <w:right w:w="175" w:type="dxa"/>
                  </w:tcMar>
                  <w:vAlign w:val="bottom"/>
                </w:tcPr>
                <w:p w14:paraId="4DD94C1B"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(665)</w:t>
                  </w:r>
                </w:p>
              </w:tc>
            </w:tr>
            <w:tr w:rsidR="0085581F" w:rsidRPr="0085581F" w14:paraId="1B1153E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33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326A15B4"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Non-controlling interests</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ACF63E6"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222</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138294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488</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2953209"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182</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0AD4CA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186</w:t>
                  </w:r>
                </w:p>
              </w:tc>
              <w:tc>
                <w:tcPr>
                  <w:tcW w:w="112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361694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261</w:t>
                  </w:r>
                </w:p>
              </w:tc>
            </w:tr>
            <w:tr w:rsidR="0085581F" w:rsidRPr="0085581F" w14:paraId="4438BCE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2CD0C0B"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33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F53BD88"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367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1A9AB6BB" w14:textId="77777777" w:rsidR="0085581F" w:rsidRPr="0085581F" w:rsidRDefault="0085581F" w:rsidP="0085581F">
                  <w:pPr>
                    <w:spacing w:before="0" w:after="0" w:line="240" w:lineRule="auto"/>
                    <w:jc w:val="left"/>
                    <w:rPr>
                      <w:rFonts w:asciiTheme="majorBidi" w:eastAsia="Ploni ML Medium AAA Medium" w:hAnsiTheme="majorBidi" w:cstheme="majorBidi"/>
                      <w:color w:val="000000"/>
                      <w:sz w:val="21"/>
                    </w:rPr>
                  </w:pPr>
                </w:p>
              </w:tc>
              <w:tc>
                <w:tcPr>
                  <w:tcW w:w="112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C60EC21"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389</w:t>
                  </w:r>
                </w:p>
              </w:tc>
              <w:tc>
                <w:tcPr>
                  <w:tcW w:w="112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D4F750E"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666</w:t>
                  </w:r>
                </w:p>
              </w:tc>
              <w:tc>
                <w:tcPr>
                  <w:tcW w:w="112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1C4A9220"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515</w:t>
                  </w:r>
                </w:p>
              </w:tc>
              <w:tc>
                <w:tcPr>
                  <w:tcW w:w="112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73D488CC"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497</w:t>
                  </w:r>
                </w:p>
              </w:tc>
              <w:tc>
                <w:tcPr>
                  <w:tcW w:w="112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B90FCA3" w14:textId="77777777" w:rsidR="0085581F" w:rsidRPr="0085581F" w:rsidRDefault="0085581F" w:rsidP="0085581F">
                  <w:pPr>
                    <w:spacing w:before="0" w:after="0" w:line="240" w:lineRule="auto"/>
                    <w:jc w:val="right"/>
                    <w:rPr>
                      <w:rFonts w:asciiTheme="majorBidi" w:eastAsia="Ploni ML Medium AAA Medium" w:hAnsiTheme="majorBidi" w:cstheme="majorBidi"/>
                      <w:color w:val="000000"/>
                      <w:sz w:val="21"/>
                    </w:rPr>
                  </w:pPr>
                  <w:r w:rsidRPr="0085581F">
                    <w:rPr>
                      <w:rFonts w:asciiTheme="majorBidi" w:hAnsiTheme="majorBidi" w:cstheme="majorBidi"/>
                      <w:color w:val="000000"/>
                      <w:sz w:val="21"/>
                    </w:rPr>
                    <w:t>(404)</w:t>
                  </w:r>
                </w:p>
              </w:tc>
            </w:tr>
          </w:tbl>
          <w:p w14:paraId="4FB2B80A" w14:textId="77777777" w:rsidR="0085581F" w:rsidRPr="0085581F" w:rsidRDefault="0085581F" w:rsidP="0085581F">
            <w:pPr>
              <w:rPr>
                <w:rFonts w:asciiTheme="majorBidi" w:hAnsiTheme="majorBidi" w:cstheme="majorBidi"/>
              </w:rPr>
            </w:pPr>
          </w:p>
        </w:tc>
      </w:tr>
      <w:bookmarkEnd w:id="68"/>
    </w:tbl>
    <w:p w14:paraId="5C798EDA" w14:textId="77777777" w:rsidR="0085581F" w:rsidRPr="0085581F" w:rsidRDefault="0085581F" w:rsidP="0085581F">
      <w:pPr>
        <w:tabs>
          <w:tab w:val="left" w:pos="1132"/>
        </w:tabs>
        <w:outlineLvl w:val="4"/>
        <w:rPr>
          <w:rFonts w:asciiTheme="majorBidi" w:hAnsiTheme="majorBidi" w:cstheme="majorBidi"/>
          <w:sz w:val="21"/>
          <w:szCs w:val="21"/>
          <w:rtl/>
        </w:rPr>
      </w:pPr>
    </w:p>
    <w:p w14:paraId="3E6A39E8" w14:textId="77777777" w:rsidR="0085581F" w:rsidRPr="0085581F" w:rsidRDefault="0085581F" w:rsidP="004D7A72">
      <w:pPr>
        <w:keepNext/>
        <w:numPr>
          <w:ilvl w:val="0"/>
          <w:numId w:val="38"/>
        </w:numPr>
        <w:tabs>
          <w:tab w:val="left" w:pos="425"/>
          <w:tab w:val="left" w:pos="1132"/>
        </w:tabs>
        <w:ind w:left="0" w:firstLine="0"/>
        <w:contextualSpacing/>
        <w:outlineLvl w:val="4"/>
        <w:rPr>
          <w:rFonts w:asciiTheme="majorBidi" w:hAnsiTheme="majorBidi" w:cstheme="majorBidi"/>
          <w:sz w:val="21"/>
        </w:rPr>
      </w:pPr>
      <w:bookmarkStart w:id="69" w:name="H5_ג__ניתוח_תוצאות_הפעולות_לרבעון_הDQtrN"/>
      <w:r w:rsidRPr="0085581F">
        <w:rPr>
          <w:rFonts w:asciiTheme="majorBidi" w:hAnsiTheme="majorBidi" w:cstheme="majorBidi"/>
          <w:sz w:val="21"/>
        </w:rPr>
        <w:t xml:space="preserve">Analysis of operating results for Q2, 2024    </w:t>
      </w:r>
    </w:p>
    <w:p w14:paraId="0C3C44AA"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bookmarkStart w:id="70" w:name="H6_הכנסות_מהשכרת_מבנים_ואחרות__"/>
      <w:bookmarkEnd w:id="69"/>
      <w:r w:rsidRPr="0085581F">
        <w:rPr>
          <w:rFonts w:asciiTheme="majorBidi" w:hAnsiTheme="majorBidi" w:cstheme="majorBidi"/>
          <w:sz w:val="21"/>
          <w:u w:val="single"/>
        </w:rPr>
        <w:t xml:space="preserve">Rental and other income  </w:t>
      </w:r>
    </w:p>
    <w:bookmarkEnd w:id="70"/>
    <w:p w14:paraId="7F22D6E4" w14:textId="157FEC65"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 xml:space="preserve">Rental income increased by 8.0% to NIS </w:t>
      </w:r>
      <w:r w:rsidR="00C64C16">
        <w:rPr>
          <w:rFonts w:asciiTheme="majorBidi" w:hAnsiTheme="majorBidi" w:cstheme="majorBidi"/>
          <w:sz w:val="21"/>
        </w:rPr>
        <w:t>632</w:t>
      </w:r>
      <w:r w:rsidRPr="0085581F">
        <w:rPr>
          <w:rFonts w:asciiTheme="majorBidi" w:hAnsiTheme="majorBidi" w:cstheme="majorBidi"/>
          <w:sz w:val="21"/>
        </w:rPr>
        <w:t xml:space="preserve"> million in the quarter compared with NIS 585 million in the corresponding quarter last year.</w:t>
      </w:r>
    </w:p>
    <w:p w14:paraId="769ADE50" w14:textId="77777777"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 xml:space="preserve">The increase is mainly due to an increase in revenue from similar properties. This increase was offset by the sale of properties in the last 12 months. </w:t>
      </w:r>
    </w:p>
    <w:p w14:paraId="2E4F9C13" w14:textId="77777777" w:rsidR="0085581F" w:rsidRPr="0085581F" w:rsidRDefault="0085581F" w:rsidP="0085581F">
      <w:pPr>
        <w:keepLines/>
        <w:tabs>
          <w:tab w:val="left" w:pos="425"/>
          <w:tab w:val="left" w:pos="1132"/>
        </w:tabs>
        <w:contextualSpacing/>
        <w:rPr>
          <w:rFonts w:asciiTheme="majorBidi" w:hAnsiTheme="majorBidi" w:cstheme="majorBidi"/>
          <w:sz w:val="21"/>
          <w:rtl/>
        </w:rPr>
      </w:pPr>
    </w:p>
    <w:p w14:paraId="3F2345DE"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bookmarkStart w:id="71" w:name="H6_הוצאות_הפעלת_נכסים_להשכרה_ואחרות_____"/>
      <w:r w:rsidRPr="0085581F">
        <w:rPr>
          <w:rFonts w:asciiTheme="majorBidi" w:hAnsiTheme="majorBidi" w:cstheme="majorBidi"/>
          <w:sz w:val="21"/>
          <w:u w:val="single"/>
        </w:rPr>
        <w:t xml:space="preserve">Property operating and other expenses     </w:t>
      </w:r>
    </w:p>
    <w:bookmarkEnd w:id="71"/>
    <w:p w14:paraId="473C1BA2" w14:textId="77777777" w:rsidR="0085581F" w:rsidRPr="0085581F" w:rsidRDefault="0085581F" w:rsidP="0085581F">
      <w:pPr>
        <w:keepLines/>
        <w:tabs>
          <w:tab w:val="left" w:pos="425"/>
          <w:tab w:val="left" w:pos="1132"/>
        </w:tabs>
        <w:contextualSpacing/>
        <w:outlineLvl w:val="5"/>
        <w:rPr>
          <w:rFonts w:asciiTheme="majorBidi" w:hAnsiTheme="majorBidi" w:cstheme="majorBidi"/>
          <w:sz w:val="21"/>
        </w:rPr>
      </w:pPr>
      <w:r w:rsidRPr="0085581F">
        <w:rPr>
          <w:rFonts w:asciiTheme="majorBidi" w:hAnsiTheme="majorBidi" w:cstheme="majorBidi"/>
          <w:sz w:val="21"/>
        </w:rPr>
        <w:t xml:space="preserve">Rental property management and other expenses amounted to NIS 194 million in the quarter, representing 30.7% of total rental and other income, compared with NIS 167 million, representing 28.5% of total rental income in the corresponding quarter last year. </w:t>
      </w:r>
    </w:p>
    <w:p w14:paraId="67FCE25A" w14:textId="77777777" w:rsidR="0085581F" w:rsidRPr="0085581F" w:rsidRDefault="0085581F" w:rsidP="0085581F">
      <w:pPr>
        <w:keepLines/>
        <w:tabs>
          <w:tab w:val="left" w:pos="425"/>
          <w:tab w:val="left" w:pos="1132"/>
        </w:tabs>
        <w:contextualSpacing/>
        <w:rPr>
          <w:rFonts w:asciiTheme="majorBidi" w:hAnsiTheme="majorBidi" w:cstheme="majorBidi"/>
          <w:sz w:val="21"/>
        </w:rPr>
      </w:pPr>
    </w:p>
    <w:p w14:paraId="6B8481FE"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bookmarkStart w:id="72" w:name="H6_הכנסה_תפעולית_נטו_NOI______"/>
      <w:r w:rsidRPr="0085581F">
        <w:rPr>
          <w:rFonts w:asciiTheme="majorBidi" w:hAnsiTheme="majorBidi" w:cstheme="majorBidi"/>
          <w:sz w:val="21"/>
          <w:u w:val="single"/>
        </w:rPr>
        <w:t xml:space="preserve">Net operating income (NOI)      </w:t>
      </w:r>
    </w:p>
    <w:bookmarkEnd w:id="72"/>
    <w:p w14:paraId="557BCB4F" w14:textId="77777777"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NOI from rental property in the quarter increased by 4.8 % to NIS 438 million (69.3% of total rental revenue), compared with NIS 418 million (71.5% of rental revenue) in the corresponding quarter last year.</w:t>
      </w:r>
    </w:p>
    <w:p w14:paraId="09336E0B" w14:textId="77777777"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The increase in NOI is due to the reasons described above for rental income and others, where in the corresponding quarter last year included NOI from sold properties in an amount of NIS 27 million.</w:t>
      </w:r>
    </w:p>
    <w:p w14:paraId="15115565" w14:textId="77777777" w:rsidR="0085581F" w:rsidRPr="0085581F" w:rsidRDefault="0085581F" w:rsidP="0085581F">
      <w:pPr>
        <w:keepLines/>
        <w:tabs>
          <w:tab w:val="left" w:pos="425"/>
          <w:tab w:val="left" w:pos="1132"/>
        </w:tabs>
        <w:contextualSpacing/>
        <w:rPr>
          <w:rFonts w:asciiTheme="majorBidi" w:hAnsiTheme="majorBidi" w:cstheme="majorBidi"/>
          <w:sz w:val="21"/>
          <w:szCs w:val="21"/>
        </w:rPr>
      </w:pPr>
    </w:p>
    <w:p w14:paraId="5505BC69"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bookmarkStart w:id="73" w:name="H6_עליית_ירידת_ערך_נדלן_להשקעה_ונדלן_להש"/>
      <w:r w:rsidRPr="0085581F">
        <w:rPr>
          <w:rFonts w:asciiTheme="majorBidi" w:hAnsiTheme="majorBidi" w:cstheme="majorBidi"/>
          <w:sz w:val="21"/>
          <w:u w:val="single"/>
        </w:rPr>
        <w:lastRenderedPageBreak/>
        <w:t xml:space="preserve">Fair value gain (loss) from investment property and investment property under development, net    </w:t>
      </w:r>
    </w:p>
    <w:bookmarkEnd w:id="73"/>
    <w:p w14:paraId="5819F53D" w14:textId="77777777"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 xml:space="preserve">The Group applies the fair value model, as prescribed in IAS 40 (Revised), Investment Property. As a result of application of this Standard, in the quarter the Company and its subsidiaries recognized in the quarter and increase in net fair value of its properties in an amount of NIS 344 million, that is mainly due to further operational and cash flow improvement in the Company's properties, compared with the increase in value of NIS 138 million in the corresponding quarter last year. </w:t>
      </w:r>
    </w:p>
    <w:p w14:paraId="76E210FB" w14:textId="77777777" w:rsidR="0085581F" w:rsidRPr="0085581F" w:rsidRDefault="0085581F" w:rsidP="0085581F">
      <w:pPr>
        <w:keepLines/>
        <w:tabs>
          <w:tab w:val="left" w:pos="425"/>
          <w:tab w:val="left" w:pos="1132"/>
        </w:tabs>
        <w:contextualSpacing/>
        <w:rPr>
          <w:rFonts w:asciiTheme="majorBidi" w:eastAsia="Calibri" w:hAnsiTheme="majorBidi" w:cstheme="majorBidi"/>
          <w:sz w:val="21"/>
          <w:szCs w:val="21"/>
          <w:bdr w:val="none" w:sz="0" w:space="0" w:color="auto" w:frame="1"/>
          <w:rtl/>
        </w:rPr>
      </w:pPr>
    </w:p>
    <w:p w14:paraId="59B255A2"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bookmarkStart w:id="74" w:name="H6_הוצאות_הנהלה_וכלליות"/>
      <w:r w:rsidRPr="0085581F">
        <w:rPr>
          <w:rFonts w:asciiTheme="majorBidi" w:hAnsiTheme="majorBidi" w:cstheme="majorBidi"/>
          <w:sz w:val="21"/>
          <w:u w:val="single"/>
        </w:rPr>
        <w:t>General and administrative expenses</w:t>
      </w:r>
    </w:p>
    <w:bookmarkEnd w:id="74"/>
    <w:p w14:paraId="298C09C9" w14:textId="77777777"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General and administrative expenses amounted to NIS 71 million (11.2% of total income) in the quarter, compared with NIS 78 million (13.3% of total income) in the corresponding quarter last year</w:t>
      </w:r>
      <w:bookmarkStart w:id="75" w:name="_Hlk119258251"/>
      <w:r w:rsidRPr="0085581F">
        <w:rPr>
          <w:rFonts w:asciiTheme="majorBidi" w:hAnsiTheme="majorBidi" w:cstheme="majorBidi"/>
          <w:sz w:val="21"/>
        </w:rPr>
        <w:t xml:space="preserve">. </w:t>
      </w:r>
    </w:p>
    <w:bookmarkEnd w:id="75"/>
    <w:p w14:paraId="7C602701" w14:textId="77777777" w:rsidR="0085581F" w:rsidRPr="0085581F" w:rsidRDefault="0085581F" w:rsidP="0085581F">
      <w:pPr>
        <w:keepLines/>
        <w:tabs>
          <w:tab w:val="left" w:pos="425"/>
          <w:tab w:val="left" w:pos="1132"/>
        </w:tabs>
        <w:contextualSpacing/>
        <w:rPr>
          <w:rFonts w:asciiTheme="majorBidi" w:hAnsiTheme="majorBidi" w:cstheme="majorBidi"/>
          <w:sz w:val="21"/>
          <w:rtl/>
        </w:rPr>
      </w:pPr>
    </w:p>
    <w:p w14:paraId="0FC53A0B"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bookmarkStart w:id="76" w:name="H6_חלק_החברה_ברווחי_חברות_המטופלות_בשיטת"/>
      <w:r w:rsidRPr="0085581F">
        <w:rPr>
          <w:rFonts w:asciiTheme="majorBidi" w:hAnsiTheme="majorBidi" w:cstheme="majorBidi"/>
          <w:sz w:val="21"/>
          <w:u w:val="single"/>
        </w:rPr>
        <w:t xml:space="preserve">Company's share in earnings (losses) of equity-accounted investees, net    </w:t>
      </w:r>
    </w:p>
    <w:bookmarkEnd w:id="76"/>
    <w:p w14:paraId="1C506209" w14:textId="77777777"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 xml:space="preserve">In the quarter, this item amounted to gains of NIS 107 million (in the corresponding quarter of last year gains were recorded of NIS 99 million) and are primarily comprised of the Group’s shares in a net profits of G Europe, Gazit Horizons, and Gazit Canada (G </w:t>
      </w:r>
      <w:proofErr w:type="spellStart"/>
      <w:r w:rsidRPr="0085581F">
        <w:rPr>
          <w:rFonts w:asciiTheme="majorBidi" w:hAnsiTheme="majorBidi" w:cstheme="majorBidi"/>
          <w:sz w:val="21"/>
        </w:rPr>
        <w:t>Tripllle</w:t>
      </w:r>
      <w:proofErr w:type="spellEnd"/>
      <w:r w:rsidRPr="0085581F">
        <w:rPr>
          <w:rFonts w:asciiTheme="majorBidi" w:hAnsiTheme="majorBidi" w:cstheme="majorBidi"/>
          <w:sz w:val="21"/>
        </w:rPr>
        <w:t>).</w:t>
      </w:r>
    </w:p>
    <w:p w14:paraId="52CDA2EC"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szCs w:val="21"/>
          <w:highlight w:val="yellow"/>
          <w:u w:val="single"/>
          <w:rtl/>
        </w:rPr>
      </w:pPr>
    </w:p>
    <w:p w14:paraId="35F025A8"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szCs w:val="21"/>
          <w:u w:val="single"/>
        </w:rPr>
      </w:pPr>
      <w:r w:rsidRPr="0085581F">
        <w:rPr>
          <w:rFonts w:asciiTheme="majorBidi" w:hAnsiTheme="majorBidi" w:cstheme="majorBidi"/>
          <w:sz w:val="21"/>
          <w:u w:val="single"/>
        </w:rPr>
        <w:t>Other expenses</w:t>
      </w:r>
    </w:p>
    <w:p w14:paraId="58E1636A" w14:textId="006341F9" w:rsidR="0085581F" w:rsidRPr="0085581F" w:rsidRDefault="0085581F" w:rsidP="0085581F">
      <w:pPr>
        <w:keepLines/>
        <w:tabs>
          <w:tab w:val="left" w:pos="425"/>
          <w:tab w:val="left" w:pos="1132"/>
        </w:tabs>
        <w:contextualSpacing/>
        <w:rPr>
          <w:rFonts w:asciiTheme="majorBidi" w:hAnsiTheme="majorBidi" w:cstheme="majorBidi"/>
          <w:sz w:val="21"/>
          <w:szCs w:val="21"/>
        </w:rPr>
      </w:pPr>
      <w:bookmarkStart w:id="77" w:name="_Hlk172195541"/>
      <w:bookmarkStart w:id="78" w:name="H6_הוצאות_מימון_"/>
      <w:r w:rsidRPr="0085581F">
        <w:rPr>
          <w:rFonts w:asciiTheme="majorBidi" w:hAnsiTheme="majorBidi" w:cstheme="majorBidi"/>
          <w:sz w:val="21"/>
        </w:rPr>
        <w:t xml:space="preserve">Other expenses in the quarter amount to a total of NIS </w:t>
      </w:r>
      <w:r w:rsidR="00C64C16">
        <w:rPr>
          <w:rFonts w:asciiTheme="majorBidi" w:hAnsiTheme="majorBidi" w:cstheme="majorBidi"/>
          <w:sz w:val="21"/>
        </w:rPr>
        <w:t>2</w:t>
      </w:r>
      <w:r w:rsidRPr="0085581F">
        <w:rPr>
          <w:rFonts w:asciiTheme="majorBidi" w:hAnsiTheme="majorBidi" w:cstheme="majorBidi"/>
          <w:sz w:val="21"/>
        </w:rPr>
        <w:t xml:space="preserve"> million compared to an amount of NIS 158 million in the corresponding quarter of last year and consists mainly of capital losses with respect to the sale of properties that were completed in the corresponding quarter last year.</w:t>
      </w:r>
      <w:bookmarkEnd w:id="77"/>
    </w:p>
    <w:p w14:paraId="59AFBAFD"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szCs w:val="21"/>
          <w:u w:val="single"/>
          <w:rtl/>
        </w:rPr>
      </w:pPr>
    </w:p>
    <w:p w14:paraId="45A561D0"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szCs w:val="21"/>
          <w:u w:val="single"/>
        </w:rPr>
      </w:pPr>
      <w:r w:rsidRPr="0085581F">
        <w:rPr>
          <w:rFonts w:asciiTheme="majorBidi" w:hAnsiTheme="majorBidi" w:cstheme="majorBidi"/>
          <w:sz w:val="21"/>
          <w:u w:val="single"/>
        </w:rPr>
        <w:t xml:space="preserve">Financing expenses </w:t>
      </w:r>
    </w:p>
    <w:bookmarkEnd w:id="78"/>
    <w:p w14:paraId="74A64399" w14:textId="77777777" w:rsidR="0085581F" w:rsidRPr="0085581F" w:rsidRDefault="0085581F" w:rsidP="0085581F">
      <w:pPr>
        <w:keepLines/>
        <w:tabs>
          <w:tab w:val="left" w:pos="425"/>
          <w:tab w:val="left" w:pos="1132"/>
        </w:tabs>
        <w:contextualSpacing/>
        <w:rPr>
          <w:rFonts w:asciiTheme="majorBidi" w:hAnsiTheme="majorBidi" w:cstheme="majorBidi"/>
          <w:sz w:val="21"/>
          <w:szCs w:val="21"/>
        </w:rPr>
      </w:pPr>
      <w:r w:rsidRPr="0085581F">
        <w:rPr>
          <w:rFonts w:asciiTheme="majorBidi" w:hAnsiTheme="majorBidi" w:cstheme="majorBidi"/>
          <w:sz w:val="21"/>
        </w:rPr>
        <w:t>Financing expenses in the quarter amounted to NIS 370 million, compared with NIS 395 million in the corresponding quarter last year. The decrease in financing expenses in the quarter compared to the corresponding quarter las year is mainly due to expenses for exchange rate differential and revaluation of securities in the amount of NIS 1 million compared to NIS 19 million in the corresponding quarter last year.</w:t>
      </w:r>
    </w:p>
    <w:p w14:paraId="297C3906" w14:textId="14D081C4" w:rsidR="0085581F" w:rsidRPr="0085581F" w:rsidRDefault="0085581F" w:rsidP="0085581F">
      <w:pPr>
        <w:keepLines/>
        <w:tabs>
          <w:tab w:val="left" w:pos="425"/>
          <w:tab w:val="left" w:pos="1132"/>
        </w:tabs>
        <w:contextualSpacing/>
        <w:rPr>
          <w:rFonts w:asciiTheme="majorBidi" w:hAnsiTheme="majorBidi" w:cstheme="majorBidi"/>
          <w:sz w:val="21"/>
          <w:szCs w:val="21"/>
        </w:rPr>
      </w:pPr>
      <w:r w:rsidRPr="0085581F">
        <w:rPr>
          <w:rFonts w:asciiTheme="majorBidi" w:hAnsiTheme="majorBidi" w:cstheme="majorBidi"/>
          <w:sz w:val="21"/>
        </w:rPr>
        <w:t>The average interest on the Company’s expanded separate interest bearing liabilities as at the cutoff dates is 4.</w:t>
      </w:r>
      <w:r w:rsidR="00C64C16">
        <w:rPr>
          <w:rFonts w:asciiTheme="majorBidi" w:hAnsiTheme="majorBidi" w:cstheme="majorBidi"/>
          <w:sz w:val="21"/>
        </w:rPr>
        <w:t>10</w:t>
      </w:r>
      <w:r w:rsidRPr="0085581F">
        <w:rPr>
          <w:rFonts w:asciiTheme="majorBidi" w:hAnsiTheme="majorBidi" w:cstheme="majorBidi"/>
          <w:sz w:val="21"/>
        </w:rPr>
        <w:t xml:space="preserve">% compared with </w:t>
      </w:r>
      <w:r w:rsidR="00C64C16">
        <w:rPr>
          <w:rFonts w:asciiTheme="majorBidi" w:hAnsiTheme="majorBidi" w:cstheme="majorBidi"/>
          <w:sz w:val="21"/>
        </w:rPr>
        <w:t>3.97</w:t>
      </w:r>
      <w:r w:rsidRPr="0085581F">
        <w:rPr>
          <w:rFonts w:asciiTheme="majorBidi" w:hAnsiTheme="majorBidi" w:cstheme="majorBidi"/>
          <w:sz w:val="21"/>
        </w:rPr>
        <w:t>% in the corresponding quarter last year.</w:t>
      </w:r>
    </w:p>
    <w:p w14:paraId="1DA45926" w14:textId="77777777" w:rsidR="0085581F" w:rsidRPr="0085581F" w:rsidRDefault="0085581F" w:rsidP="0085581F">
      <w:pPr>
        <w:keepLines/>
        <w:tabs>
          <w:tab w:val="left" w:pos="425"/>
          <w:tab w:val="left" w:pos="1132"/>
        </w:tabs>
        <w:contextualSpacing/>
        <w:rPr>
          <w:rFonts w:asciiTheme="majorBidi" w:hAnsiTheme="majorBidi" w:cstheme="majorBidi"/>
          <w:sz w:val="21"/>
          <w:szCs w:val="21"/>
          <w:rtl/>
        </w:rPr>
      </w:pPr>
    </w:p>
    <w:p w14:paraId="44FCC299"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bookmarkStart w:id="79" w:name="H6_הכנסות_מימון_____________"/>
      <w:r w:rsidRPr="0085581F">
        <w:rPr>
          <w:rFonts w:asciiTheme="majorBidi" w:hAnsiTheme="majorBidi" w:cstheme="majorBidi"/>
          <w:sz w:val="21"/>
          <w:u w:val="single"/>
        </w:rPr>
        <w:t xml:space="preserve">Financing income             </w:t>
      </w:r>
    </w:p>
    <w:p w14:paraId="2FC23F79" w14:textId="1CE95E29" w:rsidR="0085581F" w:rsidRPr="0085581F" w:rsidRDefault="0085581F" w:rsidP="0085581F">
      <w:pPr>
        <w:keepLines/>
        <w:tabs>
          <w:tab w:val="left" w:pos="425"/>
          <w:tab w:val="left" w:pos="1132"/>
        </w:tabs>
        <w:contextualSpacing/>
        <w:rPr>
          <w:rFonts w:asciiTheme="majorBidi" w:hAnsiTheme="majorBidi" w:cstheme="majorBidi"/>
          <w:sz w:val="21"/>
        </w:rPr>
      </w:pPr>
      <w:bookmarkStart w:id="80" w:name="_Hlk167211398"/>
      <w:bookmarkEnd w:id="79"/>
      <w:r w:rsidRPr="0085581F">
        <w:rPr>
          <w:rFonts w:asciiTheme="majorBidi" w:hAnsiTheme="majorBidi" w:cstheme="majorBidi"/>
          <w:sz w:val="21"/>
        </w:rPr>
        <w:t xml:space="preserve">Financing expenses in the quarter amounted to NIS 51 million, compared with NIS </w:t>
      </w:r>
      <w:r w:rsidR="00C64C16">
        <w:rPr>
          <w:rFonts w:asciiTheme="majorBidi" w:hAnsiTheme="majorBidi" w:cstheme="majorBidi"/>
          <w:sz w:val="21"/>
        </w:rPr>
        <w:t>147</w:t>
      </w:r>
      <w:r w:rsidRPr="0085581F">
        <w:rPr>
          <w:rFonts w:asciiTheme="majorBidi" w:hAnsiTheme="majorBidi" w:cstheme="majorBidi"/>
          <w:sz w:val="21"/>
        </w:rPr>
        <w:t xml:space="preserve"> million in the corresponding quarter last year. Financing expenses in the quarter mainly include interest revenue of NIS 20 million (in the corresponding quarter last year an amount of NIS 24 million) and early redemption gains of interest bearing debt of NIS 17 million (NIS 76 million in the corresponding quarter last year). Furthermore, financing income in the quarter includes gains from revaluation of financial derivatives in the amount of NIS 14 million compared to NIS 45 million in the corresponding quarter last year.</w:t>
      </w:r>
      <w:bookmarkEnd w:id="80"/>
      <w:r w:rsidRPr="0085581F">
        <w:rPr>
          <w:rFonts w:asciiTheme="majorBidi" w:hAnsiTheme="majorBidi" w:cstheme="majorBidi"/>
          <w:sz w:val="21"/>
        </w:rPr>
        <w:t xml:space="preserve"> </w:t>
      </w:r>
    </w:p>
    <w:p w14:paraId="4A09E145" w14:textId="77777777" w:rsidR="0085581F" w:rsidRPr="0085581F" w:rsidRDefault="0085581F" w:rsidP="0085581F">
      <w:pPr>
        <w:keepLines/>
        <w:tabs>
          <w:tab w:val="left" w:pos="425"/>
          <w:tab w:val="left" w:pos="1132"/>
        </w:tabs>
        <w:contextualSpacing/>
        <w:rPr>
          <w:rFonts w:asciiTheme="majorBidi" w:hAnsiTheme="majorBidi" w:cstheme="majorBidi"/>
          <w:sz w:val="21"/>
          <w:rtl/>
        </w:rPr>
      </w:pPr>
    </w:p>
    <w:p w14:paraId="7813E583"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bookmarkStart w:id="81" w:name="H6_מסים_על_ההכנסה_הטבת_מס"/>
      <w:r w:rsidRPr="0085581F">
        <w:rPr>
          <w:rFonts w:asciiTheme="majorBidi" w:hAnsiTheme="majorBidi" w:cstheme="majorBidi"/>
          <w:sz w:val="21"/>
          <w:u w:val="single"/>
        </w:rPr>
        <w:t>Taxes on income (tax benefit)</w:t>
      </w:r>
    </w:p>
    <w:p w14:paraId="2E58BD70" w14:textId="77777777" w:rsidR="0085581F" w:rsidRPr="0085581F" w:rsidRDefault="0085581F" w:rsidP="0085581F">
      <w:pPr>
        <w:keepLines/>
        <w:tabs>
          <w:tab w:val="left" w:pos="425"/>
          <w:tab w:val="left" w:pos="1132"/>
        </w:tabs>
        <w:contextualSpacing/>
        <w:rPr>
          <w:rFonts w:asciiTheme="majorBidi" w:hAnsiTheme="majorBidi" w:cstheme="majorBidi"/>
          <w:sz w:val="21"/>
        </w:rPr>
      </w:pPr>
      <w:bookmarkStart w:id="82" w:name="_Hlk167211413"/>
      <w:bookmarkEnd w:id="81"/>
      <w:r w:rsidRPr="0085581F">
        <w:rPr>
          <w:rFonts w:asciiTheme="majorBidi" w:hAnsiTheme="majorBidi" w:cstheme="majorBidi"/>
          <w:sz w:val="21"/>
        </w:rPr>
        <w:t xml:space="preserve">Tax expenses in the quarter amounted to NIS 78 million, compared with tax expenses of NIS 73 million in the corresponding quarter last year. Tax expenses in the quarter include mainly deferred tax expenses of NIS 73 million which is mainly due to the net changes in temporary differences between the tax base for fair value of investment property, investment property under development, including due to the disposal of properties and changes in losses for tax purposes (net deferred tax expenses of NIS 55 million in the corresponding quarter last year). </w:t>
      </w:r>
      <w:bookmarkEnd w:id="82"/>
      <w:r w:rsidRPr="0085581F">
        <w:rPr>
          <w:rFonts w:asciiTheme="majorBidi" w:hAnsiTheme="majorBidi" w:cstheme="majorBidi"/>
          <w:sz w:val="21"/>
        </w:rPr>
        <w:t xml:space="preserve">Current tax expenses in the amount of NIS 5 million were recorded in the quarter compared to current tax expenses of NIS 18 million in the corresponding quarter last year. </w:t>
      </w:r>
    </w:p>
    <w:p w14:paraId="1D684C6E" w14:textId="77777777" w:rsidR="0085581F" w:rsidRPr="0085581F" w:rsidRDefault="0085581F" w:rsidP="0085581F">
      <w:pPr>
        <w:keepLines/>
        <w:tabs>
          <w:tab w:val="left" w:pos="425"/>
          <w:tab w:val="left" w:pos="1132"/>
        </w:tabs>
        <w:contextualSpacing/>
        <w:rPr>
          <w:rFonts w:asciiTheme="majorBidi" w:hAnsiTheme="majorBidi" w:cstheme="majorBidi"/>
          <w:sz w:val="21"/>
        </w:rPr>
      </w:pPr>
    </w:p>
    <w:p w14:paraId="4548CA2A" w14:textId="77777777" w:rsidR="0085581F" w:rsidRPr="0085581F" w:rsidRDefault="0085581F" w:rsidP="0085581F">
      <w:pPr>
        <w:spacing w:before="0" w:after="200"/>
        <w:jc w:val="left"/>
        <w:rPr>
          <w:rFonts w:asciiTheme="majorBidi" w:hAnsiTheme="majorBidi" w:cstheme="majorBidi"/>
          <w:sz w:val="21"/>
        </w:rPr>
      </w:pPr>
      <w:r w:rsidRPr="0085581F">
        <w:rPr>
          <w:rFonts w:asciiTheme="majorBidi" w:hAnsiTheme="majorBidi" w:cstheme="majorBidi"/>
          <w:sz w:val="21"/>
        </w:rPr>
        <w:br w:type="page"/>
      </w:r>
    </w:p>
    <w:p w14:paraId="2010EFAC" w14:textId="77777777" w:rsidR="0085581F" w:rsidRPr="0085581F" w:rsidRDefault="0085581F" w:rsidP="004D7A72">
      <w:pPr>
        <w:keepNext/>
        <w:numPr>
          <w:ilvl w:val="0"/>
          <w:numId w:val="38"/>
        </w:numPr>
        <w:tabs>
          <w:tab w:val="left" w:pos="425"/>
          <w:tab w:val="left" w:pos="1132"/>
        </w:tabs>
        <w:spacing w:after="120"/>
        <w:ind w:left="0" w:firstLine="0"/>
        <w:outlineLvl w:val="4"/>
        <w:rPr>
          <w:rFonts w:asciiTheme="majorBidi" w:hAnsiTheme="majorBidi" w:cstheme="majorBidi"/>
          <w:sz w:val="21"/>
        </w:rPr>
      </w:pPr>
      <w:bookmarkStart w:id="83" w:name="RG_MARKER_56622"/>
      <w:bookmarkStart w:id="84" w:name="H5_ניתוח_תוצאות_הפעולות_לתקופת_הדוח_0"/>
      <w:r w:rsidRPr="0085581F">
        <w:rPr>
          <w:rFonts w:asciiTheme="majorBidi" w:hAnsiTheme="majorBidi" w:cstheme="majorBidi"/>
          <w:sz w:val="21"/>
        </w:rPr>
        <w:lastRenderedPageBreak/>
        <w:t>Analysis of operating results in the reporting period</w:t>
      </w:r>
      <w:bookmarkEnd w:id="83"/>
    </w:p>
    <w:p w14:paraId="44C76157"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bookmarkStart w:id="85" w:name="H6_הכנסות_מהשכרת_מבנים_ואחרות___"/>
      <w:bookmarkEnd w:id="84"/>
      <w:r w:rsidRPr="0085581F">
        <w:rPr>
          <w:rFonts w:asciiTheme="majorBidi" w:hAnsiTheme="majorBidi" w:cstheme="majorBidi"/>
          <w:sz w:val="21"/>
          <w:u w:val="single"/>
        </w:rPr>
        <w:t xml:space="preserve">Rental and other income   </w:t>
      </w:r>
    </w:p>
    <w:bookmarkEnd w:id="85"/>
    <w:p w14:paraId="2FEE27DD" w14:textId="77777777"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Income from rental buildings and others increased in the reporting period by 5.4% to NIS 1,253 million, compared with NIS 1,189 million in the corresponding quarter last year.</w:t>
      </w:r>
    </w:p>
    <w:p w14:paraId="5E7C1A48" w14:textId="77777777"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Excluding the change in the average exchange rates, rental and other income in the reporting period increased by 2.8% compared to the corresponding quarter last year. The increase is mainly due to an increase in revenue from similar properties. This increase was offset by the sale of properties that are not core properties in the last 12 months.</w:t>
      </w:r>
    </w:p>
    <w:p w14:paraId="5A09238E" w14:textId="77777777" w:rsidR="0085581F" w:rsidRPr="0085581F" w:rsidRDefault="0085581F" w:rsidP="0085581F">
      <w:pPr>
        <w:keepLines/>
        <w:tabs>
          <w:tab w:val="left" w:pos="425"/>
          <w:tab w:val="left" w:pos="1132"/>
        </w:tabs>
        <w:contextualSpacing/>
        <w:rPr>
          <w:rFonts w:asciiTheme="majorBidi" w:hAnsiTheme="majorBidi" w:cstheme="majorBidi"/>
          <w:sz w:val="21"/>
          <w:rtl/>
        </w:rPr>
      </w:pPr>
    </w:p>
    <w:p w14:paraId="2BA5F1E7"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bookmarkStart w:id="86" w:name="H6_הוצאות_הפעלת_נכסים_להשכרה_ואחרות"/>
      <w:r w:rsidRPr="0085581F">
        <w:rPr>
          <w:rFonts w:asciiTheme="majorBidi" w:hAnsiTheme="majorBidi" w:cstheme="majorBidi"/>
          <w:sz w:val="21"/>
          <w:u w:val="single"/>
        </w:rPr>
        <w:t>Property operating and other expenses</w:t>
      </w:r>
    </w:p>
    <w:bookmarkEnd w:id="86"/>
    <w:p w14:paraId="183DF34D" w14:textId="77777777"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Rental property management and other expenses in the reporting period amounted to NIS 397 million, representing 31.7% of total rental and other income, compared with NIS 361 million, representing 30.4% of total rental income in the corresponding period last year.</w:t>
      </w:r>
    </w:p>
    <w:p w14:paraId="1BAB9649" w14:textId="77777777" w:rsidR="0085581F" w:rsidRPr="0085581F" w:rsidRDefault="0085581F" w:rsidP="0085581F">
      <w:pPr>
        <w:keepLines/>
        <w:tabs>
          <w:tab w:val="left" w:pos="425"/>
          <w:tab w:val="left" w:pos="1132"/>
        </w:tabs>
        <w:contextualSpacing/>
        <w:rPr>
          <w:rFonts w:asciiTheme="majorBidi" w:hAnsiTheme="majorBidi" w:cstheme="majorBidi"/>
          <w:sz w:val="21"/>
          <w:rtl/>
        </w:rPr>
      </w:pPr>
    </w:p>
    <w:p w14:paraId="20B122AC"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bookmarkStart w:id="87" w:name="H6_הכנסה_תפעולית_נטו_NOI_______"/>
      <w:r w:rsidRPr="0085581F">
        <w:rPr>
          <w:rFonts w:asciiTheme="majorBidi" w:hAnsiTheme="majorBidi" w:cstheme="majorBidi"/>
          <w:sz w:val="21"/>
          <w:u w:val="single"/>
        </w:rPr>
        <w:t xml:space="preserve">Net operating income (NOI)       </w:t>
      </w:r>
    </w:p>
    <w:bookmarkEnd w:id="87"/>
    <w:p w14:paraId="468BE425" w14:textId="77777777"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NOI from rental property in the reporting period increased by 3.4 % to NIS 856 million (68.3% of total rental revenue), compared with NIS 828 million (69.6% of rental revenue) in the corresponding period last year.</w:t>
      </w:r>
    </w:p>
    <w:p w14:paraId="7FBC3A1A" w14:textId="77777777"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Excluding the changes in the average exchange rates, net operating income in the reporting period increased by 0.9% compared to the corresponding quarter last year. The increase in NOI is due to the reasons described above for income from rental buildings and others above, where in the corresponding quarter last year the income included NOI from sold properties in an amount of NIS 91 million, compared to NIS 6 million in the reporting period.</w:t>
      </w:r>
    </w:p>
    <w:p w14:paraId="730DEF67" w14:textId="77777777" w:rsidR="0085581F" w:rsidRPr="0085581F" w:rsidRDefault="0085581F" w:rsidP="0085581F">
      <w:pPr>
        <w:keepLines/>
        <w:tabs>
          <w:tab w:val="left" w:pos="425"/>
          <w:tab w:val="left" w:pos="1132"/>
        </w:tabs>
        <w:contextualSpacing/>
        <w:rPr>
          <w:rFonts w:asciiTheme="majorBidi" w:hAnsiTheme="majorBidi" w:cstheme="majorBidi"/>
          <w:sz w:val="21"/>
          <w:rtl/>
        </w:rPr>
      </w:pPr>
    </w:p>
    <w:p w14:paraId="78A63B46"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r w:rsidRPr="0085581F">
        <w:rPr>
          <w:rFonts w:asciiTheme="majorBidi" w:hAnsiTheme="majorBidi" w:cstheme="majorBidi"/>
          <w:sz w:val="21"/>
          <w:u w:val="single"/>
        </w:rPr>
        <w:t xml:space="preserve">Fair value gain (loss) from investment property and investment property under development, net      </w:t>
      </w:r>
    </w:p>
    <w:p w14:paraId="1C3CEC2F" w14:textId="3BAF8D2A"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 xml:space="preserve">The Group applies the fair value model, as prescribed in IAS 40 (Revised), Investment Property. As a result of application of this Standard, the Group recognized in in the reporting period, gains due to an increase in the fair value of properties in a </w:t>
      </w:r>
      <w:r w:rsidR="006E4BB6" w:rsidRPr="0085581F">
        <w:rPr>
          <w:rFonts w:asciiTheme="majorBidi" w:hAnsiTheme="majorBidi" w:cstheme="majorBidi"/>
          <w:sz w:val="21"/>
        </w:rPr>
        <w:t>net amount</w:t>
      </w:r>
      <w:r w:rsidRPr="0085581F">
        <w:rPr>
          <w:rFonts w:asciiTheme="majorBidi" w:hAnsiTheme="majorBidi" w:cstheme="majorBidi"/>
          <w:sz w:val="21"/>
        </w:rPr>
        <w:t xml:space="preserve"> of NIS 340 million, compared with an increase in values of NIS 293 million in the corresponding period last year. </w:t>
      </w:r>
    </w:p>
    <w:p w14:paraId="683D955F" w14:textId="77777777" w:rsidR="0085581F" w:rsidRPr="0085581F" w:rsidRDefault="0085581F" w:rsidP="0085581F">
      <w:pPr>
        <w:keepLines/>
        <w:tabs>
          <w:tab w:val="left" w:pos="425"/>
          <w:tab w:val="left" w:pos="1132"/>
        </w:tabs>
        <w:contextualSpacing/>
        <w:rPr>
          <w:rFonts w:asciiTheme="majorBidi" w:hAnsiTheme="majorBidi" w:cstheme="majorBidi"/>
          <w:sz w:val="21"/>
        </w:rPr>
      </w:pPr>
    </w:p>
    <w:p w14:paraId="1D985699"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bookmarkStart w:id="88" w:name="H6_הוצאות_הנהלה_וכלליות___"/>
      <w:r w:rsidRPr="0085581F">
        <w:rPr>
          <w:rFonts w:asciiTheme="majorBidi" w:hAnsiTheme="majorBidi" w:cstheme="majorBidi"/>
          <w:sz w:val="21"/>
          <w:u w:val="single"/>
        </w:rPr>
        <w:t xml:space="preserve">General and administrative expenses   </w:t>
      </w:r>
    </w:p>
    <w:bookmarkEnd w:id="88"/>
    <w:p w14:paraId="783EF36F" w14:textId="77777777"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General and administrative expenses in the reporting period amounted to NIS 168 million (13.4% of total income), compared with NIS 166 million (14.0% of total income) in the corresponding period last year.</w:t>
      </w:r>
    </w:p>
    <w:p w14:paraId="220DF0F2" w14:textId="77777777" w:rsidR="0085581F" w:rsidRPr="0085581F" w:rsidRDefault="0085581F" w:rsidP="0085581F">
      <w:pPr>
        <w:keepLines/>
        <w:tabs>
          <w:tab w:val="left" w:pos="425"/>
          <w:tab w:val="left" w:pos="1132"/>
        </w:tabs>
        <w:contextualSpacing/>
        <w:rPr>
          <w:rFonts w:asciiTheme="majorBidi" w:hAnsiTheme="majorBidi" w:cstheme="majorBidi"/>
          <w:sz w:val="21"/>
          <w:rtl/>
        </w:rPr>
      </w:pPr>
    </w:p>
    <w:p w14:paraId="0BE14511"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r w:rsidRPr="0085581F">
        <w:rPr>
          <w:rFonts w:asciiTheme="majorBidi" w:hAnsiTheme="majorBidi" w:cstheme="majorBidi"/>
          <w:sz w:val="21"/>
          <w:u w:val="single"/>
        </w:rPr>
        <w:t xml:space="preserve">Company's share in earnings (losses) of equity-accounted investees, net   </w:t>
      </w:r>
    </w:p>
    <w:p w14:paraId="5C2345C9" w14:textId="77777777"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 xml:space="preserve">In the reporting period, this item amounted to gains of NIS 110 million (in the corresponding period of last year gains were recorded of NIS 53 million), which primarily comprised of the Group’s shares in a net profits of CTY, Gazit Horizons, G Europe, and Gazit Canada (G </w:t>
      </w:r>
      <w:proofErr w:type="spellStart"/>
      <w:r w:rsidRPr="0085581F">
        <w:rPr>
          <w:rFonts w:asciiTheme="majorBidi" w:hAnsiTheme="majorBidi" w:cstheme="majorBidi"/>
          <w:sz w:val="21"/>
        </w:rPr>
        <w:t>Tripllle</w:t>
      </w:r>
      <w:proofErr w:type="spellEnd"/>
      <w:r w:rsidRPr="0085581F">
        <w:rPr>
          <w:rFonts w:asciiTheme="majorBidi" w:hAnsiTheme="majorBidi" w:cstheme="majorBidi"/>
          <w:sz w:val="21"/>
        </w:rPr>
        <w:t>).</w:t>
      </w:r>
    </w:p>
    <w:p w14:paraId="50391B17" w14:textId="77777777" w:rsidR="0085581F" w:rsidRPr="0085581F" w:rsidRDefault="0085581F" w:rsidP="0085581F">
      <w:pPr>
        <w:keepLines/>
        <w:tabs>
          <w:tab w:val="left" w:pos="425"/>
          <w:tab w:val="left" w:pos="1132"/>
        </w:tabs>
        <w:contextualSpacing/>
        <w:rPr>
          <w:rFonts w:asciiTheme="majorBidi" w:hAnsiTheme="majorBidi" w:cstheme="majorBidi"/>
          <w:sz w:val="21"/>
          <w:rtl/>
        </w:rPr>
      </w:pPr>
    </w:p>
    <w:p w14:paraId="39D130D9" w14:textId="77777777" w:rsidR="0085581F" w:rsidRPr="0085581F" w:rsidRDefault="0085581F" w:rsidP="0085581F">
      <w:pPr>
        <w:keepNext/>
        <w:keepLines/>
        <w:tabs>
          <w:tab w:val="left" w:pos="425"/>
          <w:tab w:val="left" w:pos="1132"/>
        </w:tabs>
        <w:contextualSpacing/>
        <w:rPr>
          <w:rFonts w:asciiTheme="majorBidi" w:hAnsiTheme="majorBidi" w:cstheme="majorBidi"/>
          <w:sz w:val="21"/>
          <w:u w:val="single"/>
        </w:rPr>
      </w:pPr>
      <w:r w:rsidRPr="0085581F">
        <w:rPr>
          <w:rFonts w:asciiTheme="majorBidi" w:hAnsiTheme="majorBidi" w:cstheme="majorBidi"/>
          <w:sz w:val="21"/>
          <w:u w:val="single"/>
        </w:rPr>
        <w:t>Other income</w:t>
      </w:r>
    </w:p>
    <w:p w14:paraId="294BD976" w14:textId="77777777"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 xml:space="preserve">Other income in the reporting period amounted to NIS 185 million compared with NIS 5 million for the corresponding period last year. Other income in the reporting period mainly includes capital gains from the acquisition of the partner’s share in </w:t>
      </w:r>
      <w:proofErr w:type="spellStart"/>
      <w:r w:rsidRPr="0085581F">
        <w:rPr>
          <w:rFonts w:asciiTheme="majorBidi" w:hAnsiTheme="majorBidi" w:cstheme="majorBidi"/>
          <w:sz w:val="21"/>
        </w:rPr>
        <w:t>Kista</w:t>
      </w:r>
      <w:proofErr w:type="spellEnd"/>
      <w:r w:rsidRPr="0085581F">
        <w:rPr>
          <w:rFonts w:asciiTheme="majorBidi" w:hAnsiTheme="majorBidi" w:cstheme="majorBidi"/>
          <w:sz w:val="21"/>
        </w:rPr>
        <w:t xml:space="preserve"> Galleria for an amount of NIS 184 million.</w:t>
      </w:r>
    </w:p>
    <w:p w14:paraId="5DE25B88" w14:textId="77777777" w:rsidR="0085581F" w:rsidRPr="0085581F" w:rsidRDefault="0085581F" w:rsidP="0085581F">
      <w:pPr>
        <w:keepLines/>
        <w:tabs>
          <w:tab w:val="left" w:pos="425"/>
          <w:tab w:val="left" w:pos="1132"/>
        </w:tabs>
        <w:contextualSpacing/>
        <w:rPr>
          <w:rFonts w:asciiTheme="majorBidi" w:hAnsiTheme="majorBidi" w:cstheme="majorBidi"/>
          <w:sz w:val="21"/>
          <w:szCs w:val="21"/>
          <w:u w:val="single"/>
          <w:rtl/>
        </w:rPr>
      </w:pPr>
    </w:p>
    <w:p w14:paraId="4FDE5E2D" w14:textId="77777777" w:rsidR="0085581F" w:rsidRPr="0085581F" w:rsidRDefault="0085581F" w:rsidP="0085581F">
      <w:pPr>
        <w:keepLines/>
        <w:tabs>
          <w:tab w:val="left" w:pos="425"/>
          <w:tab w:val="left" w:pos="1132"/>
        </w:tabs>
        <w:contextualSpacing/>
        <w:rPr>
          <w:rFonts w:asciiTheme="majorBidi" w:hAnsiTheme="majorBidi" w:cstheme="majorBidi"/>
          <w:sz w:val="21"/>
          <w:u w:val="single"/>
        </w:rPr>
      </w:pPr>
      <w:r w:rsidRPr="0085581F">
        <w:rPr>
          <w:rFonts w:asciiTheme="majorBidi" w:hAnsiTheme="majorBidi" w:cstheme="majorBidi"/>
          <w:sz w:val="21"/>
          <w:u w:val="single"/>
        </w:rPr>
        <w:t>Other expenses</w:t>
      </w:r>
    </w:p>
    <w:p w14:paraId="20CFC229" w14:textId="77777777"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Other expenses in the reporting period amounted to NIS 124 million, which mainly includes capital losses from closing expenses for the sale of properties that were completed in the reporting period, compared to other expenses in the corresponding period last year of NIS 680 million that mainly included a loss of NIS 518 million due to the sale of the Group’s properties in Russia.</w:t>
      </w:r>
    </w:p>
    <w:p w14:paraId="5D586241" w14:textId="77777777" w:rsidR="0085581F" w:rsidRPr="0085581F" w:rsidRDefault="0085581F" w:rsidP="0085581F">
      <w:pPr>
        <w:keepLines/>
        <w:tabs>
          <w:tab w:val="left" w:pos="425"/>
          <w:tab w:val="left" w:pos="1132"/>
        </w:tabs>
        <w:contextualSpacing/>
        <w:rPr>
          <w:rFonts w:asciiTheme="majorBidi" w:hAnsiTheme="majorBidi" w:cstheme="majorBidi"/>
          <w:sz w:val="21"/>
          <w:rtl/>
        </w:rPr>
      </w:pPr>
    </w:p>
    <w:p w14:paraId="22BE3CC5"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bookmarkStart w:id="89" w:name="H6_הוצאות_מימון___"/>
      <w:r w:rsidRPr="0085581F">
        <w:rPr>
          <w:rFonts w:asciiTheme="majorBidi" w:hAnsiTheme="majorBidi" w:cstheme="majorBidi"/>
          <w:sz w:val="21"/>
          <w:u w:val="single"/>
        </w:rPr>
        <w:lastRenderedPageBreak/>
        <w:t xml:space="preserve">Financing expenses   </w:t>
      </w:r>
    </w:p>
    <w:bookmarkEnd w:id="89"/>
    <w:p w14:paraId="772E0D48" w14:textId="4AC8E86A"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 xml:space="preserve">Financing expenses in the reporting period amounted to NIS 663 million compared </w:t>
      </w:r>
      <w:r w:rsidR="006E4BB6" w:rsidRPr="0085581F">
        <w:rPr>
          <w:rFonts w:asciiTheme="majorBidi" w:hAnsiTheme="majorBidi" w:cstheme="majorBidi"/>
          <w:sz w:val="21"/>
        </w:rPr>
        <w:t>to NIS</w:t>
      </w:r>
      <w:r w:rsidRPr="0085581F">
        <w:rPr>
          <w:rFonts w:asciiTheme="majorBidi" w:hAnsiTheme="majorBidi" w:cstheme="majorBidi"/>
          <w:sz w:val="21"/>
        </w:rPr>
        <w:t> 736 million for the corresponding period last year. The decrease in financing expenses in the reporting period compared to the corresponding period last year is mainly due to a decrease in expenses for CPI linkage of interest bearing liabilities that amounted to NIS 191 million in the quarter compared to NIS 242 million in the corresponding period last year, loss due to revaluation of financial derivatives in the reporting period in an amount of NIS 6 million compared to financial derivatives revaluation loss of NIS 16 million in the corresponding period last year, and a loss from revaluation of marketable securities in an amount of NIS 13 million in the corresponding period last year.</w:t>
      </w:r>
    </w:p>
    <w:p w14:paraId="3CC07A71" w14:textId="77777777" w:rsidR="0085581F" w:rsidRPr="0085581F" w:rsidRDefault="0085581F" w:rsidP="0085581F">
      <w:pPr>
        <w:keepLines/>
        <w:tabs>
          <w:tab w:val="left" w:pos="425"/>
          <w:tab w:val="left" w:pos="1132"/>
        </w:tabs>
        <w:contextualSpacing/>
        <w:rPr>
          <w:rFonts w:asciiTheme="majorBidi" w:hAnsiTheme="majorBidi" w:cstheme="majorBidi"/>
          <w:sz w:val="21"/>
          <w:rtl/>
        </w:rPr>
      </w:pPr>
    </w:p>
    <w:p w14:paraId="3F26217C"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bookmarkStart w:id="90" w:name="H6_הכנסות_מימון___"/>
      <w:r w:rsidRPr="0085581F">
        <w:rPr>
          <w:rFonts w:asciiTheme="majorBidi" w:hAnsiTheme="majorBidi" w:cstheme="majorBidi"/>
          <w:sz w:val="21"/>
          <w:u w:val="single"/>
        </w:rPr>
        <w:t xml:space="preserve">Financing income   </w:t>
      </w:r>
    </w:p>
    <w:bookmarkEnd w:id="90"/>
    <w:p w14:paraId="34DF631F" w14:textId="0A60A05B"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 xml:space="preserve">Financing income in the reporting period amounted to NIS 90 million compared with NIS 140 million for the corresponding period last year. Financing expenses in the reporting period mainly include interest income of NIS 51 million (in the corresponding quarter last year income of NIS 37 million) and financing income in the reporting period included early redemption gains of interest bearing debt in an amount of NIS 37 million, compared to NIS </w:t>
      </w:r>
      <w:r w:rsidR="006E4BB6" w:rsidRPr="0085581F">
        <w:rPr>
          <w:rFonts w:asciiTheme="majorBidi" w:hAnsiTheme="majorBidi" w:cstheme="majorBidi"/>
          <w:sz w:val="21"/>
        </w:rPr>
        <w:t>99 million</w:t>
      </w:r>
      <w:r w:rsidRPr="0085581F">
        <w:rPr>
          <w:rFonts w:asciiTheme="majorBidi" w:hAnsiTheme="majorBidi" w:cstheme="majorBidi"/>
          <w:sz w:val="21"/>
        </w:rPr>
        <w:t xml:space="preserve"> in the corresponding quarter last year.</w:t>
      </w:r>
    </w:p>
    <w:p w14:paraId="78EA6444" w14:textId="77777777" w:rsidR="0085581F" w:rsidRPr="0085581F" w:rsidRDefault="0085581F" w:rsidP="0085581F">
      <w:pPr>
        <w:keepLines/>
        <w:tabs>
          <w:tab w:val="left" w:pos="425"/>
          <w:tab w:val="left" w:pos="1132"/>
        </w:tabs>
        <w:contextualSpacing/>
        <w:rPr>
          <w:rFonts w:asciiTheme="majorBidi" w:hAnsiTheme="majorBidi" w:cstheme="majorBidi"/>
          <w:sz w:val="21"/>
          <w:rtl/>
        </w:rPr>
      </w:pPr>
    </w:p>
    <w:p w14:paraId="531573E5" w14:textId="77777777" w:rsidR="0085581F" w:rsidRPr="0085581F" w:rsidRDefault="0085581F" w:rsidP="0085581F">
      <w:pPr>
        <w:keepNext/>
        <w:keepLines/>
        <w:tabs>
          <w:tab w:val="left" w:pos="425"/>
          <w:tab w:val="left" w:pos="1132"/>
        </w:tabs>
        <w:contextualSpacing/>
        <w:outlineLvl w:val="5"/>
        <w:rPr>
          <w:rFonts w:asciiTheme="majorBidi" w:hAnsiTheme="majorBidi" w:cstheme="majorBidi"/>
          <w:sz w:val="21"/>
          <w:u w:val="single"/>
        </w:rPr>
      </w:pPr>
      <w:bookmarkStart w:id="91" w:name="H6_מסים_על_ההכנסה_הטבת_מס____"/>
      <w:r w:rsidRPr="0085581F">
        <w:rPr>
          <w:rFonts w:asciiTheme="majorBidi" w:hAnsiTheme="majorBidi" w:cstheme="majorBidi"/>
          <w:sz w:val="21"/>
          <w:u w:val="single"/>
        </w:rPr>
        <w:t xml:space="preserve">Taxes on income (tax benefit)    </w:t>
      </w:r>
    </w:p>
    <w:bookmarkEnd w:id="91"/>
    <w:p w14:paraId="790C074F" w14:textId="77777777" w:rsidR="0085581F" w:rsidRPr="0085581F" w:rsidRDefault="0085581F" w:rsidP="0085581F">
      <w:pPr>
        <w:keepLines/>
        <w:tabs>
          <w:tab w:val="left" w:pos="425"/>
          <w:tab w:val="left" w:pos="1132"/>
        </w:tabs>
        <w:contextualSpacing/>
        <w:rPr>
          <w:rFonts w:asciiTheme="majorBidi" w:hAnsiTheme="majorBidi" w:cstheme="majorBidi"/>
          <w:sz w:val="21"/>
        </w:rPr>
      </w:pPr>
      <w:r w:rsidRPr="0085581F">
        <w:rPr>
          <w:rFonts w:asciiTheme="majorBidi" w:hAnsiTheme="majorBidi" w:cstheme="majorBidi"/>
          <w:sz w:val="21"/>
        </w:rPr>
        <w:t>Tax expenses in the reporting period amounted to NIS 122 million, compared with tax expenses of NIS 37 million in the corresponding quarter last year. Tax expenses in the reporting period include mainly deferred tax expenses of NIS 81 million which is mainly due to the net changes in temporary differences between the tax base for fair value of investment property, investment property under development, including due to the disposal of properties and changes in losses for tax purposes (net deferred tax expenses of NIS 4 million in the corresponding period last year). Current tax expenses in the amount of NIS 41 million were recorded in the reporting period compared to current tax expenses of NIS 37 million in the corresponding period last year. Furthermore, in the corresponding period last year tax expenses in the amount of NIS 4 million were also recognized with respect to prior years.</w:t>
      </w:r>
    </w:p>
    <w:p w14:paraId="5D8149D9" w14:textId="77777777" w:rsidR="0085581F" w:rsidRPr="0085581F" w:rsidRDefault="0085581F" w:rsidP="0085581F">
      <w:pPr>
        <w:keepLines/>
        <w:tabs>
          <w:tab w:val="left" w:pos="425"/>
          <w:tab w:val="left" w:pos="1132"/>
        </w:tabs>
        <w:contextualSpacing/>
        <w:rPr>
          <w:rFonts w:asciiTheme="majorBidi" w:hAnsiTheme="majorBidi" w:cstheme="majorBidi"/>
          <w:sz w:val="21"/>
        </w:rPr>
      </w:pPr>
    </w:p>
    <w:p w14:paraId="43FAF641" w14:textId="77777777" w:rsidR="0085581F" w:rsidRPr="0085581F" w:rsidRDefault="0085581F" w:rsidP="004D7A72">
      <w:pPr>
        <w:keepNext/>
        <w:keepLines/>
        <w:pageBreakBefore/>
        <w:numPr>
          <w:ilvl w:val="1"/>
          <w:numId w:val="39"/>
        </w:numPr>
        <w:tabs>
          <w:tab w:val="left" w:pos="425"/>
        </w:tabs>
        <w:spacing w:before="0" w:after="120"/>
        <w:ind w:left="425" w:hanging="425"/>
        <w:outlineLvl w:val="3"/>
        <w:rPr>
          <w:rFonts w:asciiTheme="majorBidi" w:hAnsiTheme="majorBidi" w:cstheme="majorBidi"/>
          <w:sz w:val="21"/>
          <w:szCs w:val="21"/>
        </w:rPr>
      </w:pPr>
      <w:bookmarkStart w:id="92" w:name="RG_MARKER_56626"/>
      <w:bookmarkStart w:id="93" w:name="H4_נזילות_ומקורות_מימון_"/>
      <w:r w:rsidRPr="0085581F">
        <w:rPr>
          <w:rFonts w:asciiTheme="majorBidi" w:hAnsiTheme="majorBidi" w:cstheme="majorBidi"/>
          <w:sz w:val="21"/>
        </w:rPr>
        <w:lastRenderedPageBreak/>
        <w:t xml:space="preserve">Liquidity and Sources of Finance </w:t>
      </w:r>
      <w:bookmarkEnd w:id="92"/>
    </w:p>
    <w:bookmarkEnd w:id="93"/>
    <w:p w14:paraId="0DC5EF16" w14:textId="77777777" w:rsidR="0085581F" w:rsidRPr="0085581F" w:rsidRDefault="0085581F" w:rsidP="0085581F">
      <w:pPr>
        <w:keepLines/>
        <w:tabs>
          <w:tab w:val="left" w:pos="425"/>
          <w:tab w:val="left" w:pos="1132"/>
        </w:tabs>
        <w:contextualSpacing/>
        <w:rPr>
          <w:rFonts w:asciiTheme="majorBidi" w:hAnsiTheme="majorBidi" w:cstheme="majorBidi"/>
          <w:sz w:val="21"/>
          <w:szCs w:val="21"/>
        </w:rPr>
      </w:pPr>
      <w:r w:rsidRPr="0085581F">
        <w:rPr>
          <w:rFonts w:asciiTheme="majorBidi" w:hAnsiTheme="majorBidi" w:cstheme="majorBidi"/>
          <w:sz w:val="21"/>
        </w:rPr>
        <w:t>The Company and its subsidiaries have a policy of maintaining an adequate level of liquidity that enables taking advantage of business opportunities in its operating segments and flexibility in accessibility to sources of finance.</w:t>
      </w:r>
    </w:p>
    <w:p w14:paraId="7D71DFCD" w14:textId="77777777" w:rsidR="0085581F" w:rsidRPr="0085581F" w:rsidRDefault="0085581F" w:rsidP="0085581F">
      <w:pPr>
        <w:keepLines/>
        <w:tabs>
          <w:tab w:val="left" w:pos="425"/>
          <w:tab w:val="left" w:pos="1132"/>
        </w:tabs>
        <w:contextualSpacing/>
        <w:rPr>
          <w:rFonts w:asciiTheme="majorBidi" w:hAnsiTheme="majorBidi" w:cstheme="majorBidi"/>
          <w:sz w:val="21"/>
          <w:szCs w:val="21"/>
        </w:rPr>
      </w:pPr>
      <w:r w:rsidRPr="0085581F">
        <w:rPr>
          <w:rFonts w:asciiTheme="majorBidi" w:hAnsiTheme="majorBidi" w:cstheme="majorBidi"/>
          <w:sz w:val="21"/>
        </w:rPr>
        <w:t xml:space="preserve">The sources of liquidity of the Company and its subsidiaries are cash generated from its income-producing property, raising of debentures, hybrid debentures, convertible debentures, equity, credit lines, and long-term loans (including loans backed by liens on properties) used mainly for acquisition, development and redevelopment of income-producing property, settlement of liabilities, investments in investees and other investments. </w:t>
      </w:r>
    </w:p>
    <w:p w14:paraId="14A3C040" w14:textId="77777777" w:rsidR="0085581F" w:rsidRPr="0085581F" w:rsidRDefault="0085581F" w:rsidP="0085581F">
      <w:pPr>
        <w:keepLines/>
        <w:tabs>
          <w:tab w:val="left" w:pos="425"/>
          <w:tab w:val="left" w:pos="1132"/>
        </w:tabs>
        <w:contextualSpacing/>
        <w:rPr>
          <w:rFonts w:asciiTheme="majorBidi" w:hAnsiTheme="majorBidi" w:cstheme="majorBidi"/>
          <w:sz w:val="21"/>
          <w:szCs w:val="21"/>
        </w:rPr>
      </w:pPr>
      <w:r w:rsidRPr="0085581F">
        <w:rPr>
          <w:rFonts w:asciiTheme="majorBidi" w:hAnsiTheme="majorBidi" w:cstheme="majorBidi"/>
          <w:sz w:val="21"/>
        </w:rPr>
        <w:t>As at June 30, 2024, the Company and its subsidiaries have unutilized approved long-term credit facilities</w:t>
      </w:r>
      <w:r w:rsidRPr="0085581F">
        <w:rPr>
          <w:rFonts w:asciiTheme="majorBidi" w:hAnsiTheme="majorBidi" w:cstheme="majorBidi"/>
          <w:sz w:val="21"/>
          <w:szCs w:val="21"/>
          <w:vertAlign w:val="superscript"/>
          <w:rtl/>
        </w:rPr>
        <w:footnoteReference w:id="6"/>
      </w:r>
      <w:r w:rsidRPr="0085581F">
        <w:rPr>
          <w:rFonts w:asciiTheme="majorBidi" w:hAnsiTheme="majorBidi" w:cstheme="majorBidi"/>
          <w:sz w:val="21"/>
        </w:rPr>
        <w:t xml:space="preserve"> available for immediate withdrawal and liquid balances of NIS 3.2 billion (of which NIS 1.3 billion for the Company and its wholly-owned subsidiaries) which includes cash and short-term deposits of NIS 0.9 billion and have unutilized approved long term credit facilities available for immediate withdrawal in the amount of NIS 2.3 billion.</w:t>
      </w:r>
    </w:p>
    <w:p w14:paraId="691305A1" w14:textId="77777777" w:rsidR="0085581F" w:rsidRPr="0085581F" w:rsidRDefault="0085581F" w:rsidP="0085581F">
      <w:pPr>
        <w:keepLines/>
        <w:tabs>
          <w:tab w:val="left" w:pos="425"/>
          <w:tab w:val="left" w:pos="1132"/>
        </w:tabs>
        <w:contextualSpacing/>
        <w:rPr>
          <w:rFonts w:asciiTheme="majorBidi" w:hAnsiTheme="majorBidi" w:cstheme="majorBidi"/>
          <w:sz w:val="21"/>
          <w:szCs w:val="21"/>
        </w:rPr>
      </w:pPr>
      <w:r w:rsidRPr="0085581F">
        <w:rPr>
          <w:rFonts w:asciiTheme="majorBidi" w:hAnsiTheme="majorBidi" w:cstheme="majorBidi"/>
          <w:sz w:val="21"/>
        </w:rPr>
        <w:t xml:space="preserve">As at June 30, 2024, the Company and its subsidiaries also have unencumbered investment property and investment property under development, which is carried in the books at its fair value of NIS 13.6 billion (39.1% of the total investment property and investment property under development). </w:t>
      </w:r>
    </w:p>
    <w:p w14:paraId="19CBDC0A" w14:textId="77777777" w:rsidR="0085581F" w:rsidRPr="0085581F" w:rsidRDefault="0085581F" w:rsidP="0085581F">
      <w:pPr>
        <w:keepLines/>
        <w:tabs>
          <w:tab w:val="left" w:pos="425"/>
          <w:tab w:val="left" w:pos="1132"/>
        </w:tabs>
        <w:contextualSpacing/>
        <w:rPr>
          <w:rFonts w:asciiTheme="majorBidi" w:hAnsiTheme="majorBidi" w:cstheme="majorBidi"/>
          <w:sz w:val="21"/>
          <w:szCs w:val="21"/>
        </w:rPr>
      </w:pPr>
      <w:r w:rsidRPr="0085581F">
        <w:rPr>
          <w:rFonts w:asciiTheme="majorBidi" w:hAnsiTheme="majorBidi" w:cstheme="majorBidi"/>
          <w:sz w:val="21"/>
        </w:rPr>
        <w:t>Of these, regarding the expanded separate information, the Company has properties that are not encumbered worth NIS 5.6 billion (NIS 4.1 billion in G Europe, NIS 0.9 billion in the US, NIS 0.4 billion in Brazil and NIS 0.2 billion in Israel).</w:t>
      </w:r>
    </w:p>
    <w:p w14:paraId="3CC52A59" w14:textId="38CB2C36" w:rsidR="0085581F" w:rsidRPr="0085581F" w:rsidRDefault="0085581F" w:rsidP="0085581F">
      <w:pPr>
        <w:keepLines/>
        <w:tabs>
          <w:tab w:val="left" w:pos="425"/>
          <w:tab w:val="left" w:pos="1132"/>
        </w:tabs>
        <w:contextualSpacing/>
        <w:rPr>
          <w:rFonts w:asciiTheme="majorBidi" w:hAnsiTheme="majorBidi" w:cstheme="majorBidi"/>
          <w:sz w:val="21"/>
          <w:szCs w:val="21"/>
        </w:rPr>
      </w:pPr>
      <w:r w:rsidRPr="0085581F">
        <w:rPr>
          <w:rFonts w:asciiTheme="majorBidi" w:hAnsiTheme="majorBidi" w:cstheme="majorBidi"/>
          <w:sz w:val="21"/>
        </w:rPr>
        <w:t xml:space="preserve">For further information concerning the Property Disposal Plan for increasing liquidity, see section 1.3 </w:t>
      </w:r>
      <w:r w:rsidR="006E4BB6" w:rsidRPr="0085581F">
        <w:rPr>
          <w:rFonts w:asciiTheme="majorBidi" w:hAnsiTheme="majorBidi" w:cstheme="majorBidi"/>
          <w:sz w:val="21"/>
        </w:rPr>
        <w:t>above.</w:t>
      </w:r>
    </w:p>
    <w:p w14:paraId="72F67371" w14:textId="58CAD776" w:rsidR="0085581F" w:rsidRPr="0085581F" w:rsidRDefault="0085581F" w:rsidP="0085581F">
      <w:pPr>
        <w:keepLines/>
        <w:tabs>
          <w:tab w:val="left" w:pos="425"/>
          <w:tab w:val="left" w:pos="1132"/>
        </w:tabs>
        <w:contextualSpacing/>
        <w:rPr>
          <w:rFonts w:asciiTheme="majorBidi" w:hAnsiTheme="majorBidi" w:cstheme="majorBidi"/>
          <w:sz w:val="21"/>
          <w:szCs w:val="21"/>
        </w:rPr>
      </w:pPr>
      <w:r w:rsidRPr="0085581F">
        <w:rPr>
          <w:rFonts w:asciiTheme="majorBidi" w:hAnsiTheme="majorBidi" w:cstheme="majorBidi"/>
          <w:sz w:val="21"/>
        </w:rPr>
        <w:t>As at June 30, 2024, according to the consolidated and separate financial statements, the Company has negative working capital in an amount of NIS 0.1 billion and NIS 2.2 billion, respectively, and positive FFO based on its separate financial information. Moreover, the Company has (extended separate) positive FFO, see section 2.2 below. However, the Company has at its disposal, on a consolidated and expanded separate basis (including wholly-owned subsidiaries), approved long-term credit lines</w:t>
      </w:r>
      <w:r w:rsidRPr="0085581F">
        <w:rPr>
          <w:rFonts w:asciiTheme="majorBidi" w:hAnsiTheme="majorBidi" w:cstheme="majorBidi"/>
          <w:sz w:val="21"/>
          <w:vertAlign w:val="superscript"/>
        </w:rPr>
        <w:t>1</w:t>
      </w:r>
      <w:r w:rsidRPr="0085581F">
        <w:rPr>
          <w:rFonts w:asciiTheme="majorBidi" w:hAnsiTheme="majorBidi" w:cstheme="majorBidi"/>
          <w:sz w:val="21"/>
        </w:rPr>
        <w:t xml:space="preserve"> available for immediate withdrawal amounting to NIS 2.3 billion and NIS 0.6 billion. According to Group policy, the Group usually finances its activities through revolving credit </w:t>
      </w:r>
      <w:r w:rsidR="006E4BB6" w:rsidRPr="0085581F">
        <w:rPr>
          <w:rFonts w:asciiTheme="majorBidi" w:hAnsiTheme="majorBidi" w:cstheme="majorBidi"/>
          <w:sz w:val="21"/>
        </w:rPr>
        <w:t>lines and</w:t>
      </w:r>
      <w:r w:rsidRPr="0085581F">
        <w:rPr>
          <w:rFonts w:asciiTheme="majorBidi" w:hAnsiTheme="majorBidi" w:cstheme="majorBidi"/>
          <w:sz w:val="21"/>
        </w:rPr>
        <w:t xml:space="preserve"> raises equity and long-term debt from time to time, in accordance with the market conditions. The Company’s Board of Directors examined the existence of negative working capital</w:t>
      </w:r>
      <w:r w:rsidR="001B632E" w:rsidRPr="001B632E">
        <w:t xml:space="preserve"> </w:t>
      </w:r>
      <w:r w:rsidR="001B632E" w:rsidRPr="001B632E">
        <w:rPr>
          <w:rFonts w:asciiTheme="majorBidi" w:hAnsiTheme="majorBidi" w:cstheme="majorBidi"/>
          <w:sz w:val="21"/>
        </w:rPr>
        <w:t xml:space="preserve">as mentioned and examined whether this was to indicate a liquidity problem in the company, by examining the company's projected cash flow </w:t>
      </w:r>
      <w:r w:rsidRPr="0085581F">
        <w:rPr>
          <w:rFonts w:asciiTheme="majorBidi" w:hAnsiTheme="majorBidi" w:cstheme="majorBidi"/>
          <w:sz w:val="21"/>
        </w:rPr>
        <w:t>and determined that, in light of the scope of the foregoing sources available to the Company and its subsidiaries, including the scope of unencumbered properties, as set out above, the ability to refinance debts secured by land, and the positive FFO, consolidated and extended separate, including other cash flows, its existence does not indicate that the Company or its subsidiaries have a liquidity problem</w:t>
      </w:r>
      <w:r w:rsidR="001B632E" w:rsidRPr="001B632E">
        <w:t xml:space="preserve"> </w:t>
      </w:r>
      <w:r w:rsidR="001B632E" w:rsidRPr="001B632E">
        <w:rPr>
          <w:rFonts w:asciiTheme="majorBidi" w:hAnsiTheme="majorBidi" w:cstheme="majorBidi"/>
          <w:sz w:val="21"/>
        </w:rPr>
        <w:t>and therefore, there is no need to include a forecasted cash flow.</w:t>
      </w:r>
    </w:p>
    <w:p w14:paraId="73B7B174" w14:textId="77777777" w:rsidR="0085581F" w:rsidRPr="0085581F" w:rsidRDefault="0085581F" w:rsidP="0085581F">
      <w:pPr>
        <w:keepLines/>
        <w:tabs>
          <w:tab w:val="left" w:pos="425"/>
          <w:tab w:val="left" w:pos="1132"/>
        </w:tabs>
        <w:contextualSpacing/>
        <w:rPr>
          <w:rFonts w:asciiTheme="majorBidi" w:hAnsiTheme="majorBidi" w:cstheme="majorBidi"/>
          <w:sz w:val="21"/>
          <w:szCs w:val="21"/>
          <w:lang w:val="en-IL"/>
        </w:rPr>
      </w:pPr>
    </w:p>
    <w:p w14:paraId="691FB5A2" w14:textId="77777777" w:rsidR="0085581F" w:rsidRPr="0085581F" w:rsidRDefault="0085581F" w:rsidP="001B632E">
      <w:pPr>
        <w:contextualSpacing/>
        <w:rPr>
          <w:rFonts w:asciiTheme="majorBidi" w:hAnsiTheme="majorBidi" w:cstheme="majorBidi"/>
          <w:sz w:val="21"/>
          <w:szCs w:val="21"/>
        </w:rPr>
      </w:pPr>
      <w:bookmarkStart w:id="94" w:name="H4_תזרים_מזומנים"/>
      <w:r w:rsidRPr="0085581F">
        <w:rPr>
          <w:rFonts w:asciiTheme="majorBidi" w:hAnsiTheme="majorBidi" w:cstheme="majorBidi"/>
          <w:sz w:val="21"/>
          <w:szCs w:val="21"/>
        </w:rPr>
        <w:t>3.9</w:t>
      </w:r>
      <w:r w:rsidRPr="0085581F">
        <w:rPr>
          <w:rFonts w:asciiTheme="majorBidi" w:hAnsiTheme="majorBidi" w:cstheme="majorBidi"/>
          <w:sz w:val="21"/>
          <w:szCs w:val="21"/>
        </w:rPr>
        <w:tab/>
        <w:t>Cash flows</w:t>
      </w:r>
    </w:p>
    <w:bookmarkEnd w:id="94"/>
    <w:p w14:paraId="008809DB" w14:textId="77777777" w:rsidR="0085581F" w:rsidRPr="0085581F" w:rsidRDefault="0085581F" w:rsidP="0085581F">
      <w:pPr>
        <w:keepLines/>
        <w:tabs>
          <w:tab w:val="left" w:pos="425"/>
          <w:tab w:val="left" w:pos="1132"/>
        </w:tabs>
        <w:contextualSpacing/>
        <w:rPr>
          <w:rFonts w:asciiTheme="majorBidi" w:hAnsiTheme="majorBidi" w:cstheme="majorBidi"/>
          <w:sz w:val="21"/>
          <w:szCs w:val="21"/>
        </w:rPr>
      </w:pPr>
      <w:r w:rsidRPr="0085581F">
        <w:rPr>
          <w:rFonts w:asciiTheme="majorBidi" w:hAnsiTheme="majorBidi" w:cstheme="majorBidi"/>
          <w:sz w:val="21"/>
          <w:szCs w:val="21"/>
        </w:rPr>
        <w:t>FFO in the reporting period and in the quarter amounted to NIS 282 million and NIS 158 million, respectively, compared to NIS 339 million and NIS 104 million in the corresponding period last year.</w:t>
      </w:r>
    </w:p>
    <w:p w14:paraId="7DEECFA7" w14:textId="77777777" w:rsidR="0085581F" w:rsidRPr="0085581F" w:rsidRDefault="0085581F" w:rsidP="0085581F">
      <w:pPr>
        <w:keepLines/>
        <w:tabs>
          <w:tab w:val="left" w:pos="425"/>
          <w:tab w:val="left" w:pos="1132"/>
        </w:tabs>
        <w:contextualSpacing/>
        <w:rPr>
          <w:rFonts w:asciiTheme="majorBidi" w:hAnsiTheme="majorBidi" w:cstheme="majorBidi"/>
          <w:sz w:val="21"/>
          <w:szCs w:val="21"/>
        </w:rPr>
      </w:pPr>
    </w:p>
    <w:p w14:paraId="39D1E45B" w14:textId="77777777" w:rsidR="0085581F" w:rsidRPr="0085581F" w:rsidRDefault="0085581F" w:rsidP="0085581F">
      <w:pPr>
        <w:keepLines/>
        <w:tabs>
          <w:tab w:val="left" w:pos="425"/>
          <w:tab w:val="left" w:pos="1132"/>
        </w:tabs>
        <w:contextualSpacing/>
        <w:rPr>
          <w:rFonts w:asciiTheme="majorBidi" w:hAnsiTheme="majorBidi" w:cstheme="majorBidi"/>
          <w:sz w:val="21"/>
          <w:szCs w:val="21"/>
        </w:rPr>
      </w:pPr>
      <w:bookmarkStart w:id="95" w:name="_Hlk135572992"/>
      <w:r w:rsidRPr="0085581F">
        <w:rPr>
          <w:rFonts w:asciiTheme="majorBidi" w:hAnsiTheme="majorBidi" w:cstheme="majorBidi"/>
          <w:sz w:val="21"/>
        </w:rPr>
        <w:t>In the reporting period the Company and its subsidiaries financed their operations mainly by the issue of shares of the subsidiaries for proceeds of NIS 327 million, through disposal of investment real estate for a net amount of NIS 320 million, and disposal of financial assets in an amount of NIS 15 million. These cash flows were mainly used to repay loans and lines of credit in a net amount of NIS 404 million, to repay debentures in a net amount of NIS 127 million, for payment of dividends by Group companies in the amount of NIS 64 million, and for payment of interest to holders of hybrid debentures in an amount of NIS 67 million.</w:t>
      </w:r>
    </w:p>
    <w:p w14:paraId="443240F0" w14:textId="77777777" w:rsidR="0085581F" w:rsidRPr="0085581F" w:rsidRDefault="0085581F" w:rsidP="0085581F">
      <w:pPr>
        <w:keepLines/>
        <w:tabs>
          <w:tab w:val="left" w:pos="425"/>
          <w:tab w:val="left" w:pos="1132"/>
        </w:tabs>
        <w:contextualSpacing/>
        <w:rPr>
          <w:rFonts w:asciiTheme="majorBidi" w:hAnsiTheme="majorBidi" w:cstheme="majorBidi"/>
          <w:sz w:val="21"/>
          <w:szCs w:val="21"/>
        </w:rPr>
      </w:pPr>
      <w:r w:rsidRPr="0085581F">
        <w:rPr>
          <w:rFonts w:asciiTheme="majorBidi" w:hAnsiTheme="majorBidi" w:cstheme="majorBidi"/>
          <w:sz w:val="21"/>
        </w:rPr>
        <w:t>In the quarter, the Company and its subsidiaries financed their operations mainly by obtaining loans and credit lines in a net amount of NIS 16 million. These cash flows were mainly used to repay debentures in a net amount of NIS 464 million, for payment of dividends by Group companies in the amount of NIS 31 million, and for payment of interest to holders of hybrid debentures in an amount of NIS 15 million.</w:t>
      </w:r>
    </w:p>
    <w:p w14:paraId="56F214C6" w14:textId="77777777" w:rsidR="0085581F" w:rsidRPr="0085581F" w:rsidRDefault="0085581F" w:rsidP="0085581F">
      <w:pPr>
        <w:keepLines/>
        <w:tabs>
          <w:tab w:val="left" w:pos="425"/>
          <w:tab w:val="left" w:pos="1132"/>
        </w:tabs>
        <w:contextualSpacing/>
        <w:rPr>
          <w:rFonts w:asciiTheme="majorBidi" w:hAnsiTheme="majorBidi" w:cstheme="majorBidi"/>
          <w:sz w:val="21"/>
          <w:szCs w:val="21"/>
        </w:rPr>
      </w:pPr>
      <w:r w:rsidRPr="0085581F">
        <w:rPr>
          <w:rFonts w:asciiTheme="majorBidi" w:hAnsiTheme="majorBidi" w:cstheme="majorBidi"/>
          <w:sz w:val="21"/>
        </w:rPr>
        <w:t xml:space="preserve"> </w:t>
      </w:r>
    </w:p>
    <w:bookmarkEnd w:id="95"/>
    <w:p w14:paraId="2013C4C0" w14:textId="77777777" w:rsidR="0085581F" w:rsidRPr="0085581F" w:rsidRDefault="0085581F" w:rsidP="0085581F">
      <w:pPr>
        <w:keepLines/>
        <w:tabs>
          <w:tab w:val="left" w:pos="425"/>
          <w:tab w:val="left" w:pos="1132"/>
        </w:tabs>
        <w:contextualSpacing/>
        <w:rPr>
          <w:rFonts w:asciiTheme="majorBidi" w:hAnsiTheme="majorBidi" w:cstheme="majorBidi"/>
          <w:sz w:val="21"/>
          <w:szCs w:val="21"/>
          <w:rtl/>
        </w:rPr>
      </w:pPr>
    </w:p>
    <w:p w14:paraId="316FC4E7" w14:textId="77777777" w:rsidR="0085581F" w:rsidRPr="0085581F" w:rsidRDefault="0085581F" w:rsidP="004D7A72">
      <w:pPr>
        <w:keepNext/>
        <w:keepLines/>
        <w:numPr>
          <w:ilvl w:val="1"/>
          <w:numId w:val="40"/>
        </w:numPr>
        <w:tabs>
          <w:tab w:val="left" w:pos="425"/>
        </w:tabs>
        <w:ind w:hanging="1136"/>
        <w:contextualSpacing/>
        <w:outlineLvl w:val="3"/>
        <w:rPr>
          <w:rFonts w:asciiTheme="majorBidi" w:hAnsiTheme="majorBidi" w:cstheme="majorBidi"/>
          <w:sz w:val="21"/>
          <w:szCs w:val="21"/>
        </w:rPr>
      </w:pPr>
      <w:bookmarkStart w:id="96" w:name="H4_תוכנית_רכישה"/>
      <w:r w:rsidRPr="0085581F">
        <w:rPr>
          <w:rFonts w:asciiTheme="majorBidi" w:hAnsiTheme="majorBidi" w:cstheme="majorBidi"/>
          <w:sz w:val="21"/>
        </w:rPr>
        <w:lastRenderedPageBreak/>
        <w:t>Buyback plan</w:t>
      </w:r>
    </w:p>
    <w:bookmarkEnd w:id="96"/>
    <w:p w14:paraId="27E1B2E1" w14:textId="77777777" w:rsidR="0085581F" w:rsidRPr="0085581F" w:rsidRDefault="0085581F" w:rsidP="004D7A72">
      <w:pPr>
        <w:keepLines/>
        <w:numPr>
          <w:ilvl w:val="0"/>
          <w:numId w:val="45"/>
        </w:numPr>
        <w:tabs>
          <w:tab w:val="left" w:pos="-2"/>
        </w:tabs>
        <w:ind w:left="426" w:hanging="426"/>
        <w:contextualSpacing/>
        <w:rPr>
          <w:rFonts w:asciiTheme="majorBidi" w:hAnsiTheme="majorBidi" w:cstheme="majorBidi"/>
        </w:rPr>
      </w:pPr>
      <w:r w:rsidRPr="0085581F">
        <w:rPr>
          <w:rFonts w:asciiTheme="majorBidi" w:hAnsiTheme="majorBidi" w:cstheme="majorBidi"/>
          <w:sz w:val="21"/>
          <w:bdr w:val="none" w:sz="0" w:space="0" w:color="auto" w:frame="1"/>
        </w:rPr>
        <w:t>On March 28, 2024, the Company’s Board of Directors resolved to adopt a new plan for the buyback of debentures of the Company (in lieu of the earlier plan) in an amount of up to NIS 300 million par value, with regard to all outstanding debenture series, which is valid until March 31, 2025. Acquisitions are to be made under the plan from time to time, at the discretion of the Company’s management. This plan replaces the Company's earlier plan. Until the publication date of the report, the Company bought back debentures in the amount of NIS 136 million par value under this plan.</w:t>
      </w:r>
      <w:r w:rsidRPr="0085581F">
        <w:rPr>
          <w:rFonts w:asciiTheme="majorBidi" w:hAnsiTheme="majorBidi" w:cstheme="majorBidi"/>
        </w:rPr>
        <w:t xml:space="preserve"> </w:t>
      </w:r>
    </w:p>
    <w:p w14:paraId="189816DD" w14:textId="77777777" w:rsidR="0085581F" w:rsidRPr="0085581F" w:rsidRDefault="0085581F" w:rsidP="004D7A72">
      <w:pPr>
        <w:keepLines/>
        <w:numPr>
          <w:ilvl w:val="0"/>
          <w:numId w:val="45"/>
        </w:numPr>
        <w:tabs>
          <w:tab w:val="left" w:pos="-2"/>
        </w:tabs>
        <w:ind w:left="426" w:hanging="426"/>
        <w:contextualSpacing/>
        <w:rPr>
          <w:rFonts w:asciiTheme="majorBidi" w:hAnsiTheme="majorBidi" w:cstheme="majorBidi"/>
          <w:sz w:val="21"/>
          <w:szCs w:val="21"/>
          <w:bdr w:val="none" w:sz="0" w:space="0" w:color="auto" w:frame="1"/>
        </w:rPr>
      </w:pPr>
      <w:r w:rsidRPr="0085581F">
        <w:rPr>
          <w:rFonts w:asciiTheme="majorBidi" w:hAnsiTheme="majorBidi" w:cstheme="majorBidi"/>
          <w:sz w:val="21"/>
          <w:bdr w:val="none" w:sz="0" w:space="0" w:color="auto" w:frame="1"/>
        </w:rPr>
        <w:t>On May 27, 2024, the Company’s Board of Directors resolved to adopt a new plan for the buy-back of the Company shares in an amount of up to NIS 100 million par value, valid until May 31, 2025. Acquisitions are to be made under the plan from time to time, at the discretion of the Company’s management, subject to compliance with the distribution tests. As at date of publication of the Report, the Company has bought back 3.9 million shares under this plan at a cost of NIS 41 million.</w:t>
      </w:r>
    </w:p>
    <w:p w14:paraId="1DB1EDCF" w14:textId="77777777" w:rsidR="0085581F" w:rsidRPr="0085581F" w:rsidRDefault="0085581F" w:rsidP="0085581F">
      <w:pPr>
        <w:keepLines/>
        <w:tabs>
          <w:tab w:val="left" w:pos="425"/>
        </w:tabs>
        <w:contextualSpacing/>
        <w:rPr>
          <w:rFonts w:asciiTheme="majorBidi" w:hAnsiTheme="majorBidi" w:cstheme="majorBidi"/>
          <w:sz w:val="21"/>
          <w:szCs w:val="21"/>
        </w:rPr>
      </w:pPr>
    </w:p>
    <w:p w14:paraId="4DFCE9A7" w14:textId="77777777" w:rsidR="0085581F" w:rsidRPr="0085581F" w:rsidRDefault="0085581F" w:rsidP="004D7A72">
      <w:pPr>
        <w:keepNext/>
        <w:keepLines/>
        <w:pageBreakBefore/>
        <w:numPr>
          <w:ilvl w:val="0"/>
          <w:numId w:val="41"/>
        </w:numPr>
        <w:tabs>
          <w:tab w:val="left" w:pos="425"/>
        </w:tabs>
        <w:ind w:left="0" w:firstLine="0"/>
        <w:outlineLvl w:val="2"/>
        <w:rPr>
          <w:rFonts w:asciiTheme="majorBidi" w:hAnsiTheme="majorBidi" w:cstheme="majorBidi"/>
          <w:sz w:val="21"/>
          <w:szCs w:val="21"/>
        </w:rPr>
      </w:pPr>
      <w:bookmarkStart w:id="97" w:name="RG_MARKER_56578"/>
      <w:bookmarkStart w:id="98" w:name="RG_MARKER_56627"/>
      <w:bookmarkStart w:id="99" w:name="H3_דיווח_בדבר_חשיפה_לסיכוני_שוק_ודרכי_ני"/>
      <w:r w:rsidRPr="0085581F">
        <w:rPr>
          <w:rFonts w:asciiTheme="majorBidi" w:hAnsiTheme="majorBidi" w:cstheme="majorBidi"/>
          <w:sz w:val="21"/>
        </w:rPr>
        <w:lastRenderedPageBreak/>
        <w:t>Report concerning exposure to and management of market risks</w:t>
      </w:r>
      <w:bookmarkEnd w:id="97"/>
      <w:bookmarkEnd w:id="98"/>
    </w:p>
    <w:bookmarkEnd w:id="99"/>
    <w:p w14:paraId="7A9C8222" w14:textId="77777777" w:rsidR="0085581F" w:rsidRPr="0085581F" w:rsidRDefault="0085581F" w:rsidP="004D7A72">
      <w:pPr>
        <w:keepLines/>
        <w:numPr>
          <w:ilvl w:val="1"/>
          <w:numId w:val="41"/>
        </w:numPr>
        <w:tabs>
          <w:tab w:val="left" w:pos="425"/>
          <w:tab w:val="left" w:pos="707"/>
        </w:tabs>
        <w:ind w:left="426" w:hanging="426"/>
        <w:rPr>
          <w:rFonts w:asciiTheme="majorBidi" w:hAnsiTheme="majorBidi" w:cstheme="majorBidi"/>
          <w:sz w:val="21"/>
          <w:szCs w:val="21"/>
        </w:rPr>
      </w:pPr>
      <w:r w:rsidRPr="0085581F">
        <w:rPr>
          <w:rFonts w:asciiTheme="majorBidi" w:hAnsiTheme="majorBidi" w:cstheme="majorBidi"/>
          <w:sz w:val="21"/>
        </w:rPr>
        <w:t>The individuals responsible for the matter of reporting and market risk management in the Company are the CEO and CFO of the Company. The Group operates in a large number of countries, therefore it is exposed to currency risks resulting from the exposure to the fluctuations of exchange rates in different currencies, mainly to the Euro, USD and BRL. Since March 28, 2024, date of approval of the Company’s annual report for 2023, there have been no material changes in market risks and means of their management, other than as set out in section 4.4.</w:t>
      </w:r>
    </w:p>
    <w:p w14:paraId="613943B7" w14:textId="77777777" w:rsidR="0085581F" w:rsidRPr="0085581F" w:rsidRDefault="0085581F" w:rsidP="004D7A72">
      <w:pPr>
        <w:keepLines/>
        <w:numPr>
          <w:ilvl w:val="1"/>
          <w:numId w:val="41"/>
        </w:numPr>
        <w:tabs>
          <w:tab w:val="left" w:pos="425"/>
          <w:tab w:val="left" w:pos="707"/>
        </w:tabs>
        <w:ind w:left="426" w:hanging="426"/>
        <w:rPr>
          <w:rFonts w:asciiTheme="majorBidi" w:hAnsiTheme="majorBidi" w:cstheme="majorBidi"/>
          <w:sz w:val="21"/>
          <w:szCs w:val="21"/>
        </w:rPr>
      </w:pPr>
      <w:r w:rsidRPr="0085581F">
        <w:rPr>
          <w:rFonts w:asciiTheme="majorBidi" w:hAnsiTheme="majorBidi" w:cstheme="majorBidi"/>
          <w:sz w:val="21"/>
        </w:rPr>
        <w:t>In the period from January 1, 2024 through to the date of approval of the financial statements, the individuals responsible for reporting and managing the Company’s market risks have held and continue to hold regular discussions concerning exposure to market risks, including changes in exchange rates and interest rates. In addition, during the foregoing period, the Company’s Board of Directors discussed these risks and the Company’s policy regarding them at meetings in which, among other things, the financial statements as at December 31, 2023, March 31, 2024, and June 30, 2024, were approved.</w:t>
      </w:r>
    </w:p>
    <w:p w14:paraId="6CE7BCF0" w14:textId="521DF58D" w:rsidR="0085581F" w:rsidRPr="0085581F" w:rsidRDefault="0085581F" w:rsidP="004D7A72">
      <w:pPr>
        <w:keepLines/>
        <w:numPr>
          <w:ilvl w:val="1"/>
          <w:numId w:val="41"/>
        </w:numPr>
        <w:tabs>
          <w:tab w:val="left" w:pos="425"/>
          <w:tab w:val="left" w:pos="707"/>
        </w:tabs>
        <w:ind w:left="426" w:hanging="426"/>
        <w:rPr>
          <w:rFonts w:asciiTheme="majorBidi" w:hAnsiTheme="majorBidi" w:cstheme="majorBidi"/>
          <w:sz w:val="21"/>
          <w:szCs w:val="21"/>
        </w:rPr>
      </w:pPr>
      <w:r w:rsidRPr="0085581F">
        <w:rPr>
          <w:rFonts w:asciiTheme="majorBidi" w:hAnsiTheme="majorBidi" w:cstheme="majorBidi"/>
          <w:sz w:val="21"/>
        </w:rPr>
        <w:t>Changes in foreign currency exchange rates – as of January 1, 2024 through June 30, 2024, the NIS devalued against the USD, EUR and CAD by 3.6%, 0.2% and 0.1%, respectively, and appreciated against the BRL by 9.3%. With regard to the effect of exchange rate changes on the Company’s equity as at June 30, 2024, see Appendix A of the Directors' Report.</w:t>
      </w:r>
    </w:p>
    <w:p w14:paraId="11482DE3" w14:textId="7AA29A4A" w:rsidR="0085581F" w:rsidRPr="0085581F" w:rsidRDefault="0085581F" w:rsidP="001B632E">
      <w:pPr>
        <w:keepLines/>
        <w:tabs>
          <w:tab w:val="left" w:pos="425"/>
        </w:tabs>
        <w:ind w:left="426"/>
        <w:rPr>
          <w:rFonts w:asciiTheme="majorBidi" w:hAnsiTheme="majorBidi" w:cstheme="majorBidi"/>
          <w:sz w:val="21"/>
          <w:szCs w:val="21"/>
        </w:rPr>
      </w:pPr>
      <w:r w:rsidRPr="0085581F">
        <w:rPr>
          <w:rFonts w:asciiTheme="majorBidi" w:hAnsiTheme="majorBidi" w:cstheme="majorBidi"/>
          <w:sz w:val="21"/>
        </w:rPr>
        <w:t xml:space="preserve">Moreover, some of the Company’s liabilities are linked to CPI changes in Israel (mainly for its operations in Israel). As of January 1, 2024 through June 30, 2024, the CPI (known) rose by 1.9%. </w:t>
      </w:r>
    </w:p>
    <w:p w14:paraId="19152A1F" w14:textId="77777777" w:rsidR="0085581F" w:rsidRPr="0085581F" w:rsidRDefault="0085581F" w:rsidP="004D7A72">
      <w:pPr>
        <w:keepLines/>
        <w:numPr>
          <w:ilvl w:val="1"/>
          <w:numId w:val="41"/>
        </w:numPr>
        <w:tabs>
          <w:tab w:val="left" w:pos="425"/>
          <w:tab w:val="left" w:pos="707"/>
        </w:tabs>
        <w:ind w:left="426" w:hanging="426"/>
        <w:rPr>
          <w:rFonts w:asciiTheme="majorBidi" w:eastAsia="Calibri" w:hAnsiTheme="majorBidi" w:cstheme="majorBidi"/>
          <w:sz w:val="21"/>
          <w:szCs w:val="21"/>
          <w:bdr w:val="none" w:sz="0" w:space="0" w:color="auto" w:frame="1"/>
        </w:rPr>
      </w:pPr>
      <w:r w:rsidRPr="0085581F">
        <w:rPr>
          <w:rFonts w:asciiTheme="majorBidi" w:hAnsiTheme="majorBidi" w:cstheme="majorBidi"/>
          <w:sz w:val="21"/>
          <w:bdr w:val="none" w:sz="0" w:space="0" w:color="auto" w:frame="1"/>
        </w:rPr>
        <w:t xml:space="preserve">The Company usually maintains a high correlation between its property mix in the different functional currencies and the equity exposure to those currencies, by engaging in hedge transactions from time to time to manage the currency exposure. Furthermore, the Company’s management regularly reviews the currency linkage balance and responds according to exchange rate developments. </w:t>
      </w:r>
      <w:r w:rsidRPr="0085581F">
        <w:rPr>
          <w:rFonts w:asciiTheme="majorBidi" w:hAnsiTheme="majorBidi" w:cstheme="majorBidi"/>
          <w:sz w:val="21"/>
        </w:rPr>
        <w:t>Nonetheless, in view of the recent relatively high volatility of the exchange rates with respect to the NIS, that significantly increase its liquidity risks, the Company has acted in recent years to temporarily eliminate its derivatives portfolio and as a result exposure of equity to the EUR, USD and BRL has increased.</w:t>
      </w:r>
      <w:r w:rsidRPr="0085581F">
        <w:rPr>
          <w:rFonts w:asciiTheme="majorBidi" w:hAnsiTheme="majorBidi" w:cstheme="majorBidi"/>
          <w:sz w:val="21"/>
          <w:bdr w:val="none" w:sz="0" w:space="0" w:color="auto" w:frame="1"/>
        </w:rPr>
        <w:t xml:space="preserve"> </w:t>
      </w:r>
    </w:p>
    <w:p w14:paraId="5BFD93C5" w14:textId="77777777" w:rsidR="0085581F" w:rsidRPr="0085581F" w:rsidRDefault="0085581F" w:rsidP="00C64C16">
      <w:pPr>
        <w:keepLines/>
        <w:tabs>
          <w:tab w:val="left" w:pos="425"/>
          <w:tab w:val="left" w:pos="707"/>
        </w:tabs>
        <w:ind w:left="425"/>
        <w:rPr>
          <w:rFonts w:asciiTheme="majorBidi" w:hAnsiTheme="majorBidi" w:cstheme="majorBidi"/>
          <w:sz w:val="21"/>
          <w:szCs w:val="21"/>
        </w:rPr>
      </w:pPr>
      <w:r w:rsidRPr="0085581F">
        <w:rPr>
          <w:rFonts w:asciiTheme="majorBidi" w:hAnsiTheme="majorBidi" w:cstheme="majorBidi"/>
          <w:sz w:val="21"/>
        </w:rPr>
        <w:t>For further information concerning the Company's currency exposure to its operating currencies (EUR, USD, CAD, NIS and BRL) as at June 30, 2024, see the table attached as Appendix A to the Directors’ Report.</w:t>
      </w:r>
    </w:p>
    <w:p w14:paraId="2A1AC25C" w14:textId="77777777" w:rsidR="0085581F" w:rsidRPr="0085581F" w:rsidRDefault="0085581F" w:rsidP="0085581F">
      <w:pPr>
        <w:keepLines/>
        <w:tabs>
          <w:tab w:val="left" w:pos="425"/>
          <w:tab w:val="left" w:pos="707"/>
        </w:tabs>
        <w:rPr>
          <w:rFonts w:asciiTheme="majorBidi" w:hAnsiTheme="majorBidi" w:cstheme="majorBidi"/>
          <w:sz w:val="21"/>
          <w:szCs w:val="21"/>
          <w:rtl/>
        </w:rPr>
      </w:pPr>
    </w:p>
    <w:p w14:paraId="5F9F1C6F" w14:textId="77777777" w:rsidR="0085581F" w:rsidRPr="0085581F" w:rsidRDefault="0085581F" w:rsidP="004D7A72">
      <w:pPr>
        <w:keepNext/>
        <w:keepLines/>
        <w:numPr>
          <w:ilvl w:val="0"/>
          <w:numId w:val="41"/>
        </w:numPr>
        <w:tabs>
          <w:tab w:val="left" w:pos="425"/>
          <w:tab w:val="left" w:pos="707"/>
        </w:tabs>
        <w:ind w:left="0" w:firstLine="0"/>
        <w:outlineLvl w:val="2"/>
        <w:rPr>
          <w:rFonts w:asciiTheme="majorBidi" w:hAnsiTheme="majorBidi" w:cstheme="majorBidi"/>
          <w:sz w:val="21"/>
          <w:szCs w:val="21"/>
        </w:rPr>
      </w:pPr>
      <w:bookmarkStart w:id="100" w:name="H3_היבטי_ממשל_תאגידי____"/>
      <w:r w:rsidRPr="0085581F">
        <w:rPr>
          <w:rFonts w:asciiTheme="majorBidi" w:hAnsiTheme="majorBidi" w:cstheme="majorBidi"/>
          <w:sz w:val="21"/>
        </w:rPr>
        <w:t xml:space="preserve">Corporate Governance    </w:t>
      </w:r>
    </w:p>
    <w:p w14:paraId="7612C66E" w14:textId="77777777" w:rsidR="0085581F" w:rsidRPr="0085581F" w:rsidRDefault="0085581F" w:rsidP="0085581F">
      <w:pPr>
        <w:keepNext/>
        <w:keepLines/>
        <w:tabs>
          <w:tab w:val="left" w:pos="425"/>
          <w:tab w:val="left" w:pos="707"/>
        </w:tabs>
        <w:outlineLvl w:val="2"/>
        <w:rPr>
          <w:rFonts w:asciiTheme="majorBidi" w:hAnsiTheme="majorBidi" w:cstheme="majorBidi"/>
          <w:sz w:val="21"/>
          <w:szCs w:val="21"/>
          <w:u w:val="single"/>
        </w:rPr>
      </w:pPr>
      <w:bookmarkStart w:id="101" w:name="H4_תרומות_"/>
      <w:bookmarkStart w:id="102" w:name="_Hlk166773375"/>
      <w:bookmarkEnd w:id="100"/>
      <w:r w:rsidRPr="0085581F">
        <w:rPr>
          <w:rFonts w:asciiTheme="majorBidi" w:hAnsiTheme="majorBidi" w:cstheme="majorBidi"/>
          <w:sz w:val="21"/>
          <w:u w:val="single"/>
        </w:rPr>
        <w:t xml:space="preserve">Contributions </w:t>
      </w:r>
    </w:p>
    <w:bookmarkEnd w:id="101"/>
    <w:p w14:paraId="495370AF" w14:textId="77777777" w:rsidR="0085581F" w:rsidRPr="0085581F" w:rsidRDefault="0085581F" w:rsidP="0085581F">
      <w:pPr>
        <w:keepLines/>
        <w:tabs>
          <w:tab w:val="left" w:pos="425"/>
        </w:tabs>
        <w:rPr>
          <w:rFonts w:asciiTheme="majorBidi" w:hAnsiTheme="majorBidi" w:cstheme="majorBidi"/>
          <w:sz w:val="21"/>
          <w:szCs w:val="21"/>
        </w:rPr>
      </w:pPr>
      <w:r w:rsidRPr="0085581F">
        <w:rPr>
          <w:rFonts w:asciiTheme="majorBidi" w:hAnsiTheme="majorBidi" w:cstheme="majorBidi"/>
          <w:sz w:val="21"/>
        </w:rPr>
        <w:t xml:space="preserve">The Company considers itself committed to caring for and assisting the communities in which it operates, in accordance with the social investment policy approved by its management. In the reporting period, the Group made donations to a variety of projects in the fields of education, culture, welfare and health in the various countries in which the Company operates. </w:t>
      </w:r>
    </w:p>
    <w:p w14:paraId="2116B3D5" w14:textId="77777777" w:rsidR="0085581F" w:rsidRPr="0085581F" w:rsidRDefault="0085581F" w:rsidP="004D7A72">
      <w:pPr>
        <w:keepLines/>
        <w:numPr>
          <w:ilvl w:val="0"/>
          <w:numId w:val="46"/>
        </w:numPr>
        <w:ind w:left="709" w:hanging="425"/>
        <w:rPr>
          <w:rFonts w:asciiTheme="majorBidi" w:hAnsiTheme="majorBidi" w:cstheme="majorBidi"/>
          <w:sz w:val="21"/>
          <w:szCs w:val="21"/>
        </w:rPr>
      </w:pPr>
      <w:r w:rsidRPr="0085581F">
        <w:rPr>
          <w:rFonts w:asciiTheme="majorBidi" w:hAnsiTheme="majorBidi" w:cstheme="majorBidi"/>
          <w:sz w:val="21"/>
        </w:rPr>
        <w:t xml:space="preserve">Most of the Group's social investment during the reporting period was directed to education in favor of the "To the South" project which the Company founded eight years ago. As part of this project, the Company supports the education systems in the outlying towns and villages in the Negev, including support for elementary and high schools, kindergartens and day care centers.  </w:t>
      </w:r>
    </w:p>
    <w:p w14:paraId="7EFDA613" w14:textId="77777777" w:rsidR="0085581F" w:rsidRPr="0085581F" w:rsidRDefault="0085581F" w:rsidP="004D7A72">
      <w:pPr>
        <w:keepLines/>
        <w:numPr>
          <w:ilvl w:val="0"/>
          <w:numId w:val="46"/>
        </w:numPr>
        <w:ind w:left="709" w:hanging="425"/>
        <w:rPr>
          <w:rFonts w:asciiTheme="majorBidi" w:hAnsiTheme="majorBidi" w:cstheme="majorBidi"/>
          <w:sz w:val="21"/>
          <w:szCs w:val="21"/>
        </w:rPr>
      </w:pPr>
      <w:r w:rsidRPr="0085581F">
        <w:rPr>
          <w:rFonts w:asciiTheme="majorBidi" w:hAnsiTheme="majorBidi" w:cstheme="majorBidi"/>
          <w:sz w:val="21"/>
        </w:rPr>
        <w:t>Community involvement – the Group supports a variety of social organizations in the fields of welfare, health and culture, through financial donations and volunteer work by its employees.</w:t>
      </w:r>
    </w:p>
    <w:p w14:paraId="63D933D7" w14:textId="77777777" w:rsidR="0085581F" w:rsidRPr="0085581F" w:rsidRDefault="0085581F" w:rsidP="0085581F">
      <w:pPr>
        <w:keepLines/>
        <w:tabs>
          <w:tab w:val="left" w:pos="425"/>
          <w:tab w:val="left" w:pos="1133"/>
        </w:tabs>
        <w:rPr>
          <w:rFonts w:asciiTheme="majorBidi" w:hAnsiTheme="majorBidi" w:cstheme="majorBidi"/>
          <w:sz w:val="21"/>
          <w:szCs w:val="21"/>
        </w:rPr>
      </w:pPr>
      <w:r w:rsidRPr="0085581F">
        <w:rPr>
          <w:rFonts w:asciiTheme="majorBidi" w:hAnsiTheme="majorBidi" w:cstheme="majorBidi"/>
          <w:sz w:val="21"/>
        </w:rPr>
        <w:t>The Group’s total donations in the reporting period amounted to NIS 2.4 million.</w:t>
      </w:r>
    </w:p>
    <w:p w14:paraId="1EA6B293" w14:textId="1E0EFBE5" w:rsidR="00C64C16" w:rsidRDefault="00C64C16">
      <w:pPr>
        <w:spacing w:before="0" w:after="200"/>
        <w:jc w:val="left"/>
        <w:rPr>
          <w:rFonts w:asciiTheme="majorBidi" w:hAnsiTheme="majorBidi" w:cstheme="majorBidi"/>
          <w:sz w:val="21"/>
          <w:szCs w:val="21"/>
        </w:rPr>
      </w:pPr>
      <w:r>
        <w:rPr>
          <w:rFonts w:asciiTheme="majorBidi" w:hAnsiTheme="majorBidi" w:cstheme="majorBidi"/>
          <w:sz w:val="21"/>
          <w:szCs w:val="21"/>
        </w:rPr>
        <w:br w:type="page"/>
      </w:r>
    </w:p>
    <w:p w14:paraId="7C1D615A" w14:textId="77777777" w:rsidR="0085581F" w:rsidRPr="0085581F" w:rsidRDefault="0085581F" w:rsidP="004D7A72">
      <w:pPr>
        <w:keepNext/>
        <w:keepLines/>
        <w:numPr>
          <w:ilvl w:val="0"/>
          <w:numId w:val="41"/>
        </w:numPr>
        <w:tabs>
          <w:tab w:val="left" w:pos="425"/>
          <w:tab w:val="left" w:pos="707"/>
        </w:tabs>
        <w:ind w:left="0" w:firstLine="0"/>
        <w:outlineLvl w:val="2"/>
        <w:rPr>
          <w:rFonts w:asciiTheme="majorBidi" w:hAnsiTheme="majorBidi" w:cstheme="majorBidi"/>
          <w:sz w:val="21"/>
          <w:szCs w:val="21"/>
        </w:rPr>
      </w:pPr>
      <w:bookmarkStart w:id="103" w:name="H3_גילוי_בקשר_עם_הדיווח_הפיננסי_של_התאגי"/>
      <w:bookmarkEnd w:id="102"/>
      <w:r w:rsidRPr="0085581F">
        <w:rPr>
          <w:rFonts w:asciiTheme="majorBidi" w:hAnsiTheme="majorBidi" w:cstheme="majorBidi"/>
          <w:sz w:val="21"/>
        </w:rPr>
        <w:lastRenderedPageBreak/>
        <w:t xml:space="preserve">Disclosure concerning the Company’s financial reporting   </w:t>
      </w:r>
    </w:p>
    <w:p w14:paraId="0E2CC37E" w14:textId="77777777" w:rsidR="0085581F" w:rsidRPr="0085581F" w:rsidRDefault="0085581F" w:rsidP="0085581F">
      <w:pPr>
        <w:keepNext/>
        <w:keepLines/>
        <w:tabs>
          <w:tab w:val="left" w:pos="425"/>
          <w:tab w:val="left" w:pos="707"/>
        </w:tabs>
        <w:outlineLvl w:val="2"/>
        <w:rPr>
          <w:rFonts w:asciiTheme="majorBidi" w:hAnsiTheme="majorBidi" w:cstheme="majorBidi"/>
          <w:sz w:val="21"/>
          <w:szCs w:val="21"/>
          <w:u w:val="single"/>
        </w:rPr>
      </w:pPr>
      <w:bookmarkStart w:id="104" w:name="H4_אירועים_לאחר_תאריך_הדיווח"/>
      <w:bookmarkEnd w:id="103"/>
      <w:r w:rsidRPr="0085581F">
        <w:rPr>
          <w:rFonts w:asciiTheme="majorBidi" w:hAnsiTheme="majorBidi" w:cstheme="majorBidi"/>
          <w:sz w:val="21"/>
          <w:u w:val="single"/>
        </w:rPr>
        <w:t>Subsequent events</w:t>
      </w:r>
    </w:p>
    <w:p w14:paraId="66546DBF" w14:textId="1C7DDD3A" w:rsidR="0085581F" w:rsidRPr="0085581F" w:rsidRDefault="0085581F" w:rsidP="004D7A72">
      <w:pPr>
        <w:keepLines/>
        <w:numPr>
          <w:ilvl w:val="0"/>
          <w:numId w:val="47"/>
        </w:numPr>
        <w:tabs>
          <w:tab w:val="left" w:pos="425"/>
        </w:tabs>
        <w:ind w:left="709" w:hanging="425"/>
        <w:rPr>
          <w:rFonts w:asciiTheme="majorBidi" w:hAnsiTheme="majorBidi" w:cstheme="majorBidi"/>
          <w:sz w:val="21"/>
          <w:szCs w:val="21"/>
        </w:rPr>
      </w:pPr>
      <w:bookmarkStart w:id="105" w:name="_Hlk103092142"/>
      <w:bookmarkEnd w:id="104"/>
      <w:r w:rsidRPr="0085581F">
        <w:rPr>
          <w:rFonts w:asciiTheme="majorBidi" w:hAnsiTheme="majorBidi" w:cstheme="majorBidi"/>
          <w:sz w:val="21"/>
        </w:rPr>
        <w:t xml:space="preserve">For information concerning the Company's debt raising by way of the expansion of debentures (Series N) in an amount of NIS 200 million par value, see Note </w:t>
      </w:r>
      <w:r w:rsidR="00C56200">
        <w:rPr>
          <w:rFonts w:asciiTheme="majorBidi" w:hAnsiTheme="majorBidi" w:cstheme="majorBidi"/>
          <w:sz w:val="21"/>
        </w:rPr>
        <w:t>5E</w:t>
      </w:r>
      <w:r w:rsidRPr="0085581F">
        <w:rPr>
          <w:rFonts w:asciiTheme="majorBidi" w:hAnsiTheme="majorBidi" w:cstheme="majorBidi"/>
          <w:sz w:val="21"/>
        </w:rPr>
        <w:t xml:space="preserve"> to the financial statements.</w:t>
      </w:r>
    </w:p>
    <w:p w14:paraId="50032256" w14:textId="0DE0E3A5" w:rsidR="0085581F" w:rsidRPr="0085581F" w:rsidRDefault="0085581F" w:rsidP="004D7A72">
      <w:pPr>
        <w:keepLines/>
        <w:numPr>
          <w:ilvl w:val="0"/>
          <w:numId w:val="47"/>
        </w:numPr>
        <w:tabs>
          <w:tab w:val="left" w:pos="425"/>
        </w:tabs>
        <w:ind w:left="709" w:hanging="425"/>
        <w:rPr>
          <w:rFonts w:asciiTheme="majorBidi" w:hAnsiTheme="majorBidi" w:cstheme="majorBidi"/>
          <w:sz w:val="21"/>
          <w:szCs w:val="21"/>
        </w:rPr>
      </w:pPr>
      <w:r w:rsidRPr="0085581F">
        <w:rPr>
          <w:rFonts w:asciiTheme="majorBidi" w:hAnsiTheme="majorBidi" w:cstheme="majorBidi"/>
          <w:sz w:val="21"/>
        </w:rPr>
        <w:t xml:space="preserve">For information concerning the Company's issue of debentures (Series T) secured by a second degree lien on a real estate property in Poland, in an amount of NIS 645 million par value, see Note </w:t>
      </w:r>
      <w:r w:rsidR="00C56200">
        <w:rPr>
          <w:rFonts w:asciiTheme="majorBidi" w:hAnsiTheme="majorBidi" w:cstheme="majorBidi"/>
          <w:sz w:val="21"/>
        </w:rPr>
        <w:t>5D</w:t>
      </w:r>
      <w:r w:rsidRPr="0085581F">
        <w:rPr>
          <w:rFonts w:asciiTheme="majorBidi" w:hAnsiTheme="majorBidi" w:cstheme="majorBidi"/>
          <w:sz w:val="21"/>
        </w:rPr>
        <w:t xml:space="preserve"> to the financial statements.</w:t>
      </w:r>
    </w:p>
    <w:p w14:paraId="234910F0" w14:textId="25315E10" w:rsidR="0085581F" w:rsidRPr="0085581F" w:rsidRDefault="0085581F" w:rsidP="004D7A72">
      <w:pPr>
        <w:keepLines/>
        <w:numPr>
          <w:ilvl w:val="0"/>
          <w:numId w:val="47"/>
        </w:numPr>
        <w:tabs>
          <w:tab w:val="left" w:pos="425"/>
        </w:tabs>
        <w:ind w:left="709" w:hanging="425"/>
        <w:rPr>
          <w:rFonts w:asciiTheme="majorBidi" w:hAnsiTheme="majorBidi" w:cstheme="majorBidi"/>
          <w:sz w:val="21"/>
          <w:szCs w:val="21"/>
        </w:rPr>
      </w:pPr>
      <w:r w:rsidRPr="0085581F">
        <w:rPr>
          <w:rFonts w:asciiTheme="majorBidi" w:hAnsiTheme="majorBidi" w:cstheme="majorBidi"/>
          <w:sz w:val="21"/>
        </w:rPr>
        <w:t xml:space="preserve">For further information regarding the buyback of the Company’s debentures for an amount of NIS 59.4 million par value, see Note </w:t>
      </w:r>
      <w:r w:rsidR="00C56200">
        <w:rPr>
          <w:rFonts w:asciiTheme="majorBidi" w:hAnsiTheme="majorBidi" w:cstheme="majorBidi"/>
          <w:sz w:val="21"/>
        </w:rPr>
        <w:t>5A</w:t>
      </w:r>
      <w:r w:rsidRPr="0085581F">
        <w:rPr>
          <w:rFonts w:asciiTheme="majorBidi" w:hAnsiTheme="majorBidi" w:cstheme="majorBidi"/>
          <w:sz w:val="21"/>
        </w:rPr>
        <w:t xml:space="preserve"> to the financial statements.</w:t>
      </w:r>
    </w:p>
    <w:p w14:paraId="451B9CE8" w14:textId="7AF701A8" w:rsidR="0085581F" w:rsidRPr="0085581F" w:rsidRDefault="0085581F" w:rsidP="004D7A72">
      <w:pPr>
        <w:keepLines/>
        <w:numPr>
          <w:ilvl w:val="0"/>
          <w:numId w:val="47"/>
        </w:numPr>
        <w:tabs>
          <w:tab w:val="left" w:pos="425"/>
        </w:tabs>
        <w:ind w:left="709" w:hanging="425"/>
        <w:rPr>
          <w:rFonts w:asciiTheme="majorBidi" w:hAnsiTheme="majorBidi" w:cstheme="majorBidi"/>
          <w:sz w:val="21"/>
          <w:szCs w:val="21"/>
        </w:rPr>
      </w:pPr>
      <w:r w:rsidRPr="0085581F">
        <w:rPr>
          <w:rFonts w:asciiTheme="majorBidi" w:hAnsiTheme="majorBidi" w:cstheme="majorBidi"/>
          <w:sz w:val="21"/>
        </w:rPr>
        <w:t xml:space="preserve">For further information regarding the buyback of the Company’s debentures for an amount of NIS 2.8 million par value, see Note </w:t>
      </w:r>
      <w:r w:rsidR="00C56200">
        <w:rPr>
          <w:rFonts w:asciiTheme="majorBidi" w:hAnsiTheme="majorBidi" w:cstheme="majorBidi"/>
          <w:sz w:val="21"/>
        </w:rPr>
        <w:t>5B</w:t>
      </w:r>
      <w:r w:rsidR="00DE30FE">
        <w:rPr>
          <w:rFonts w:asciiTheme="majorBidi" w:hAnsiTheme="majorBidi" w:cstheme="majorBidi"/>
          <w:sz w:val="21"/>
        </w:rPr>
        <w:t xml:space="preserve"> </w:t>
      </w:r>
      <w:r w:rsidRPr="0085581F">
        <w:rPr>
          <w:rFonts w:asciiTheme="majorBidi" w:hAnsiTheme="majorBidi" w:cstheme="majorBidi"/>
          <w:sz w:val="21"/>
        </w:rPr>
        <w:t>to the financial statements.</w:t>
      </w:r>
    </w:p>
    <w:bookmarkEnd w:id="105"/>
    <w:p w14:paraId="4F5F4254" w14:textId="77777777" w:rsidR="0085581F" w:rsidRPr="0085581F" w:rsidRDefault="0085581F" w:rsidP="0085581F">
      <w:pPr>
        <w:keepLines/>
        <w:tabs>
          <w:tab w:val="left" w:pos="425"/>
        </w:tabs>
        <w:rPr>
          <w:rFonts w:asciiTheme="majorBidi" w:hAnsiTheme="majorBidi" w:cstheme="majorBidi"/>
          <w:sz w:val="21"/>
          <w:szCs w:val="21"/>
        </w:rPr>
      </w:pPr>
    </w:p>
    <w:p w14:paraId="14806663" w14:textId="77777777" w:rsidR="0085581F" w:rsidRPr="0085581F" w:rsidRDefault="0085581F" w:rsidP="004D7A72">
      <w:pPr>
        <w:keepNext/>
        <w:keepLines/>
        <w:numPr>
          <w:ilvl w:val="0"/>
          <w:numId w:val="41"/>
        </w:numPr>
        <w:tabs>
          <w:tab w:val="left" w:pos="425"/>
          <w:tab w:val="left" w:pos="707"/>
        </w:tabs>
        <w:ind w:left="0" w:firstLine="0"/>
        <w:outlineLvl w:val="2"/>
        <w:rPr>
          <w:rFonts w:asciiTheme="majorBidi" w:hAnsiTheme="majorBidi" w:cstheme="majorBidi"/>
          <w:sz w:val="21"/>
          <w:szCs w:val="21"/>
        </w:rPr>
      </w:pPr>
      <w:bookmarkStart w:id="106" w:name="H3_פרטים_אודות_ההתחייבויות_של_התאגיד_המו"/>
      <w:r w:rsidRPr="0085581F">
        <w:rPr>
          <w:rFonts w:asciiTheme="majorBidi" w:hAnsiTheme="majorBidi" w:cstheme="majorBidi"/>
          <w:sz w:val="21"/>
        </w:rPr>
        <w:t xml:space="preserve">Details Concerning the Company’s Publicly-Held Liabilities   </w:t>
      </w:r>
    </w:p>
    <w:p w14:paraId="1CE49D96" w14:textId="77777777" w:rsidR="0085581F" w:rsidRPr="0085581F" w:rsidRDefault="0085581F" w:rsidP="004D7A72">
      <w:pPr>
        <w:keepNext/>
        <w:keepLines/>
        <w:numPr>
          <w:ilvl w:val="0"/>
          <w:numId w:val="48"/>
        </w:numPr>
        <w:tabs>
          <w:tab w:val="left" w:pos="425"/>
        </w:tabs>
        <w:ind w:left="567" w:hanging="425"/>
        <w:outlineLvl w:val="3"/>
        <w:rPr>
          <w:rFonts w:asciiTheme="majorBidi" w:eastAsia="Times New Roman" w:hAnsiTheme="majorBidi" w:cstheme="majorBidi"/>
          <w:sz w:val="21"/>
          <w:szCs w:val="21"/>
        </w:rPr>
      </w:pPr>
      <w:bookmarkStart w:id="107" w:name="H4_בטוחות_לאגרות_החוב_סדרה_טו_"/>
      <w:bookmarkEnd w:id="106"/>
      <w:r w:rsidRPr="0085581F">
        <w:rPr>
          <w:rFonts w:asciiTheme="majorBidi" w:hAnsiTheme="majorBidi" w:cstheme="majorBidi"/>
          <w:sz w:val="21"/>
        </w:rPr>
        <w:t xml:space="preserve">Collateral for debentures (Series O) </w:t>
      </w:r>
    </w:p>
    <w:p w14:paraId="097E511F" w14:textId="021E1EE7" w:rsidR="0085581F" w:rsidRPr="0085581F" w:rsidRDefault="0085581F" w:rsidP="0085581F">
      <w:pPr>
        <w:rPr>
          <w:rFonts w:asciiTheme="majorBidi" w:hAnsiTheme="majorBidi" w:cstheme="majorBidi"/>
          <w:sz w:val="21"/>
          <w:szCs w:val="21"/>
        </w:rPr>
      </w:pPr>
      <w:bookmarkStart w:id="108" w:name="H4_בטוחות_לאגרות_החוב_סדרה_טז_"/>
      <w:bookmarkStart w:id="109" w:name="_Hlk87375292"/>
      <w:bookmarkEnd w:id="107"/>
      <w:r w:rsidRPr="0085581F">
        <w:rPr>
          <w:rFonts w:asciiTheme="majorBidi" w:hAnsiTheme="majorBidi" w:cstheme="majorBidi"/>
          <w:sz w:val="21"/>
        </w:rPr>
        <w:t>The Company’s commitments pursuant to the debentures (Series O) are secured by a first fixed charge on the rights relating to land, as set out in section 4.6 of the Company’s shelf offering memorandum published on October 22, 2020 (Ref.</w:t>
      </w:r>
      <w:r w:rsidR="00C64C16">
        <w:rPr>
          <w:rFonts w:asciiTheme="majorBidi" w:hAnsiTheme="majorBidi" w:cstheme="majorBidi"/>
          <w:sz w:val="21"/>
        </w:rPr>
        <w:t xml:space="preserve"> </w:t>
      </w:r>
      <w:r w:rsidRPr="0085581F">
        <w:rPr>
          <w:rFonts w:asciiTheme="majorBidi" w:hAnsiTheme="majorBidi" w:cstheme="majorBidi"/>
          <w:sz w:val="21"/>
        </w:rPr>
        <w:t>No.: 2020-01-106162), where the information contained therein is hereby presented by way of reference. The value of the foregoing pledged properties as at June 30, 2024 is NIS 630 million.</w:t>
      </w:r>
    </w:p>
    <w:p w14:paraId="4DFACCA1" w14:textId="77777777" w:rsidR="0085581F" w:rsidRPr="0085581F" w:rsidRDefault="0085581F" w:rsidP="0085581F">
      <w:pPr>
        <w:rPr>
          <w:rFonts w:asciiTheme="majorBidi" w:hAnsiTheme="majorBidi" w:cstheme="majorBidi"/>
          <w:sz w:val="21"/>
          <w:szCs w:val="21"/>
        </w:rPr>
      </w:pPr>
      <w:r w:rsidRPr="0085581F">
        <w:rPr>
          <w:rFonts w:asciiTheme="majorBidi" w:hAnsiTheme="majorBidi" w:cstheme="majorBidi"/>
          <w:sz w:val="21"/>
        </w:rPr>
        <w:t xml:space="preserve">For further information concerning the terms of the debentures and with regard to the foregoing pledged properties, as required pursuant to the Securities Regulations relating to investment real estate, see Note 3C19 to the financial statements of the Company as at December 31, 2023, and the chapter on the update of the description of the Company’s business. </w:t>
      </w:r>
    </w:p>
    <w:p w14:paraId="29892970" w14:textId="77777777" w:rsidR="0085581F" w:rsidRPr="0085581F" w:rsidRDefault="0085581F" w:rsidP="004D7A72">
      <w:pPr>
        <w:keepNext/>
        <w:keepLines/>
        <w:numPr>
          <w:ilvl w:val="0"/>
          <w:numId w:val="48"/>
        </w:numPr>
        <w:tabs>
          <w:tab w:val="left" w:pos="425"/>
        </w:tabs>
        <w:ind w:left="567" w:hanging="425"/>
        <w:outlineLvl w:val="3"/>
        <w:rPr>
          <w:rFonts w:asciiTheme="majorBidi" w:hAnsiTheme="majorBidi" w:cstheme="majorBidi"/>
          <w:sz w:val="21"/>
        </w:rPr>
      </w:pPr>
      <w:r w:rsidRPr="0085581F">
        <w:rPr>
          <w:rFonts w:asciiTheme="majorBidi" w:hAnsiTheme="majorBidi" w:cstheme="majorBidi"/>
          <w:sz w:val="21"/>
        </w:rPr>
        <w:t xml:space="preserve">Collateral for debentures (Series P) </w:t>
      </w:r>
    </w:p>
    <w:bookmarkEnd w:id="108"/>
    <w:p w14:paraId="0E076536" w14:textId="77777777" w:rsidR="0085581F" w:rsidRPr="0085581F" w:rsidRDefault="0085581F" w:rsidP="0085581F">
      <w:pPr>
        <w:rPr>
          <w:rFonts w:asciiTheme="majorBidi" w:hAnsiTheme="majorBidi" w:cstheme="majorBidi"/>
          <w:sz w:val="21"/>
          <w:szCs w:val="21"/>
        </w:rPr>
      </w:pPr>
      <w:r w:rsidRPr="0085581F">
        <w:rPr>
          <w:rFonts w:asciiTheme="majorBidi" w:hAnsiTheme="majorBidi" w:cstheme="majorBidi"/>
          <w:sz w:val="21"/>
        </w:rPr>
        <w:t xml:space="preserve">The Company's obligations pursuant to Debentures (Series P) were secured by a fixed first degree charge on two pledged share accounts (G Europe shares) and the rights of encumbered companies in the pledged share accounts, which as at reporting date hold 232 million G Europe shares. As G Europe has been delisted from trading, in the reporting period the Company acted together with the trustee for the debentures to convert G Europe shares to certificate shares (instead of book entry shares issued through Euroclear) and to register a new lien on G Europe shares as certificate shares by releasing encumbered surplus shares (pursuant to the provisions of the deed of trust) and as at reporting date there are 146 million G Europe shares pledged in favor of holders of Debentures (Series P). </w:t>
      </w:r>
    </w:p>
    <w:p w14:paraId="4CC292F2" w14:textId="6BE941B1" w:rsidR="0085581F" w:rsidRPr="0085581F" w:rsidRDefault="0085581F" w:rsidP="0085581F">
      <w:pPr>
        <w:rPr>
          <w:rFonts w:asciiTheme="majorBidi" w:hAnsiTheme="majorBidi" w:cstheme="majorBidi"/>
          <w:sz w:val="21"/>
          <w:szCs w:val="21"/>
        </w:rPr>
      </w:pPr>
      <w:r w:rsidRPr="0085581F">
        <w:rPr>
          <w:rFonts w:asciiTheme="majorBidi" w:hAnsiTheme="majorBidi" w:cstheme="majorBidi"/>
          <w:sz w:val="21"/>
        </w:rPr>
        <w:t xml:space="preserve">For further information concerning the terms of Debentures (Series P) see Note 2C19 to the Company's financial statements as at December 31, 2023. For further information concerning G Europe, see G Europe’s financial statements as at June 30, 2024 as published in an immediate report issued by the Company on </w:t>
      </w:r>
      <w:r w:rsidR="001B632E">
        <w:rPr>
          <w:rFonts w:asciiTheme="majorBidi" w:hAnsiTheme="majorBidi" w:cstheme="majorBidi"/>
          <w:sz w:val="21"/>
        </w:rPr>
        <w:t>August 11</w:t>
      </w:r>
      <w:r w:rsidRPr="0085581F">
        <w:rPr>
          <w:rFonts w:asciiTheme="majorBidi" w:hAnsiTheme="majorBidi" w:cstheme="majorBidi"/>
          <w:sz w:val="21"/>
        </w:rPr>
        <w:t>, 2024 (Ref. No.: 2024-01-</w:t>
      </w:r>
      <w:r w:rsidR="001B632E">
        <w:rPr>
          <w:rFonts w:asciiTheme="majorBidi" w:hAnsiTheme="majorBidi" w:cstheme="majorBidi"/>
          <w:sz w:val="21"/>
        </w:rPr>
        <w:t>085567</w:t>
      </w:r>
      <w:r w:rsidRPr="0085581F">
        <w:rPr>
          <w:rFonts w:asciiTheme="majorBidi" w:hAnsiTheme="majorBidi" w:cstheme="majorBidi"/>
          <w:sz w:val="21"/>
        </w:rPr>
        <w:t>), where the information contained therein is hereby presented by way of reference.</w:t>
      </w:r>
    </w:p>
    <w:p w14:paraId="5F8C2EF2" w14:textId="77777777" w:rsidR="0085581F" w:rsidRPr="0085581F" w:rsidRDefault="0085581F" w:rsidP="004D7A72">
      <w:pPr>
        <w:keepNext/>
        <w:keepLines/>
        <w:numPr>
          <w:ilvl w:val="0"/>
          <w:numId w:val="48"/>
        </w:numPr>
        <w:tabs>
          <w:tab w:val="left" w:pos="425"/>
        </w:tabs>
        <w:ind w:left="567" w:hanging="425"/>
        <w:outlineLvl w:val="3"/>
        <w:rPr>
          <w:rFonts w:asciiTheme="majorBidi" w:hAnsiTheme="majorBidi" w:cstheme="majorBidi"/>
          <w:sz w:val="21"/>
        </w:rPr>
      </w:pPr>
      <w:r w:rsidRPr="0085581F">
        <w:rPr>
          <w:rFonts w:asciiTheme="majorBidi" w:hAnsiTheme="majorBidi" w:cstheme="majorBidi"/>
          <w:sz w:val="21"/>
        </w:rPr>
        <w:t xml:space="preserve">Collateral for debentures (Series R) </w:t>
      </w:r>
    </w:p>
    <w:p w14:paraId="1FF1DC5F" w14:textId="28A1B56A" w:rsidR="0085581F" w:rsidRPr="0085581F" w:rsidRDefault="0085581F" w:rsidP="0085581F">
      <w:pPr>
        <w:tabs>
          <w:tab w:val="left" w:pos="425"/>
        </w:tabs>
        <w:rPr>
          <w:rFonts w:asciiTheme="majorBidi" w:eastAsia="Times New Roman" w:hAnsiTheme="majorBidi" w:cstheme="majorBidi"/>
          <w:sz w:val="21"/>
          <w:szCs w:val="21"/>
        </w:rPr>
      </w:pPr>
      <w:r w:rsidRPr="0085581F">
        <w:rPr>
          <w:rFonts w:asciiTheme="majorBidi" w:hAnsiTheme="majorBidi" w:cstheme="majorBidi"/>
          <w:sz w:val="21"/>
        </w:rPr>
        <w:t>The Company's obligations under Debentures (Series R) issued under a</w:t>
      </w:r>
      <w:r w:rsidR="00E676D2">
        <w:rPr>
          <w:rFonts w:asciiTheme="majorBidi" w:hAnsiTheme="majorBidi" w:cstheme="majorBidi"/>
          <w:sz w:val="21"/>
        </w:rPr>
        <w:t>n</w:t>
      </w:r>
      <w:r w:rsidRPr="0085581F">
        <w:rPr>
          <w:rFonts w:asciiTheme="majorBidi" w:hAnsiTheme="majorBidi" w:cstheme="majorBidi"/>
          <w:sz w:val="21"/>
        </w:rPr>
        <w:t xml:space="preserve"> </w:t>
      </w:r>
      <w:r w:rsidR="00E676D2">
        <w:rPr>
          <w:rFonts w:asciiTheme="majorBidi" w:hAnsiTheme="majorBidi" w:cstheme="majorBidi"/>
          <w:sz w:val="21"/>
        </w:rPr>
        <w:t>IPO</w:t>
      </w:r>
      <w:r w:rsidRPr="0085581F">
        <w:rPr>
          <w:rFonts w:asciiTheme="majorBidi" w:hAnsiTheme="majorBidi" w:cstheme="majorBidi"/>
          <w:sz w:val="21"/>
        </w:rPr>
        <w:t xml:space="preserve"> in the reporting period, are secured by a fixed first degree lien on all of the Company’s holdings in GHI Alpha Portfolio LLC (“G Alpha”), which are held by the Company through Gazit Horizons Inc., a wholly-owned subsidiary of the Company (indirect) and related rights, as well as a single lien on the bank account established and held by G Alpha. Furthermore, G Alpha provided a guarantee for the Company’s liabilities under the deed of trust of Debentures (Series R). The information therein is noted here by way of reference.  G Alpha is the owner of six income producing properties in the United States, which at the present time are valued at USD 279.8 million. For further information see sections 4.5 and 4.6 and Appendix E to the Company’s shelf offering memorandum published on February 5, 2024 (Ref. No.: 2024-01-041019).</w:t>
      </w:r>
    </w:p>
    <w:p w14:paraId="1C9FF5EA" w14:textId="18D8B0AC" w:rsidR="0085581F" w:rsidRPr="0085581F" w:rsidRDefault="0085581F" w:rsidP="0085581F">
      <w:pPr>
        <w:tabs>
          <w:tab w:val="left" w:pos="425"/>
          <w:tab w:val="left" w:pos="1134"/>
        </w:tabs>
        <w:rPr>
          <w:rFonts w:asciiTheme="majorBidi" w:eastAsia="Times New Roman" w:hAnsiTheme="majorBidi" w:cstheme="majorBidi"/>
          <w:sz w:val="21"/>
          <w:szCs w:val="21"/>
        </w:rPr>
      </w:pPr>
      <w:r w:rsidRPr="0085581F">
        <w:rPr>
          <w:rFonts w:asciiTheme="majorBidi" w:hAnsiTheme="majorBidi" w:cstheme="majorBidi"/>
          <w:sz w:val="21"/>
        </w:rPr>
        <w:t xml:space="preserve">For further information concerning the terms of Debentures (Series R) see Note 20C19 to the Company's financial statements as at December 31, 2023. For further information regarding the foregoing pledged properties, as required pursuant to the regulations of the Israel Securities Authority regarding investment property operations, </w:t>
      </w:r>
      <w:r w:rsidR="006E4BB6" w:rsidRPr="0085581F">
        <w:rPr>
          <w:rFonts w:asciiTheme="majorBidi" w:hAnsiTheme="majorBidi" w:cstheme="majorBidi"/>
          <w:sz w:val="21"/>
        </w:rPr>
        <w:t xml:space="preserve">see </w:t>
      </w:r>
      <w:r w:rsidRPr="0085581F">
        <w:rPr>
          <w:rFonts w:asciiTheme="majorBidi" w:hAnsiTheme="majorBidi" w:cstheme="majorBidi"/>
          <w:sz w:val="21"/>
        </w:rPr>
        <w:t xml:space="preserve">chapter on the update of the description of the Company’s business. </w:t>
      </w:r>
    </w:p>
    <w:p w14:paraId="3FA9DDD6" w14:textId="77777777" w:rsidR="0085581F" w:rsidRPr="0085581F" w:rsidRDefault="0085581F" w:rsidP="004D7A72">
      <w:pPr>
        <w:keepNext/>
        <w:keepLines/>
        <w:numPr>
          <w:ilvl w:val="0"/>
          <w:numId w:val="48"/>
        </w:numPr>
        <w:tabs>
          <w:tab w:val="left" w:pos="425"/>
        </w:tabs>
        <w:ind w:left="567" w:hanging="425"/>
        <w:outlineLvl w:val="3"/>
        <w:rPr>
          <w:rFonts w:asciiTheme="majorBidi" w:hAnsiTheme="majorBidi" w:cstheme="majorBidi"/>
          <w:sz w:val="21"/>
        </w:rPr>
      </w:pPr>
      <w:r w:rsidRPr="0085581F">
        <w:rPr>
          <w:rFonts w:asciiTheme="majorBidi" w:hAnsiTheme="majorBidi" w:cstheme="majorBidi"/>
          <w:sz w:val="21"/>
        </w:rPr>
        <w:lastRenderedPageBreak/>
        <w:t xml:space="preserve">Collateral for debentures (Series S) </w:t>
      </w:r>
    </w:p>
    <w:p w14:paraId="72B02DAF" w14:textId="77777777" w:rsidR="0085581F" w:rsidRPr="0085581F" w:rsidRDefault="0085581F" w:rsidP="0085581F">
      <w:pPr>
        <w:contextualSpacing/>
        <w:rPr>
          <w:rFonts w:asciiTheme="majorBidi" w:hAnsiTheme="majorBidi" w:cstheme="majorBidi"/>
          <w:sz w:val="21"/>
          <w:szCs w:val="21"/>
        </w:rPr>
      </w:pPr>
      <w:r w:rsidRPr="0085581F">
        <w:rPr>
          <w:rFonts w:asciiTheme="majorBidi" w:hAnsiTheme="majorBidi" w:cstheme="majorBidi"/>
          <w:sz w:val="21"/>
        </w:rPr>
        <w:t>The Company’s commitments under the Debentures (Series S) are secured by a fixed second degree charge regarding the real estate property, the Rishon LeZion complex, owned by the Company, as set out in section 4.5 of the Company’s shelf offering memorandum published on April 9, 2024 (</w:t>
      </w:r>
      <w:proofErr w:type="spellStart"/>
      <w:r w:rsidRPr="0085581F">
        <w:rPr>
          <w:rFonts w:asciiTheme="majorBidi" w:hAnsiTheme="majorBidi" w:cstheme="majorBidi"/>
          <w:sz w:val="21"/>
        </w:rPr>
        <w:t>Ref.No</w:t>
      </w:r>
      <w:proofErr w:type="spellEnd"/>
      <w:r w:rsidRPr="0085581F">
        <w:rPr>
          <w:rFonts w:asciiTheme="majorBidi" w:hAnsiTheme="majorBidi" w:cstheme="majorBidi"/>
          <w:sz w:val="21"/>
        </w:rPr>
        <w:t>.: 2024-01-041019), the information therein is hereby presented by way of reference. The value of the foregoing pledged property as of June 30, 2024 is NIS 1,920 million.</w:t>
      </w:r>
    </w:p>
    <w:p w14:paraId="6BD595B2" w14:textId="77777777" w:rsidR="0085581F" w:rsidRPr="0085581F" w:rsidRDefault="0085581F" w:rsidP="0085581F">
      <w:pPr>
        <w:contextualSpacing/>
        <w:rPr>
          <w:rFonts w:asciiTheme="majorBidi" w:hAnsiTheme="majorBidi" w:cstheme="majorBidi"/>
          <w:sz w:val="21"/>
          <w:szCs w:val="21"/>
        </w:rPr>
      </w:pPr>
      <w:r w:rsidRPr="0085581F">
        <w:rPr>
          <w:rFonts w:asciiTheme="majorBidi" w:hAnsiTheme="majorBidi" w:cstheme="majorBidi"/>
          <w:sz w:val="21"/>
        </w:rPr>
        <w:t>For further information concerning the Company's rights to issue additional debentures of the series and to exchange, sell or release the properties pledged in favor of the holders of Debentures Series S subject to compliance with certain conditions, including compliance with weighted ratios, as defined in the deed of trust (Series S), which is lower than or equivalent to 0.85 or 0.8, see sections 5.6 through 5.9 of the deed of trust attached to Company’s shelf offering memorandum issued on April 9, 2024 (Ref. No.: 2024-01-041019), where the information therein is hereby presented by way of reference.</w:t>
      </w:r>
    </w:p>
    <w:p w14:paraId="7BDCC911" w14:textId="487FFADB" w:rsidR="0085581F" w:rsidRPr="0085581F" w:rsidRDefault="0085581F" w:rsidP="0085581F">
      <w:pPr>
        <w:tabs>
          <w:tab w:val="left" w:pos="425"/>
          <w:tab w:val="left" w:pos="1134"/>
        </w:tabs>
        <w:contextualSpacing/>
        <w:rPr>
          <w:rFonts w:asciiTheme="majorBidi" w:hAnsiTheme="majorBidi" w:cstheme="majorBidi"/>
          <w:sz w:val="21"/>
          <w:szCs w:val="21"/>
        </w:rPr>
      </w:pPr>
      <w:r w:rsidRPr="0085581F">
        <w:rPr>
          <w:rFonts w:asciiTheme="majorBidi" w:hAnsiTheme="majorBidi" w:cstheme="majorBidi"/>
          <w:sz w:val="21"/>
        </w:rPr>
        <w:t xml:space="preserve">For further information regarding the foregoing pledged property, as required pursuant to the regulations of the Israel Securities Authority regarding investment property operations, </w:t>
      </w:r>
      <w:r w:rsidR="00DE30FE" w:rsidRPr="0085581F">
        <w:rPr>
          <w:rFonts w:asciiTheme="majorBidi" w:hAnsiTheme="majorBidi" w:cstheme="majorBidi"/>
          <w:sz w:val="21"/>
        </w:rPr>
        <w:t>see the</w:t>
      </w:r>
      <w:r w:rsidRPr="0085581F">
        <w:rPr>
          <w:rFonts w:asciiTheme="majorBidi" w:hAnsiTheme="majorBidi" w:cstheme="majorBidi"/>
          <w:sz w:val="21"/>
        </w:rPr>
        <w:t xml:space="preserve"> chapter on the update of the description of the Company’s business. </w:t>
      </w:r>
    </w:p>
    <w:p w14:paraId="601A97AC" w14:textId="77777777" w:rsidR="0085581F" w:rsidRPr="0085581F" w:rsidRDefault="0085581F" w:rsidP="004D7A72">
      <w:pPr>
        <w:keepNext/>
        <w:keepLines/>
        <w:numPr>
          <w:ilvl w:val="0"/>
          <w:numId w:val="48"/>
        </w:numPr>
        <w:tabs>
          <w:tab w:val="left" w:pos="425"/>
        </w:tabs>
        <w:ind w:left="567" w:hanging="425"/>
        <w:outlineLvl w:val="3"/>
        <w:rPr>
          <w:rFonts w:asciiTheme="majorBidi" w:hAnsiTheme="majorBidi" w:cstheme="majorBidi"/>
          <w:sz w:val="21"/>
        </w:rPr>
      </w:pPr>
      <w:r w:rsidRPr="0085581F">
        <w:rPr>
          <w:rFonts w:asciiTheme="majorBidi" w:hAnsiTheme="majorBidi" w:cstheme="majorBidi"/>
          <w:sz w:val="21"/>
        </w:rPr>
        <w:t xml:space="preserve">Collateral for debentures (Series T) </w:t>
      </w:r>
    </w:p>
    <w:p w14:paraId="77397D1E" w14:textId="77777777" w:rsidR="0085581F" w:rsidRPr="0085581F" w:rsidRDefault="0085581F" w:rsidP="0085581F">
      <w:pPr>
        <w:contextualSpacing/>
        <w:rPr>
          <w:rFonts w:asciiTheme="majorBidi" w:hAnsiTheme="majorBidi" w:cstheme="majorBidi"/>
          <w:sz w:val="21"/>
          <w:szCs w:val="21"/>
        </w:rPr>
      </w:pPr>
      <w:r w:rsidRPr="0085581F">
        <w:rPr>
          <w:rFonts w:asciiTheme="majorBidi" w:hAnsiTheme="majorBidi" w:cstheme="majorBidi"/>
          <w:sz w:val="21"/>
        </w:rPr>
        <w:t xml:space="preserve">The Company’s obligations under Debentures (Series T) are secured by a fixed first degree charge on the rights of a wholly owned (indirectly) subsidiary of the Company (in this section: the “Property Company”) with respect to its share in a real estate property in Warsaw, G </w:t>
      </w:r>
      <w:proofErr w:type="spellStart"/>
      <w:r w:rsidRPr="0085581F">
        <w:rPr>
          <w:rFonts w:asciiTheme="majorBidi" w:hAnsiTheme="majorBidi" w:cstheme="majorBidi"/>
          <w:sz w:val="21"/>
        </w:rPr>
        <w:t>Targowek</w:t>
      </w:r>
      <w:proofErr w:type="spellEnd"/>
      <w:r w:rsidRPr="0085581F">
        <w:rPr>
          <w:rFonts w:asciiTheme="majorBidi" w:hAnsiTheme="majorBidi" w:cstheme="majorBidi"/>
          <w:sz w:val="21"/>
        </w:rPr>
        <w:t>, a lien on the current assets and other properties of the Property Company, a lien of the entire share capital of the Property Company, and a lien of the shareholders’ loan provided to it, as set out in section 4.5 of the shelf offering memorandum issued by the Company on July 14, 2024 (Ref. No.: 2024-01-073495), the information therein is hereby presented by way of reference. The value of the foregoing pledged property as of June 30, 2024 is EUR 230 million.</w:t>
      </w:r>
    </w:p>
    <w:p w14:paraId="7381EDB8" w14:textId="77777777" w:rsidR="0085581F" w:rsidRPr="0085581F" w:rsidRDefault="0085581F" w:rsidP="0085581F">
      <w:pPr>
        <w:rPr>
          <w:rFonts w:asciiTheme="majorBidi" w:hAnsiTheme="majorBidi" w:cstheme="majorBidi"/>
          <w:sz w:val="21"/>
          <w:szCs w:val="21"/>
        </w:rPr>
      </w:pPr>
      <w:r w:rsidRPr="0085581F">
        <w:rPr>
          <w:rFonts w:asciiTheme="majorBidi" w:hAnsiTheme="majorBidi" w:cstheme="majorBidi"/>
          <w:sz w:val="21"/>
        </w:rPr>
        <w:t>For further information concerning the Company's rights to issue additional debentures of the series and to exchange, sell or release the properties pledged in favor of the holders of Debentures Series S subject to compliance with certain conditions, including compliance with weighted ratios, as defined in the deed of trust (Series S), which is lower than or equivalent to 0.65 or 0.7, see sections 5.6 through 5.9 of the deed of trust attached to Company’s shelf offering memorandum issued on July 14, 2024 (Ref. No.: 2024-01-073495), where the information therein is hereby presented by way of reference.</w:t>
      </w:r>
    </w:p>
    <w:p w14:paraId="5A899591" w14:textId="3C1EFEA1" w:rsidR="0085581F" w:rsidRPr="0085581F" w:rsidRDefault="0085581F" w:rsidP="0085581F">
      <w:pPr>
        <w:keepLines/>
        <w:tabs>
          <w:tab w:val="left" w:pos="425"/>
        </w:tabs>
        <w:spacing w:beforeLines="60" w:before="144" w:afterLines="60" w:after="144"/>
        <w:contextualSpacing/>
        <w:outlineLvl w:val="3"/>
        <w:rPr>
          <w:rFonts w:asciiTheme="majorBidi" w:eastAsia="Times New Roman" w:hAnsiTheme="majorBidi" w:cstheme="majorBidi"/>
          <w:sz w:val="21"/>
          <w:szCs w:val="21"/>
          <w:highlight w:val="yellow"/>
        </w:rPr>
      </w:pPr>
      <w:r w:rsidRPr="0085581F">
        <w:rPr>
          <w:rFonts w:asciiTheme="majorBidi" w:hAnsiTheme="majorBidi" w:cstheme="majorBidi"/>
          <w:sz w:val="21"/>
        </w:rPr>
        <w:t xml:space="preserve">For further information regarding the foregoing pledged property, as required pursuant to the regulations of the Israel Securities Authority regarding investment property operations, </w:t>
      </w:r>
      <w:r w:rsidR="00A453F4" w:rsidRPr="0085581F">
        <w:rPr>
          <w:rFonts w:asciiTheme="majorBidi" w:hAnsiTheme="majorBidi" w:cstheme="majorBidi"/>
          <w:sz w:val="21"/>
        </w:rPr>
        <w:t>see the</w:t>
      </w:r>
      <w:r w:rsidRPr="0085581F">
        <w:rPr>
          <w:rFonts w:asciiTheme="majorBidi" w:hAnsiTheme="majorBidi" w:cstheme="majorBidi"/>
          <w:sz w:val="21"/>
        </w:rPr>
        <w:t xml:space="preserve"> chapter on the update of the description of the Company’s business.</w:t>
      </w:r>
    </w:p>
    <w:p w14:paraId="6B3BC0E7" w14:textId="77777777" w:rsidR="0085581F" w:rsidRPr="0085581F" w:rsidRDefault="0085581F" w:rsidP="0085581F">
      <w:pPr>
        <w:keepLines/>
        <w:tabs>
          <w:tab w:val="left" w:pos="425"/>
        </w:tabs>
        <w:spacing w:beforeLines="60" w:before="144" w:afterLines="60" w:after="144"/>
        <w:contextualSpacing/>
        <w:outlineLvl w:val="3"/>
        <w:rPr>
          <w:rFonts w:asciiTheme="majorBidi" w:eastAsia="Times New Roman" w:hAnsiTheme="majorBidi" w:cstheme="majorBidi"/>
          <w:sz w:val="21"/>
          <w:szCs w:val="21"/>
        </w:rPr>
      </w:pPr>
    </w:p>
    <w:p w14:paraId="6E6446F7" w14:textId="77777777" w:rsidR="0085581F" w:rsidRPr="0085581F" w:rsidRDefault="0085581F" w:rsidP="004D7A72">
      <w:pPr>
        <w:keepNext/>
        <w:keepLines/>
        <w:numPr>
          <w:ilvl w:val="0"/>
          <w:numId w:val="48"/>
        </w:numPr>
        <w:ind w:left="567" w:hanging="425"/>
        <w:outlineLvl w:val="3"/>
        <w:rPr>
          <w:rFonts w:asciiTheme="majorBidi" w:hAnsiTheme="majorBidi" w:cstheme="majorBidi"/>
          <w:sz w:val="21"/>
        </w:rPr>
      </w:pPr>
      <w:r w:rsidRPr="0085581F">
        <w:rPr>
          <w:rFonts w:asciiTheme="majorBidi" w:hAnsiTheme="majorBidi" w:cstheme="majorBidi"/>
          <w:sz w:val="21"/>
        </w:rPr>
        <w:lastRenderedPageBreak/>
        <w:t>The deeds of trust under which the outstanding debentures were issued do not impose restrictions on the Company regarding the creation of additional charges on the Company’s assets or with regard to the Company’s authority to issue additional debentures, other than the undertaking to create a negative floating charge in favor of the holders of debentures (Series M, N, P, Q, R, S and T).</w:t>
      </w:r>
    </w:p>
    <w:p w14:paraId="1803650C" w14:textId="77777777" w:rsidR="0085581F" w:rsidRPr="0085581F" w:rsidRDefault="0085581F" w:rsidP="004D7A72">
      <w:pPr>
        <w:keepNext/>
        <w:keepLines/>
        <w:numPr>
          <w:ilvl w:val="0"/>
          <w:numId w:val="48"/>
        </w:numPr>
        <w:ind w:left="567" w:hanging="425"/>
        <w:outlineLvl w:val="3"/>
        <w:rPr>
          <w:rFonts w:asciiTheme="majorBidi" w:hAnsiTheme="majorBidi" w:cstheme="majorBidi"/>
          <w:sz w:val="21"/>
        </w:rPr>
      </w:pPr>
      <w:r w:rsidRPr="0085581F">
        <w:rPr>
          <w:rFonts w:asciiTheme="majorBidi" w:hAnsiTheme="majorBidi" w:cstheme="majorBidi"/>
          <w:sz w:val="21"/>
        </w:rPr>
        <w:t xml:space="preserve">In March 2024, </w:t>
      </w:r>
      <w:proofErr w:type="spellStart"/>
      <w:r w:rsidRPr="0085581F">
        <w:rPr>
          <w:rFonts w:asciiTheme="majorBidi" w:hAnsiTheme="majorBidi" w:cstheme="majorBidi"/>
          <w:sz w:val="21"/>
        </w:rPr>
        <w:t>Midroog</w:t>
      </w:r>
      <w:proofErr w:type="spellEnd"/>
      <w:r w:rsidRPr="0085581F">
        <w:rPr>
          <w:rFonts w:asciiTheme="majorBidi" w:hAnsiTheme="majorBidi" w:cstheme="majorBidi"/>
          <w:sz w:val="21"/>
        </w:rPr>
        <w:t xml:space="preserve"> rating agency set the credit rating for the Company's Debentures (Series R) as A2.il, with negative outlook.</w:t>
      </w:r>
    </w:p>
    <w:p w14:paraId="554845D0" w14:textId="49A2296B" w:rsidR="0085581F" w:rsidRPr="0085581F" w:rsidRDefault="0085581F" w:rsidP="004D7A72">
      <w:pPr>
        <w:keepNext/>
        <w:keepLines/>
        <w:numPr>
          <w:ilvl w:val="0"/>
          <w:numId w:val="48"/>
        </w:numPr>
        <w:ind w:left="567" w:hanging="425"/>
        <w:outlineLvl w:val="3"/>
        <w:rPr>
          <w:rFonts w:asciiTheme="majorBidi" w:hAnsiTheme="majorBidi" w:cstheme="majorBidi"/>
          <w:sz w:val="21"/>
        </w:rPr>
      </w:pPr>
      <w:r w:rsidRPr="0085581F">
        <w:rPr>
          <w:rFonts w:asciiTheme="majorBidi" w:hAnsiTheme="majorBidi" w:cstheme="majorBidi"/>
          <w:sz w:val="21"/>
        </w:rPr>
        <w:t xml:space="preserve">In February 2024, the S&amp;P </w:t>
      </w:r>
      <w:proofErr w:type="spellStart"/>
      <w:r w:rsidRPr="0085581F">
        <w:rPr>
          <w:rFonts w:asciiTheme="majorBidi" w:hAnsiTheme="majorBidi" w:cstheme="majorBidi"/>
          <w:sz w:val="21"/>
        </w:rPr>
        <w:t>Maalot</w:t>
      </w:r>
      <w:proofErr w:type="spellEnd"/>
      <w:r w:rsidRPr="0085581F">
        <w:rPr>
          <w:rFonts w:asciiTheme="majorBidi" w:hAnsiTheme="majorBidi" w:cstheme="majorBidi"/>
          <w:sz w:val="21"/>
        </w:rPr>
        <w:t xml:space="preserve"> rating agency set the credit rating for the Company’s Debentures (Series R) as </w:t>
      </w:r>
      <w:proofErr w:type="spellStart"/>
      <w:r w:rsidRPr="0085581F">
        <w:rPr>
          <w:rFonts w:asciiTheme="majorBidi" w:hAnsiTheme="majorBidi" w:cstheme="majorBidi"/>
          <w:sz w:val="21"/>
        </w:rPr>
        <w:t>ilA</w:t>
      </w:r>
      <w:proofErr w:type="spellEnd"/>
      <w:r w:rsidRPr="0085581F">
        <w:rPr>
          <w:rFonts w:asciiTheme="majorBidi" w:hAnsiTheme="majorBidi" w:cstheme="majorBidi"/>
          <w:sz w:val="21"/>
        </w:rPr>
        <w:t>, with negative outlook.</w:t>
      </w:r>
    </w:p>
    <w:p w14:paraId="50AB2F34" w14:textId="77777777" w:rsidR="0085581F" w:rsidRPr="0085581F" w:rsidRDefault="0085581F" w:rsidP="004D7A72">
      <w:pPr>
        <w:keepNext/>
        <w:keepLines/>
        <w:numPr>
          <w:ilvl w:val="0"/>
          <w:numId w:val="48"/>
        </w:numPr>
        <w:ind w:left="567" w:hanging="425"/>
        <w:outlineLvl w:val="3"/>
        <w:rPr>
          <w:rFonts w:asciiTheme="majorBidi" w:hAnsiTheme="majorBidi" w:cstheme="majorBidi"/>
          <w:sz w:val="21"/>
        </w:rPr>
      </w:pPr>
      <w:r w:rsidRPr="0085581F">
        <w:rPr>
          <w:rFonts w:asciiTheme="majorBidi" w:hAnsiTheme="majorBidi" w:cstheme="majorBidi"/>
          <w:sz w:val="21"/>
        </w:rPr>
        <w:t>In March 2024, Standard &amp; Poor’s rating agency ratified the BBB- rating of CTY’s debentures, and revised the outlook to negative.</w:t>
      </w:r>
    </w:p>
    <w:p w14:paraId="523EB448" w14:textId="77777777" w:rsidR="0085581F" w:rsidRPr="0085581F" w:rsidRDefault="0085581F" w:rsidP="004D7A72">
      <w:pPr>
        <w:keepNext/>
        <w:keepLines/>
        <w:numPr>
          <w:ilvl w:val="0"/>
          <w:numId w:val="48"/>
        </w:numPr>
        <w:ind w:left="567" w:hanging="425"/>
        <w:outlineLvl w:val="3"/>
        <w:rPr>
          <w:rFonts w:asciiTheme="majorBidi" w:hAnsiTheme="majorBidi" w:cstheme="majorBidi"/>
          <w:sz w:val="21"/>
        </w:rPr>
      </w:pPr>
      <w:r w:rsidRPr="0085581F">
        <w:rPr>
          <w:rFonts w:asciiTheme="majorBidi" w:hAnsiTheme="majorBidi" w:cstheme="majorBidi"/>
          <w:sz w:val="21"/>
        </w:rPr>
        <w:t>In March 2024, Moody’s rating agency downgraded the rating for G Europe’s debenture series from Ba2 to B1, with stable outlook.</w:t>
      </w:r>
    </w:p>
    <w:p w14:paraId="4A97188E" w14:textId="6D1BBA25" w:rsidR="0085581F" w:rsidRPr="0085581F" w:rsidRDefault="0085581F" w:rsidP="004D7A72">
      <w:pPr>
        <w:keepNext/>
        <w:keepLines/>
        <w:numPr>
          <w:ilvl w:val="0"/>
          <w:numId w:val="48"/>
        </w:numPr>
        <w:ind w:left="567" w:hanging="425"/>
        <w:outlineLvl w:val="3"/>
        <w:rPr>
          <w:rFonts w:asciiTheme="majorBidi" w:hAnsiTheme="majorBidi" w:cstheme="majorBidi"/>
          <w:sz w:val="21"/>
        </w:rPr>
      </w:pPr>
      <w:r w:rsidRPr="0085581F">
        <w:rPr>
          <w:rFonts w:asciiTheme="majorBidi" w:hAnsiTheme="majorBidi" w:cstheme="majorBidi"/>
          <w:sz w:val="21"/>
        </w:rPr>
        <w:t xml:space="preserve">On April 30, 2024, the S&amp;P </w:t>
      </w:r>
      <w:proofErr w:type="spellStart"/>
      <w:r w:rsidRPr="0085581F">
        <w:rPr>
          <w:rFonts w:asciiTheme="majorBidi" w:hAnsiTheme="majorBidi" w:cstheme="majorBidi"/>
          <w:sz w:val="21"/>
        </w:rPr>
        <w:t>Maalot</w:t>
      </w:r>
      <w:proofErr w:type="spellEnd"/>
      <w:r w:rsidRPr="0085581F">
        <w:rPr>
          <w:rFonts w:asciiTheme="majorBidi" w:hAnsiTheme="majorBidi" w:cstheme="majorBidi"/>
          <w:sz w:val="21"/>
        </w:rPr>
        <w:t xml:space="preserve"> rating agency set the credit rating of Debentures (Series P) of the Company as </w:t>
      </w:r>
      <w:proofErr w:type="spellStart"/>
      <w:r w:rsidRPr="0085581F">
        <w:rPr>
          <w:rFonts w:asciiTheme="majorBidi" w:hAnsiTheme="majorBidi" w:cstheme="majorBidi"/>
          <w:sz w:val="21"/>
        </w:rPr>
        <w:t>ilA</w:t>
      </w:r>
      <w:proofErr w:type="spellEnd"/>
      <w:r w:rsidR="00C64C16">
        <w:rPr>
          <w:rFonts w:asciiTheme="majorBidi" w:hAnsiTheme="majorBidi" w:cstheme="majorBidi"/>
          <w:sz w:val="21"/>
        </w:rPr>
        <w:t>-</w:t>
      </w:r>
      <w:r w:rsidRPr="0085581F">
        <w:rPr>
          <w:rFonts w:asciiTheme="majorBidi" w:hAnsiTheme="majorBidi" w:cstheme="majorBidi"/>
          <w:sz w:val="21"/>
        </w:rPr>
        <w:t>, with negative outlook.</w:t>
      </w:r>
    </w:p>
    <w:p w14:paraId="2195D6BB" w14:textId="77777777" w:rsidR="0085581F" w:rsidRPr="0085581F" w:rsidRDefault="0085581F" w:rsidP="004D7A72">
      <w:pPr>
        <w:keepNext/>
        <w:keepLines/>
        <w:numPr>
          <w:ilvl w:val="0"/>
          <w:numId w:val="48"/>
        </w:numPr>
        <w:ind w:left="567" w:hanging="425"/>
        <w:outlineLvl w:val="3"/>
        <w:rPr>
          <w:rFonts w:asciiTheme="majorBidi" w:hAnsiTheme="majorBidi" w:cstheme="majorBidi"/>
          <w:sz w:val="21"/>
        </w:rPr>
      </w:pPr>
      <w:r w:rsidRPr="0085581F">
        <w:rPr>
          <w:rFonts w:asciiTheme="majorBidi" w:hAnsiTheme="majorBidi" w:cstheme="majorBidi"/>
          <w:sz w:val="21"/>
        </w:rPr>
        <w:t xml:space="preserve">On April 30, 2024, </w:t>
      </w:r>
      <w:proofErr w:type="spellStart"/>
      <w:r w:rsidRPr="0085581F">
        <w:rPr>
          <w:rFonts w:asciiTheme="majorBidi" w:hAnsiTheme="majorBidi" w:cstheme="majorBidi"/>
          <w:sz w:val="21"/>
        </w:rPr>
        <w:t>Midroog</w:t>
      </w:r>
      <w:proofErr w:type="spellEnd"/>
      <w:r w:rsidRPr="0085581F">
        <w:rPr>
          <w:rFonts w:asciiTheme="majorBidi" w:hAnsiTheme="majorBidi" w:cstheme="majorBidi"/>
          <w:sz w:val="21"/>
        </w:rPr>
        <w:t xml:space="preserve"> rating agency set the credit rating of Debentures (Series P) of the Company as A3.il, with a negative outlook.</w:t>
      </w:r>
    </w:p>
    <w:p w14:paraId="0C5B80EE" w14:textId="77777777" w:rsidR="0085581F" w:rsidRPr="0085581F" w:rsidRDefault="0085581F" w:rsidP="004D7A72">
      <w:pPr>
        <w:keepNext/>
        <w:keepLines/>
        <w:numPr>
          <w:ilvl w:val="0"/>
          <w:numId w:val="48"/>
        </w:numPr>
        <w:ind w:left="567" w:hanging="425"/>
        <w:outlineLvl w:val="3"/>
        <w:rPr>
          <w:rFonts w:asciiTheme="majorBidi" w:hAnsiTheme="majorBidi" w:cstheme="majorBidi"/>
          <w:sz w:val="21"/>
        </w:rPr>
      </w:pPr>
      <w:r w:rsidRPr="0085581F">
        <w:rPr>
          <w:rFonts w:asciiTheme="majorBidi" w:hAnsiTheme="majorBidi" w:cstheme="majorBidi"/>
          <w:sz w:val="21"/>
        </w:rPr>
        <w:t xml:space="preserve">On June 30, 2024, the S&amp;P </w:t>
      </w:r>
      <w:proofErr w:type="spellStart"/>
      <w:r w:rsidRPr="0085581F">
        <w:rPr>
          <w:rFonts w:asciiTheme="majorBidi" w:hAnsiTheme="majorBidi" w:cstheme="majorBidi"/>
          <w:sz w:val="21"/>
        </w:rPr>
        <w:t>Maalot</w:t>
      </w:r>
      <w:proofErr w:type="spellEnd"/>
      <w:r w:rsidRPr="0085581F">
        <w:rPr>
          <w:rFonts w:asciiTheme="majorBidi" w:hAnsiTheme="majorBidi" w:cstheme="majorBidi"/>
          <w:sz w:val="21"/>
        </w:rPr>
        <w:t xml:space="preserve"> rating agency set the credit rating of the Company as </w:t>
      </w:r>
      <w:proofErr w:type="spellStart"/>
      <w:r w:rsidRPr="0085581F">
        <w:rPr>
          <w:rFonts w:asciiTheme="majorBidi" w:hAnsiTheme="majorBidi" w:cstheme="majorBidi"/>
          <w:sz w:val="21"/>
        </w:rPr>
        <w:t>ilA</w:t>
      </w:r>
      <w:proofErr w:type="spellEnd"/>
      <w:r w:rsidRPr="0085581F">
        <w:rPr>
          <w:rFonts w:asciiTheme="majorBidi" w:hAnsiTheme="majorBidi" w:cstheme="majorBidi"/>
          <w:sz w:val="21"/>
        </w:rPr>
        <w:t xml:space="preserve">-, the rating for the Company's Debentures (Series K, L, M, N, P, Q, and S) as </w:t>
      </w:r>
      <w:proofErr w:type="spellStart"/>
      <w:r w:rsidRPr="0085581F">
        <w:rPr>
          <w:rFonts w:asciiTheme="majorBidi" w:hAnsiTheme="majorBidi" w:cstheme="majorBidi"/>
          <w:sz w:val="21"/>
        </w:rPr>
        <w:t>ilA</w:t>
      </w:r>
      <w:proofErr w:type="spellEnd"/>
      <w:r w:rsidRPr="0085581F">
        <w:rPr>
          <w:rFonts w:asciiTheme="majorBidi" w:hAnsiTheme="majorBidi" w:cstheme="majorBidi"/>
          <w:sz w:val="21"/>
        </w:rPr>
        <w:t xml:space="preserve">-, and the rating for Debentures (Series O and R), secured by a lien, as </w:t>
      </w:r>
      <w:proofErr w:type="spellStart"/>
      <w:r w:rsidRPr="0085581F">
        <w:rPr>
          <w:rFonts w:asciiTheme="majorBidi" w:hAnsiTheme="majorBidi" w:cstheme="majorBidi"/>
          <w:sz w:val="21"/>
        </w:rPr>
        <w:t>ilA</w:t>
      </w:r>
      <w:proofErr w:type="spellEnd"/>
      <w:r w:rsidRPr="0085581F">
        <w:rPr>
          <w:rFonts w:asciiTheme="majorBidi" w:hAnsiTheme="majorBidi" w:cstheme="majorBidi"/>
          <w:sz w:val="21"/>
        </w:rPr>
        <w:t xml:space="preserve">, and revised the outlook from negative to stable. S&amp;P </w:t>
      </w:r>
      <w:proofErr w:type="spellStart"/>
      <w:r w:rsidRPr="0085581F">
        <w:rPr>
          <w:rFonts w:asciiTheme="majorBidi" w:hAnsiTheme="majorBidi" w:cstheme="majorBidi"/>
          <w:sz w:val="21"/>
        </w:rPr>
        <w:t>Maalot</w:t>
      </w:r>
      <w:proofErr w:type="spellEnd"/>
      <w:r w:rsidRPr="0085581F">
        <w:rPr>
          <w:rFonts w:asciiTheme="majorBidi" w:hAnsiTheme="majorBidi" w:cstheme="majorBidi"/>
          <w:sz w:val="21"/>
        </w:rPr>
        <w:t xml:space="preserve"> rating agency also set the credit rating of the Company’s Debentures (Series T) as </w:t>
      </w:r>
      <w:proofErr w:type="spellStart"/>
      <w:r w:rsidRPr="0085581F">
        <w:rPr>
          <w:rFonts w:asciiTheme="majorBidi" w:hAnsiTheme="majorBidi" w:cstheme="majorBidi"/>
          <w:sz w:val="21"/>
        </w:rPr>
        <w:t>ilA</w:t>
      </w:r>
      <w:proofErr w:type="spellEnd"/>
      <w:r w:rsidRPr="0085581F">
        <w:rPr>
          <w:rFonts w:asciiTheme="majorBidi" w:hAnsiTheme="majorBidi" w:cstheme="majorBidi"/>
          <w:sz w:val="21"/>
        </w:rPr>
        <w:t>, with stable outlook.</w:t>
      </w:r>
    </w:p>
    <w:p w14:paraId="2D6DD865" w14:textId="77777777" w:rsidR="0085581F" w:rsidRPr="0085581F" w:rsidRDefault="0085581F" w:rsidP="004D7A72">
      <w:pPr>
        <w:keepNext/>
        <w:keepLines/>
        <w:numPr>
          <w:ilvl w:val="0"/>
          <w:numId w:val="48"/>
        </w:numPr>
        <w:ind w:left="567" w:hanging="425"/>
        <w:outlineLvl w:val="3"/>
        <w:rPr>
          <w:rFonts w:asciiTheme="majorBidi" w:hAnsiTheme="majorBidi" w:cstheme="majorBidi"/>
          <w:sz w:val="21"/>
        </w:rPr>
      </w:pPr>
      <w:r w:rsidRPr="0085581F">
        <w:rPr>
          <w:rFonts w:asciiTheme="majorBidi" w:hAnsiTheme="majorBidi" w:cstheme="majorBidi"/>
          <w:sz w:val="21"/>
        </w:rPr>
        <w:t xml:space="preserve">On July 1, 2024, the S&amp;P </w:t>
      </w:r>
      <w:proofErr w:type="spellStart"/>
      <w:r w:rsidRPr="0085581F">
        <w:rPr>
          <w:rFonts w:asciiTheme="majorBidi" w:hAnsiTheme="majorBidi" w:cstheme="majorBidi"/>
          <w:sz w:val="21"/>
        </w:rPr>
        <w:t>Maalot</w:t>
      </w:r>
      <w:proofErr w:type="spellEnd"/>
      <w:r w:rsidRPr="0085581F">
        <w:rPr>
          <w:rFonts w:asciiTheme="majorBidi" w:hAnsiTheme="majorBidi" w:cstheme="majorBidi"/>
          <w:sz w:val="21"/>
        </w:rPr>
        <w:t xml:space="preserve"> rating agency ratified the credit rating of the Company as A3.il, the credit rating for the Company's Debentures (Series K, L, M, N, P, Q, and S) as A3.il, and the rating for Debentures (Series O and R), secured by a lien, as A2.il, and revised the outlook from negative to stable. S&amp;P </w:t>
      </w:r>
      <w:proofErr w:type="spellStart"/>
      <w:r w:rsidRPr="0085581F">
        <w:rPr>
          <w:rFonts w:asciiTheme="majorBidi" w:hAnsiTheme="majorBidi" w:cstheme="majorBidi"/>
          <w:sz w:val="21"/>
        </w:rPr>
        <w:t>Maalot</w:t>
      </w:r>
      <w:proofErr w:type="spellEnd"/>
      <w:r w:rsidRPr="0085581F">
        <w:rPr>
          <w:rFonts w:asciiTheme="majorBidi" w:hAnsiTheme="majorBidi" w:cstheme="majorBidi"/>
          <w:sz w:val="21"/>
        </w:rPr>
        <w:t xml:space="preserve"> rating agency also set the credit rating of the Company’s Debentures (Series T) as A2.il with stable outlook.</w:t>
      </w:r>
    </w:p>
    <w:p w14:paraId="6A135B6D" w14:textId="77777777" w:rsidR="0085581F" w:rsidRPr="0085581F" w:rsidRDefault="0085581F" w:rsidP="004D7A72">
      <w:pPr>
        <w:keepNext/>
        <w:keepLines/>
        <w:numPr>
          <w:ilvl w:val="0"/>
          <w:numId w:val="48"/>
        </w:numPr>
        <w:ind w:left="567" w:hanging="425"/>
        <w:outlineLvl w:val="3"/>
        <w:rPr>
          <w:rFonts w:asciiTheme="majorBidi" w:hAnsiTheme="majorBidi" w:cstheme="majorBidi"/>
          <w:sz w:val="21"/>
        </w:rPr>
      </w:pPr>
      <w:r w:rsidRPr="0085581F">
        <w:rPr>
          <w:rFonts w:asciiTheme="majorBidi" w:hAnsiTheme="majorBidi" w:cstheme="majorBidi"/>
          <w:sz w:val="21"/>
        </w:rPr>
        <w:t xml:space="preserve">On July 11, 2024, </w:t>
      </w:r>
      <w:proofErr w:type="spellStart"/>
      <w:r w:rsidRPr="0085581F">
        <w:rPr>
          <w:rFonts w:asciiTheme="majorBidi" w:hAnsiTheme="majorBidi" w:cstheme="majorBidi"/>
          <w:sz w:val="21"/>
        </w:rPr>
        <w:t>Midroog</w:t>
      </w:r>
      <w:proofErr w:type="spellEnd"/>
      <w:r w:rsidRPr="0085581F">
        <w:rPr>
          <w:rFonts w:asciiTheme="majorBidi" w:hAnsiTheme="majorBidi" w:cstheme="majorBidi"/>
          <w:sz w:val="21"/>
        </w:rPr>
        <w:t xml:space="preserve"> rating agency set the credit rating for Debentures (Series N) of the Company as A3.il, with a stable outlook.</w:t>
      </w:r>
    </w:p>
    <w:p w14:paraId="03A76268" w14:textId="77777777" w:rsidR="0085581F" w:rsidRPr="0085581F" w:rsidRDefault="0085581F" w:rsidP="004D7A72">
      <w:pPr>
        <w:keepNext/>
        <w:keepLines/>
        <w:numPr>
          <w:ilvl w:val="0"/>
          <w:numId w:val="48"/>
        </w:numPr>
        <w:ind w:left="567" w:hanging="425"/>
        <w:outlineLvl w:val="3"/>
        <w:rPr>
          <w:rFonts w:asciiTheme="majorBidi" w:hAnsiTheme="majorBidi" w:cstheme="majorBidi"/>
          <w:sz w:val="21"/>
        </w:rPr>
      </w:pPr>
      <w:r w:rsidRPr="0085581F">
        <w:rPr>
          <w:rFonts w:asciiTheme="majorBidi" w:hAnsiTheme="majorBidi" w:cstheme="majorBidi"/>
          <w:sz w:val="21"/>
        </w:rPr>
        <w:t xml:space="preserve">On July 11, 2024, the S&amp;P </w:t>
      </w:r>
      <w:proofErr w:type="spellStart"/>
      <w:r w:rsidRPr="0085581F">
        <w:rPr>
          <w:rFonts w:asciiTheme="majorBidi" w:hAnsiTheme="majorBidi" w:cstheme="majorBidi"/>
          <w:sz w:val="21"/>
        </w:rPr>
        <w:t>Maalot</w:t>
      </w:r>
      <w:proofErr w:type="spellEnd"/>
      <w:r w:rsidRPr="0085581F">
        <w:rPr>
          <w:rFonts w:asciiTheme="majorBidi" w:hAnsiTheme="majorBidi" w:cstheme="majorBidi"/>
          <w:sz w:val="21"/>
        </w:rPr>
        <w:t xml:space="preserve"> rating agency set the credit rating for the Company’s Debentures (Series N) as </w:t>
      </w:r>
      <w:proofErr w:type="spellStart"/>
      <w:r w:rsidRPr="0085581F">
        <w:rPr>
          <w:rFonts w:asciiTheme="majorBidi" w:hAnsiTheme="majorBidi" w:cstheme="majorBidi"/>
          <w:sz w:val="21"/>
        </w:rPr>
        <w:t>ilA</w:t>
      </w:r>
      <w:proofErr w:type="spellEnd"/>
      <w:r w:rsidRPr="0085581F">
        <w:rPr>
          <w:rFonts w:asciiTheme="majorBidi" w:hAnsiTheme="majorBidi" w:cstheme="majorBidi"/>
          <w:sz w:val="21"/>
        </w:rPr>
        <w:t>-, with stable outlook.</w:t>
      </w:r>
    </w:p>
    <w:bookmarkEnd w:id="109"/>
    <w:p w14:paraId="4776E248" w14:textId="77777777" w:rsidR="0085581F" w:rsidRPr="0085581F" w:rsidRDefault="0085581F" w:rsidP="004D7A72">
      <w:pPr>
        <w:keepNext/>
        <w:keepLines/>
        <w:numPr>
          <w:ilvl w:val="0"/>
          <w:numId w:val="48"/>
        </w:numPr>
        <w:ind w:left="567" w:hanging="425"/>
        <w:outlineLvl w:val="3"/>
        <w:rPr>
          <w:rFonts w:asciiTheme="majorBidi" w:hAnsiTheme="majorBidi" w:cstheme="majorBidi"/>
          <w:sz w:val="21"/>
        </w:rPr>
        <w:sectPr w:rsidR="0085581F" w:rsidRPr="0085581F" w:rsidSect="0085581F">
          <w:headerReference w:type="even" r:id="rId14"/>
          <w:headerReference w:type="default" r:id="rId15"/>
          <w:footerReference w:type="even" r:id="rId16"/>
          <w:footerReference w:type="default" r:id="rId17"/>
          <w:headerReference w:type="first" r:id="rId18"/>
          <w:footerReference w:type="first" r:id="rId19"/>
          <w:footnotePr>
            <w:numRestart w:val="eachPage"/>
          </w:footnotePr>
          <w:type w:val="continuous"/>
          <w:pgSz w:w="11906" w:h="16838"/>
          <w:pgMar w:top="1276" w:right="992" w:bottom="851" w:left="992" w:header="567" w:footer="567" w:gutter="0"/>
          <w:pgBorders>
            <w:top w:val="nil"/>
            <w:left w:val="nil"/>
            <w:bottom w:val="nil"/>
            <w:right w:val="nil"/>
          </w:pgBorders>
          <w:cols w:space="708"/>
          <w:bidi/>
          <w:rtlGutter/>
          <w:docGrid w:linePitch="360"/>
        </w:sectPr>
      </w:pPr>
    </w:p>
    <w:p w14:paraId="36D3CE55" w14:textId="77777777" w:rsidR="0085581F" w:rsidRPr="0085581F" w:rsidRDefault="0085581F" w:rsidP="004D7A72">
      <w:pPr>
        <w:keepNext/>
        <w:keepLines/>
        <w:numPr>
          <w:ilvl w:val="0"/>
          <w:numId w:val="48"/>
        </w:numPr>
        <w:ind w:left="567" w:hanging="425"/>
        <w:outlineLvl w:val="3"/>
        <w:rPr>
          <w:rFonts w:asciiTheme="majorBidi" w:hAnsiTheme="majorBidi" w:cstheme="majorBidi"/>
          <w:sz w:val="21"/>
        </w:rPr>
      </w:pPr>
      <w:r w:rsidRPr="0085581F">
        <w:rPr>
          <w:rFonts w:asciiTheme="majorBidi" w:hAnsiTheme="majorBidi" w:cstheme="majorBidi"/>
          <w:sz w:val="21"/>
        </w:rPr>
        <w:lastRenderedPageBreak/>
        <w:t>Below is a breakdown of the principal financial covenants of Debentures (Series K, L, M, N, O, P, Q, R, S and T) of the Company: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5"/>
        <w:gridCol w:w="3671"/>
        <w:gridCol w:w="2625"/>
      </w:tblGrid>
      <w:tr w:rsidR="0085581F" w:rsidRPr="0085581F" w14:paraId="60FE4B31" w14:textId="77777777" w:rsidTr="00A65A6F">
        <w:trPr>
          <w:cantSplit/>
          <w:trHeight w:val="355"/>
          <w:tblHeader/>
        </w:trPr>
        <w:tc>
          <w:tcPr>
            <w:tcW w:w="1827" w:type="pct"/>
            <w:shd w:val="clear" w:color="auto" w:fill="000031"/>
            <w:hideMark/>
          </w:tcPr>
          <w:p w14:paraId="769F551D" w14:textId="77777777" w:rsidR="0085581F" w:rsidRPr="0085581F" w:rsidRDefault="0085581F" w:rsidP="0085581F">
            <w:pPr>
              <w:keepNext/>
              <w:keepLines/>
              <w:tabs>
                <w:tab w:val="left" w:pos="425"/>
                <w:tab w:val="left" w:pos="4534"/>
              </w:tabs>
              <w:contextualSpacing/>
              <w:rPr>
                <w:rFonts w:asciiTheme="majorBidi" w:eastAsia="Calibri" w:hAnsiTheme="majorBidi" w:cstheme="majorBidi"/>
                <w:bdr w:val="none" w:sz="0" w:space="0" w:color="auto" w:frame="1"/>
              </w:rPr>
            </w:pPr>
            <w:bookmarkStart w:id="112" w:name="Title_1" w:colFirst="0" w:colLast="0"/>
            <w:r w:rsidRPr="0085581F">
              <w:rPr>
                <w:rFonts w:asciiTheme="majorBidi" w:hAnsiTheme="majorBidi" w:cstheme="majorBidi"/>
                <w:bdr w:val="none" w:sz="0" w:space="0" w:color="auto" w:frame="1"/>
              </w:rPr>
              <w:t>Financial ratio</w:t>
            </w:r>
          </w:p>
        </w:tc>
        <w:tc>
          <w:tcPr>
            <w:tcW w:w="1850" w:type="pct"/>
            <w:shd w:val="clear" w:color="auto" w:fill="000031"/>
            <w:hideMark/>
          </w:tcPr>
          <w:p w14:paraId="59912941"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bdr w:val="none" w:sz="0" w:space="0" w:color="auto" w:frame="1"/>
              </w:rPr>
            </w:pPr>
            <w:r w:rsidRPr="0085581F">
              <w:rPr>
                <w:rFonts w:asciiTheme="majorBidi" w:hAnsiTheme="majorBidi" w:cstheme="majorBidi"/>
                <w:bdr w:val="none" w:sz="0" w:space="0" w:color="auto" w:frame="1"/>
              </w:rPr>
              <w:t>Financial covenants</w:t>
            </w:r>
          </w:p>
        </w:tc>
        <w:tc>
          <w:tcPr>
            <w:tcW w:w="1323" w:type="pct"/>
            <w:shd w:val="clear" w:color="auto" w:fill="000031"/>
            <w:hideMark/>
          </w:tcPr>
          <w:p w14:paraId="30E875DC"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bdr w:val="none" w:sz="0" w:space="0" w:color="auto" w:frame="1"/>
              </w:rPr>
            </w:pPr>
            <w:r w:rsidRPr="0085581F">
              <w:rPr>
                <w:rFonts w:asciiTheme="majorBidi" w:hAnsiTheme="majorBidi" w:cstheme="majorBidi"/>
                <w:u w:val="single"/>
                <w:bdr w:val="none" w:sz="0" w:space="0" w:color="auto" w:frame="1"/>
              </w:rPr>
              <w:t>At June 30, 2024</w:t>
            </w:r>
          </w:p>
        </w:tc>
      </w:tr>
      <w:bookmarkEnd w:id="112"/>
      <w:tr w:rsidR="0085581F" w:rsidRPr="0085581F" w14:paraId="508E4FE3" w14:textId="77777777" w:rsidTr="00A65A6F">
        <w:trPr>
          <w:cantSplit/>
          <w:trHeight w:val="1006"/>
          <w:tblHeader/>
        </w:trPr>
        <w:tc>
          <w:tcPr>
            <w:tcW w:w="1827" w:type="pct"/>
            <w:tcBorders>
              <w:top w:val="nil"/>
              <w:left w:val="nil"/>
              <w:bottom w:val="single" w:sz="4" w:space="0" w:color="000031"/>
              <w:right w:val="single" w:sz="4" w:space="0" w:color="000031"/>
            </w:tcBorders>
            <w:hideMark/>
          </w:tcPr>
          <w:p w14:paraId="16978194" w14:textId="77777777" w:rsidR="0085581F" w:rsidRPr="0085581F" w:rsidRDefault="0085581F" w:rsidP="0085581F">
            <w:pPr>
              <w:keepNext/>
              <w:keepLines/>
              <w:tabs>
                <w:tab w:val="left" w:pos="425"/>
                <w:tab w:val="left" w:pos="4534"/>
              </w:tabs>
              <w:contextualSpacing/>
              <w:rPr>
                <w:rFonts w:asciiTheme="majorBidi" w:eastAsia="Calibri" w:hAnsiTheme="majorBidi" w:cstheme="majorBidi"/>
                <w:u w:val="single"/>
                <w:bdr w:val="none" w:sz="0" w:space="0" w:color="auto" w:frame="1"/>
              </w:rPr>
            </w:pPr>
            <w:r w:rsidRPr="0085581F">
              <w:rPr>
                <w:rFonts w:asciiTheme="majorBidi" w:hAnsiTheme="majorBidi" w:cstheme="majorBidi"/>
                <w:bdr w:val="none" w:sz="0" w:space="0" w:color="auto" w:frame="1"/>
              </w:rPr>
              <w:t>Minimum equity (excluding non-controlling interests) (USD million)</w:t>
            </w:r>
          </w:p>
        </w:tc>
        <w:tc>
          <w:tcPr>
            <w:tcW w:w="1850" w:type="pct"/>
            <w:tcBorders>
              <w:top w:val="nil"/>
              <w:left w:val="single" w:sz="4" w:space="0" w:color="000031"/>
              <w:bottom w:val="single" w:sz="4" w:space="0" w:color="000031"/>
              <w:right w:val="single" w:sz="4" w:space="0" w:color="000031"/>
            </w:tcBorders>
            <w:hideMark/>
          </w:tcPr>
          <w:p w14:paraId="4D52B806"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bdr w:val="none" w:sz="0" w:space="0" w:color="auto" w:frame="1"/>
              </w:rPr>
            </w:pPr>
            <w:r w:rsidRPr="0085581F">
              <w:rPr>
                <w:rFonts w:asciiTheme="majorBidi" w:hAnsiTheme="majorBidi" w:cstheme="majorBidi"/>
                <w:bdr w:val="none" w:sz="0" w:space="0" w:color="auto" w:frame="1"/>
              </w:rPr>
              <w:t>K - higher than 500 for 4 consecutive quarters</w:t>
            </w:r>
          </w:p>
          <w:p w14:paraId="796A8CED"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bdr w:val="none" w:sz="0" w:space="0" w:color="auto" w:frame="1"/>
              </w:rPr>
            </w:pPr>
            <w:r w:rsidRPr="0085581F">
              <w:rPr>
                <w:rFonts w:asciiTheme="majorBidi" w:hAnsiTheme="majorBidi" w:cstheme="majorBidi"/>
                <w:bdr w:val="none" w:sz="0" w:space="0" w:color="auto" w:frame="1"/>
              </w:rPr>
              <w:t>L - higher than 650 for 4 consecutive quarters</w:t>
            </w:r>
          </w:p>
          <w:p w14:paraId="07AD5CA2"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bdr w:val="none" w:sz="0" w:space="0" w:color="auto" w:frame="1"/>
              </w:rPr>
            </w:pPr>
            <w:r w:rsidRPr="0085581F">
              <w:rPr>
                <w:rFonts w:asciiTheme="majorBidi" w:hAnsiTheme="majorBidi" w:cstheme="majorBidi"/>
                <w:bdr w:val="none" w:sz="0" w:space="0" w:color="auto" w:frame="1"/>
              </w:rPr>
              <w:t>M, R - higher than 800 for 3 consecutive quarters</w:t>
            </w:r>
          </w:p>
          <w:p w14:paraId="20C76222"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u w:val="single"/>
                <w:bdr w:val="none" w:sz="0" w:space="0" w:color="auto" w:frame="1"/>
              </w:rPr>
            </w:pPr>
            <w:r w:rsidRPr="0085581F">
              <w:rPr>
                <w:rFonts w:asciiTheme="majorBidi" w:hAnsiTheme="majorBidi" w:cstheme="majorBidi"/>
                <w:bdr w:val="none" w:sz="0" w:space="0" w:color="auto" w:frame="1"/>
              </w:rPr>
              <w:t>N, O, P, Q, S, T - higher than 850 for 3 consecutive quarters</w:t>
            </w:r>
            <w:r w:rsidRPr="0085581F">
              <w:rPr>
                <w:rFonts w:asciiTheme="majorBidi" w:hAnsiTheme="majorBidi" w:cstheme="majorBidi"/>
                <w:u w:val="single"/>
                <w:bdr w:val="none" w:sz="0" w:space="0" w:color="auto" w:frame="1"/>
              </w:rPr>
              <w:t xml:space="preserve"> </w:t>
            </w:r>
          </w:p>
        </w:tc>
        <w:tc>
          <w:tcPr>
            <w:tcW w:w="1323" w:type="pct"/>
            <w:tcBorders>
              <w:top w:val="nil"/>
              <w:left w:val="single" w:sz="4" w:space="0" w:color="000031"/>
              <w:bottom w:val="single" w:sz="4" w:space="0" w:color="000031"/>
              <w:right w:val="nil"/>
            </w:tcBorders>
          </w:tcPr>
          <w:p w14:paraId="1C0C7D6F"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bdr w:val="none" w:sz="0" w:space="0" w:color="auto" w:frame="1"/>
                <w:rtl/>
              </w:rPr>
            </w:pPr>
          </w:p>
          <w:p w14:paraId="2634BEF4" w14:textId="12AB4A1F" w:rsidR="0085581F" w:rsidRPr="0085581F" w:rsidRDefault="0085581F" w:rsidP="0085581F">
            <w:pPr>
              <w:keepNext/>
              <w:keepLines/>
              <w:tabs>
                <w:tab w:val="left" w:pos="425"/>
                <w:tab w:val="left" w:pos="4534"/>
              </w:tabs>
              <w:contextualSpacing/>
              <w:jc w:val="center"/>
              <w:rPr>
                <w:rFonts w:asciiTheme="majorBidi" w:eastAsia="Calibri" w:hAnsiTheme="majorBidi" w:cstheme="majorBidi"/>
                <w:u w:val="single"/>
                <w:bdr w:val="none" w:sz="0" w:space="0" w:color="auto" w:frame="1"/>
              </w:rPr>
            </w:pPr>
            <w:r w:rsidRPr="0085581F">
              <w:rPr>
                <w:rFonts w:asciiTheme="majorBidi" w:hAnsiTheme="majorBidi" w:cstheme="majorBidi"/>
              </w:rPr>
              <w:t>1,3</w:t>
            </w:r>
            <w:r w:rsidR="00F40D95">
              <w:rPr>
                <w:rFonts w:asciiTheme="majorBidi" w:hAnsiTheme="majorBidi" w:cstheme="majorBidi"/>
              </w:rPr>
              <w:t>10</w:t>
            </w:r>
          </w:p>
        </w:tc>
      </w:tr>
      <w:tr w:rsidR="0085581F" w:rsidRPr="0085581F" w14:paraId="5C7435AF" w14:textId="77777777" w:rsidTr="00A65A6F">
        <w:trPr>
          <w:cantSplit/>
          <w:trHeight w:val="463"/>
          <w:tblHeader/>
        </w:trPr>
        <w:tc>
          <w:tcPr>
            <w:tcW w:w="1827" w:type="pct"/>
            <w:tcBorders>
              <w:top w:val="single" w:sz="4" w:space="0" w:color="000031"/>
              <w:left w:val="nil"/>
              <w:bottom w:val="single" w:sz="4" w:space="0" w:color="000031"/>
              <w:right w:val="single" w:sz="4" w:space="0" w:color="000031"/>
            </w:tcBorders>
            <w:hideMark/>
          </w:tcPr>
          <w:p w14:paraId="7E9B889C" w14:textId="77777777" w:rsidR="0085581F" w:rsidRPr="0085581F" w:rsidRDefault="0085581F" w:rsidP="0085581F">
            <w:pPr>
              <w:keepNext/>
              <w:keepLines/>
              <w:tabs>
                <w:tab w:val="left" w:pos="425"/>
                <w:tab w:val="left" w:pos="4534"/>
              </w:tabs>
              <w:contextualSpacing/>
              <w:rPr>
                <w:rFonts w:asciiTheme="majorBidi" w:eastAsia="Calibri" w:hAnsiTheme="majorBidi" w:cstheme="majorBidi"/>
                <w:u w:val="single"/>
                <w:bdr w:val="none" w:sz="0" w:space="0" w:color="auto" w:frame="1"/>
              </w:rPr>
            </w:pPr>
            <w:r w:rsidRPr="0085581F">
              <w:rPr>
                <w:rFonts w:asciiTheme="majorBidi" w:hAnsiTheme="majorBidi" w:cstheme="majorBidi"/>
                <w:bdr w:val="none" w:sz="0" w:space="0" w:color="auto" w:frame="1"/>
              </w:rPr>
              <w:t>Minimum equity (excluding non-controlling interests) for one quarter (USD million)</w:t>
            </w:r>
          </w:p>
        </w:tc>
        <w:tc>
          <w:tcPr>
            <w:tcW w:w="1850" w:type="pct"/>
            <w:tcBorders>
              <w:top w:val="single" w:sz="4" w:space="0" w:color="000031"/>
              <w:left w:val="single" w:sz="4" w:space="0" w:color="000031"/>
              <w:bottom w:val="single" w:sz="4" w:space="0" w:color="000031"/>
              <w:right w:val="single" w:sz="4" w:space="0" w:color="000031"/>
            </w:tcBorders>
          </w:tcPr>
          <w:p w14:paraId="2FD4BE03"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bdr w:val="none" w:sz="0" w:space="0" w:color="auto" w:frame="1"/>
              </w:rPr>
            </w:pPr>
          </w:p>
          <w:p w14:paraId="0F8A3DF4"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u w:val="single"/>
                <w:bdr w:val="none" w:sz="0" w:space="0" w:color="auto" w:frame="1"/>
              </w:rPr>
            </w:pPr>
            <w:r w:rsidRPr="0085581F">
              <w:rPr>
                <w:rFonts w:asciiTheme="majorBidi" w:hAnsiTheme="majorBidi" w:cstheme="majorBidi"/>
                <w:bdr w:val="none" w:sz="0" w:space="0" w:color="auto" w:frame="1"/>
              </w:rPr>
              <w:t>M, N, O - higher than 400</w:t>
            </w:r>
          </w:p>
          <w:p w14:paraId="45776A58"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bdr w:val="none" w:sz="0" w:space="0" w:color="auto" w:frame="1"/>
              </w:rPr>
            </w:pPr>
            <w:r w:rsidRPr="0085581F">
              <w:rPr>
                <w:rFonts w:asciiTheme="majorBidi" w:hAnsiTheme="majorBidi" w:cstheme="majorBidi"/>
                <w:bdr w:val="none" w:sz="0" w:space="0" w:color="auto" w:frame="1"/>
              </w:rPr>
              <w:t>P, Q, R, S, T - higher than 450</w:t>
            </w:r>
          </w:p>
        </w:tc>
        <w:tc>
          <w:tcPr>
            <w:tcW w:w="1323" w:type="pct"/>
            <w:tcBorders>
              <w:top w:val="single" w:sz="4" w:space="0" w:color="000031"/>
              <w:left w:val="single" w:sz="4" w:space="0" w:color="000031"/>
              <w:bottom w:val="single" w:sz="4" w:space="0" w:color="000031"/>
              <w:right w:val="nil"/>
            </w:tcBorders>
          </w:tcPr>
          <w:p w14:paraId="11378E5C"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u w:val="single"/>
                <w:bdr w:val="none" w:sz="0" w:space="0" w:color="auto" w:frame="1"/>
                <w:rtl/>
              </w:rPr>
            </w:pPr>
          </w:p>
          <w:p w14:paraId="1B5D117A" w14:textId="4F5E91C7" w:rsidR="0085581F" w:rsidRPr="0085581F" w:rsidRDefault="0085581F" w:rsidP="0085581F">
            <w:pPr>
              <w:keepNext/>
              <w:keepLines/>
              <w:tabs>
                <w:tab w:val="left" w:pos="425"/>
                <w:tab w:val="left" w:pos="4534"/>
              </w:tabs>
              <w:contextualSpacing/>
              <w:jc w:val="center"/>
              <w:rPr>
                <w:rFonts w:asciiTheme="majorBidi" w:eastAsia="Calibri" w:hAnsiTheme="majorBidi" w:cstheme="majorBidi"/>
                <w:u w:val="single"/>
                <w:bdr w:val="none" w:sz="0" w:space="0" w:color="auto" w:frame="1"/>
              </w:rPr>
            </w:pPr>
            <w:r w:rsidRPr="0085581F">
              <w:rPr>
                <w:rFonts w:asciiTheme="majorBidi" w:hAnsiTheme="majorBidi" w:cstheme="majorBidi"/>
              </w:rPr>
              <w:t>1,3</w:t>
            </w:r>
            <w:r w:rsidR="00F40D95">
              <w:rPr>
                <w:rFonts w:asciiTheme="majorBidi" w:hAnsiTheme="majorBidi" w:cstheme="majorBidi"/>
              </w:rPr>
              <w:t>10</w:t>
            </w:r>
          </w:p>
        </w:tc>
      </w:tr>
      <w:tr w:rsidR="0085581F" w:rsidRPr="0085581F" w14:paraId="26E1D26A" w14:textId="77777777" w:rsidTr="00A65A6F">
        <w:trPr>
          <w:cantSplit/>
          <w:trHeight w:val="734"/>
          <w:tblHeader/>
        </w:trPr>
        <w:tc>
          <w:tcPr>
            <w:tcW w:w="1827" w:type="pct"/>
            <w:vMerge w:val="restart"/>
            <w:tcBorders>
              <w:top w:val="single" w:sz="4" w:space="0" w:color="000031"/>
              <w:left w:val="nil"/>
              <w:bottom w:val="single" w:sz="4" w:space="0" w:color="000031"/>
              <w:right w:val="single" w:sz="4" w:space="0" w:color="000031"/>
            </w:tcBorders>
            <w:hideMark/>
          </w:tcPr>
          <w:p w14:paraId="713C5589" w14:textId="77777777" w:rsidR="0085581F" w:rsidRPr="0085581F" w:rsidRDefault="0085581F" w:rsidP="0085581F">
            <w:pPr>
              <w:keepNext/>
              <w:keepLines/>
              <w:tabs>
                <w:tab w:val="left" w:pos="425"/>
              </w:tabs>
              <w:contextualSpacing/>
              <w:rPr>
                <w:rFonts w:asciiTheme="majorBidi" w:eastAsia="Calibri" w:hAnsiTheme="majorBidi" w:cstheme="majorBidi"/>
                <w:u w:val="single"/>
                <w:bdr w:val="none" w:sz="0" w:space="0" w:color="auto" w:frame="1"/>
              </w:rPr>
            </w:pPr>
            <w:r w:rsidRPr="0085581F">
              <w:rPr>
                <w:rFonts w:asciiTheme="majorBidi" w:hAnsiTheme="majorBidi" w:cstheme="majorBidi"/>
                <w:bdr w:val="none" w:sz="0" w:space="0" w:color="auto" w:frame="1"/>
              </w:rPr>
              <w:t xml:space="preserve">Net interest bearing debt to total consolidated assets ratio </w:t>
            </w:r>
          </w:p>
          <w:p w14:paraId="32AA563E" w14:textId="77777777" w:rsidR="0085581F" w:rsidRPr="0085581F" w:rsidRDefault="0085581F" w:rsidP="0085581F">
            <w:pPr>
              <w:keepNext/>
              <w:keepLines/>
              <w:tabs>
                <w:tab w:val="left" w:pos="425"/>
                <w:tab w:val="left" w:pos="4534"/>
              </w:tabs>
              <w:contextualSpacing/>
              <w:rPr>
                <w:rFonts w:asciiTheme="majorBidi" w:eastAsia="Calibri" w:hAnsiTheme="majorBidi" w:cstheme="majorBidi"/>
                <w:bdr w:val="none" w:sz="0" w:space="0" w:color="auto" w:frame="1"/>
                <w:rtl/>
              </w:rPr>
            </w:pPr>
          </w:p>
          <w:p w14:paraId="4BBB4A89" w14:textId="77777777" w:rsidR="0085581F" w:rsidRPr="0045047E" w:rsidRDefault="0085581F" w:rsidP="0085581F">
            <w:pPr>
              <w:keepNext/>
              <w:keepLines/>
              <w:tabs>
                <w:tab w:val="left" w:pos="425"/>
                <w:tab w:val="left" w:pos="4534"/>
              </w:tabs>
              <w:contextualSpacing/>
              <w:rPr>
                <w:rFonts w:asciiTheme="majorBidi" w:eastAsia="Calibri" w:hAnsiTheme="majorBidi" w:cstheme="majorBidi"/>
                <w:bCs/>
                <w:bdr w:val="none" w:sz="0" w:space="0" w:color="auto" w:frame="1"/>
              </w:rPr>
            </w:pPr>
            <w:r w:rsidRPr="0045047E">
              <w:rPr>
                <w:rFonts w:asciiTheme="majorBidi" w:hAnsiTheme="majorBidi" w:cstheme="majorBidi"/>
                <w:bCs/>
                <w:bdr w:val="none" w:sz="0" w:space="0" w:color="auto" w:frame="1"/>
              </w:rPr>
              <w:t xml:space="preserve">In combination with </w:t>
            </w:r>
          </w:p>
          <w:p w14:paraId="6B274495" w14:textId="77777777" w:rsidR="0085581F" w:rsidRPr="0085581F" w:rsidRDefault="0085581F" w:rsidP="0085581F">
            <w:pPr>
              <w:keepNext/>
              <w:keepLines/>
              <w:tabs>
                <w:tab w:val="left" w:pos="425"/>
                <w:tab w:val="left" w:pos="4534"/>
              </w:tabs>
              <w:contextualSpacing/>
              <w:rPr>
                <w:rFonts w:asciiTheme="majorBidi" w:eastAsia="Calibri" w:hAnsiTheme="majorBidi" w:cstheme="majorBidi"/>
                <w:bdr w:val="none" w:sz="0" w:space="0" w:color="auto" w:frame="1"/>
                <w:rtl/>
              </w:rPr>
            </w:pPr>
          </w:p>
          <w:p w14:paraId="5C7EE7A9" w14:textId="77777777" w:rsidR="0085581F" w:rsidRPr="0085581F" w:rsidRDefault="0085581F" w:rsidP="0085581F">
            <w:pPr>
              <w:keepNext/>
              <w:keepLines/>
              <w:tabs>
                <w:tab w:val="left" w:pos="425"/>
                <w:tab w:val="left" w:pos="4534"/>
              </w:tabs>
              <w:contextualSpacing/>
              <w:rPr>
                <w:rFonts w:asciiTheme="majorBidi" w:eastAsia="Calibri" w:hAnsiTheme="majorBidi" w:cstheme="majorBidi"/>
                <w:u w:val="single"/>
                <w:bdr w:val="none" w:sz="0" w:space="0" w:color="auto" w:frame="1"/>
              </w:rPr>
            </w:pPr>
            <w:r w:rsidRPr="0085581F">
              <w:rPr>
                <w:rFonts w:asciiTheme="majorBidi" w:hAnsiTheme="majorBidi" w:cstheme="majorBidi"/>
                <w:bdr w:val="none" w:sz="0" w:space="0" w:color="auto" w:frame="1"/>
              </w:rPr>
              <w:t xml:space="preserve">Minimum rating for debentures              </w:t>
            </w:r>
          </w:p>
        </w:tc>
        <w:tc>
          <w:tcPr>
            <w:tcW w:w="1850" w:type="pct"/>
            <w:tcBorders>
              <w:top w:val="single" w:sz="4" w:space="0" w:color="000031"/>
              <w:left w:val="single" w:sz="4" w:space="0" w:color="000031"/>
              <w:bottom w:val="single" w:sz="4" w:space="0" w:color="000031"/>
              <w:right w:val="single" w:sz="4" w:space="0" w:color="000031"/>
            </w:tcBorders>
            <w:hideMark/>
          </w:tcPr>
          <w:p w14:paraId="0B8A2F04" w14:textId="77777777" w:rsidR="0085581F" w:rsidRPr="0085581F" w:rsidRDefault="0085581F" w:rsidP="0085581F">
            <w:pPr>
              <w:keepNext/>
              <w:keepLines/>
              <w:tabs>
                <w:tab w:val="left" w:pos="425"/>
                <w:tab w:val="left" w:pos="4534"/>
              </w:tabs>
              <w:contextualSpacing/>
              <w:rPr>
                <w:rFonts w:asciiTheme="majorBidi" w:eastAsia="Calibri" w:hAnsiTheme="majorBidi" w:cstheme="majorBidi"/>
                <w:bdr w:val="none" w:sz="0" w:space="0" w:color="auto" w:frame="1"/>
              </w:rPr>
            </w:pPr>
            <w:r w:rsidRPr="0085581F">
              <w:rPr>
                <w:rFonts w:asciiTheme="majorBidi" w:hAnsiTheme="majorBidi" w:cstheme="majorBidi"/>
                <w:bdr w:val="none" w:sz="0" w:space="0" w:color="auto" w:frame="1"/>
              </w:rPr>
              <w:t xml:space="preserve">K and L - lower than 80% for 4 consecutive quarters </w:t>
            </w:r>
          </w:p>
          <w:p w14:paraId="4F3A6027"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bdr w:val="none" w:sz="0" w:space="0" w:color="auto" w:frame="1"/>
              </w:rPr>
            </w:pPr>
            <w:r w:rsidRPr="0085581F">
              <w:rPr>
                <w:rFonts w:asciiTheme="majorBidi" w:hAnsiTheme="majorBidi" w:cstheme="majorBidi"/>
                <w:bdr w:val="none" w:sz="0" w:space="0" w:color="auto" w:frame="1"/>
              </w:rPr>
              <w:t>M - lower than 75% for 3 consecutive quarters</w:t>
            </w:r>
          </w:p>
        </w:tc>
        <w:tc>
          <w:tcPr>
            <w:tcW w:w="1323" w:type="pct"/>
            <w:tcBorders>
              <w:top w:val="single" w:sz="4" w:space="0" w:color="000031"/>
              <w:left w:val="single" w:sz="4" w:space="0" w:color="000031"/>
              <w:bottom w:val="single" w:sz="4" w:space="0" w:color="000031"/>
              <w:right w:val="nil"/>
            </w:tcBorders>
            <w:vAlign w:val="center"/>
            <w:hideMark/>
          </w:tcPr>
          <w:p w14:paraId="0D879EC0"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u w:val="single"/>
                <w:bdr w:val="none" w:sz="0" w:space="0" w:color="auto" w:frame="1"/>
              </w:rPr>
            </w:pPr>
            <w:r w:rsidRPr="0085581F">
              <w:rPr>
                <w:rFonts w:asciiTheme="majorBidi" w:hAnsiTheme="majorBidi" w:cstheme="majorBidi"/>
                <w:bdr w:val="none" w:sz="0" w:space="0" w:color="auto" w:frame="1"/>
              </w:rPr>
              <w:t>61.9%</w:t>
            </w:r>
            <w:r w:rsidRPr="0085581F">
              <w:rPr>
                <w:rFonts w:asciiTheme="majorBidi" w:hAnsiTheme="majorBidi" w:cstheme="majorBidi"/>
                <w:bdr w:val="none" w:sz="0" w:space="0" w:color="auto" w:frame="1"/>
                <w:vertAlign w:val="superscript"/>
              </w:rPr>
              <w:t xml:space="preserve"> 1</w:t>
            </w:r>
          </w:p>
        </w:tc>
      </w:tr>
      <w:tr w:rsidR="0085581F" w:rsidRPr="0085581F" w14:paraId="465C06F3" w14:textId="77777777" w:rsidTr="00A65A6F">
        <w:trPr>
          <w:cantSplit/>
          <w:trHeight w:val="400"/>
          <w:tblHeader/>
        </w:trPr>
        <w:tc>
          <w:tcPr>
            <w:tcW w:w="1827" w:type="pct"/>
            <w:vMerge/>
            <w:tcBorders>
              <w:top w:val="single" w:sz="4" w:space="0" w:color="000031"/>
              <w:left w:val="nil"/>
              <w:bottom w:val="single" w:sz="4" w:space="0" w:color="000031"/>
              <w:right w:val="single" w:sz="4" w:space="0" w:color="000031"/>
            </w:tcBorders>
            <w:vAlign w:val="bottom"/>
            <w:hideMark/>
          </w:tcPr>
          <w:p w14:paraId="4051FBDB" w14:textId="77777777" w:rsidR="0085581F" w:rsidRPr="0085581F" w:rsidRDefault="0085581F" w:rsidP="0085581F">
            <w:pPr>
              <w:keepNext/>
              <w:keepLines/>
              <w:tabs>
                <w:tab w:val="left" w:pos="425"/>
                <w:tab w:val="left" w:pos="4534"/>
              </w:tabs>
              <w:contextualSpacing/>
              <w:rPr>
                <w:rFonts w:asciiTheme="majorBidi" w:eastAsia="Calibri" w:hAnsiTheme="majorBidi" w:cstheme="majorBidi"/>
                <w:u w:val="single"/>
                <w:bdr w:val="none" w:sz="0" w:space="0" w:color="auto" w:frame="1"/>
                <w:rtl/>
              </w:rPr>
            </w:pPr>
          </w:p>
        </w:tc>
        <w:tc>
          <w:tcPr>
            <w:tcW w:w="1850" w:type="pct"/>
            <w:tcBorders>
              <w:top w:val="single" w:sz="4" w:space="0" w:color="000031"/>
              <w:left w:val="single" w:sz="4" w:space="0" w:color="000031"/>
              <w:bottom w:val="single" w:sz="4" w:space="0" w:color="000031"/>
              <w:right w:val="single" w:sz="4" w:space="0" w:color="000031"/>
            </w:tcBorders>
            <w:vAlign w:val="bottom"/>
            <w:hideMark/>
          </w:tcPr>
          <w:p w14:paraId="2437E81D" w14:textId="1E04A18B" w:rsidR="0085581F" w:rsidRPr="0085581F" w:rsidRDefault="0085581F" w:rsidP="0085581F">
            <w:pPr>
              <w:keepNext/>
              <w:keepLines/>
              <w:tabs>
                <w:tab w:val="left" w:pos="425"/>
                <w:tab w:val="left" w:pos="4534"/>
              </w:tabs>
              <w:contextualSpacing/>
              <w:jc w:val="center"/>
              <w:rPr>
                <w:rFonts w:asciiTheme="majorBidi" w:eastAsia="Calibri" w:hAnsiTheme="majorBidi" w:cstheme="majorBidi"/>
                <w:u w:val="single"/>
                <w:bdr w:val="none" w:sz="0" w:space="0" w:color="auto" w:frame="1"/>
              </w:rPr>
            </w:pPr>
            <w:r w:rsidRPr="0085581F">
              <w:rPr>
                <w:rFonts w:asciiTheme="majorBidi" w:hAnsiTheme="majorBidi" w:cstheme="majorBidi"/>
                <w:bdr w:val="none" w:sz="0" w:space="0" w:color="auto" w:frame="1"/>
              </w:rPr>
              <w:t xml:space="preserve">K, L and M </w:t>
            </w:r>
            <w:r w:rsidR="00E7469F">
              <w:rPr>
                <w:rFonts w:asciiTheme="majorBidi" w:hAnsiTheme="majorBidi" w:cstheme="majorBidi"/>
                <w:bdr w:val="none" w:sz="0" w:space="0" w:color="auto" w:frame="1"/>
              </w:rPr>
              <w:t>–</w:t>
            </w:r>
            <w:r w:rsidRPr="0085581F">
              <w:rPr>
                <w:rFonts w:asciiTheme="majorBidi" w:hAnsiTheme="majorBidi" w:cstheme="majorBidi"/>
                <w:bdr w:val="none" w:sz="0" w:space="0" w:color="auto" w:frame="1"/>
              </w:rPr>
              <w:t xml:space="preserve"> </w:t>
            </w:r>
            <w:r w:rsidR="0045047E">
              <w:rPr>
                <w:rFonts w:asciiTheme="majorBidi" w:hAnsiTheme="majorBidi" w:cstheme="majorBidi" w:hint="cs"/>
                <w:bdr w:val="none" w:sz="0" w:space="0" w:color="auto" w:frame="1"/>
                <w:rtl/>
              </w:rPr>
              <w:t>'</w:t>
            </w:r>
            <w:r w:rsidR="0045047E" w:rsidRPr="0045047E">
              <w:rPr>
                <w:rFonts w:asciiTheme="majorBidi" w:hAnsiTheme="majorBidi" w:cstheme="majorBidi"/>
                <w:bdr w:val="none" w:sz="0" w:space="0" w:color="auto" w:frame="1"/>
              </w:rPr>
              <w:t>ilBaa3'/'</w:t>
            </w:r>
            <w:proofErr w:type="spellStart"/>
            <w:r w:rsidR="0045047E" w:rsidRPr="0045047E">
              <w:rPr>
                <w:rFonts w:asciiTheme="majorBidi" w:hAnsiTheme="majorBidi" w:cstheme="majorBidi"/>
                <w:bdr w:val="none" w:sz="0" w:space="0" w:color="auto" w:frame="1"/>
              </w:rPr>
              <w:t>ilBBB</w:t>
            </w:r>
            <w:proofErr w:type="spellEnd"/>
            <w:r w:rsidR="0045047E" w:rsidRPr="0045047E">
              <w:rPr>
                <w:rFonts w:asciiTheme="majorBidi" w:hAnsiTheme="majorBidi" w:cstheme="majorBidi"/>
                <w:bdr w:val="none" w:sz="0" w:space="0" w:color="auto" w:frame="1"/>
              </w:rPr>
              <w:t>-</w:t>
            </w:r>
            <w:r w:rsidR="0045047E">
              <w:rPr>
                <w:rFonts w:asciiTheme="majorBidi" w:hAnsiTheme="majorBidi" w:cstheme="majorBidi" w:hint="cs"/>
                <w:bdr w:val="none" w:sz="0" w:space="0" w:color="auto" w:frame="1"/>
                <w:rtl/>
              </w:rPr>
              <w:t>'</w:t>
            </w:r>
          </w:p>
        </w:tc>
        <w:tc>
          <w:tcPr>
            <w:tcW w:w="1323" w:type="pct"/>
            <w:tcBorders>
              <w:top w:val="single" w:sz="4" w:space="0" w:color="000031"/>
              <w:left w:val="single" w:sz="4" w:space="0" w:color="000031"/>
              <w:bottom w:val="single" w:sz="4" w:space="0" w:color="000031"/>
              <w:right w:val="nil"/>
            </w:tcBorders>
            <w:vAlign w:val="bottom"/>
            <w:hideMark/>
          </w:tcPr>
          <w:p w14:paraId="0FD05510" w14:textId="741BF21E" w:rsidR="0085581F" w:rsidRPr="0085581F" w:rsidRDefault="0045047E" w:rsidP="0085581F">
            <w:pPr>
              <w:keepNext/>
              <w:keepLines/>
              <w:tabs>
                <w:tab w:val="left" w:pos="425"/>
                <w:tab w:val="left" w:pos="4534"/>
              </w:tabs>
              <w:contextualSpacing/>
              <w:jc w:val="center"/>
              <w:rPr>
                <w:rFonts w:asciiTheme="majorBidi" w:eastAsia="Calibri" w:hAnsiTheme="majorBidi" w:cstheme="majorBidi"/>
                <w:u w:val="single"/>
                <w:bdr w:val="none" w:sz="0" w:space="0" w:color="auto" w:frame="1"/>
              </w:rPr>
            </w:pPr>
            <w:r>
              <w:rPr>
                <w:rFonts w:asciiTheme="majorBidi" w:hAnsiTheme="majorBidi" w:cstheme="majorBidi" w:hint="cs"/>
                <w:bdr w:val="none" w:sz="0" w:space="0" w:color="auto" w:frame="1"/>
                <w:rtl/>
              </w:rPr>
              <w:t>'</w:t>
            </w:r>
            <w:r w:rsidRPr="0045047E">
              <w:rPr>
                <w:rFonts w:asciiTheme="majorBidi" w:hAnsiTheme="majorBidi" w:cstheme="majorBidi"/>
                <w:bdr w:val="none" w:sz="0" w:space="0" w:color="auto" w:frame="1"/>
              </w:rPr>
              <w:t>ilA3'/'</w:t>
            </w:r>
            <w:proofErr w:type="spellStart"/>
            <w:r w:rsidRPr="0045047E">
              <w:rPr>
                <w:rFonts w:asciiTheme="majorBidi" w:hAnsiTheme="majorBidi" w:cstheme="majorBidi"/>
                <w:bdr w:val="none" w:sz="0" w:space="0" w:color="auto" w:frame="1"/>
              </w:rPr>
              <w:t>ilA</w:t>
            </w:r>
            <w:proofErr w:type="spellEnd"/>
            <w:r w:rsidRPr="0045047E">
              <w:rPr>
                <w:rFonts w:asciiTheme="majorBidi" w:hAnsiTheme="majorBidi" w:cstheme="majorBidi"/>
                <w:bdr w:val="none" w:sz="0" w:space="0" w:color="auto" w:frame="1"/>
              </w:rPr>
              <w:t>-</w:t>
            </w:r>
            <w:r>
              <w:rPr>
                <w:rFonts w:asciiTheme="majorBidi" w:hAnsiTheme="majorBidi" w:cstheme="majorBidi" w:hint="cs"/>
                <w:bdr w:val="none" w:sz="0" w:space="0" w:color="auto" w:frame="1"/>
                <w:rtl/>
              </w:rPr>
              <w:t>'</w:t>
            </w:r>
          </w:p>
        </w:tc>
      </w:tr>
      <w:tr w:rsidR="0085581F" w:rsidRPr="0085581F" w14:paraId="518D988C" w14:textId="77777777" w:rsidTr="00A65A6F">
        <w:trPr>
          <w:cantSplit/>
          <w:trHeight w:val="400"/>
          <w:tblHeader/>
        </w:trPr>
        <w:tc>
          <w:tcPr>
            <w:tcW w:w="1827" w:type="pct"/>
            <w:tcBorders>
              <w:top w:val="single" w:sz="4" w:space="0" w:color="000031"/>
              <w:left w:val="nil"/>
              <w:bottom w:val="single" w:sz="4" w:space="0" w:color="000031"/>
              <w:right w:val="single" w:sz="4" w:space="0" w:color="000031"/>
            </w:tcBorders>
            <w:vAlign w:val="bottom"/>
          </w:tcPr>
          <w:p w14:paraId="538384B3" w14:textId="77777777" w:rsidR="0085581F" w:rsidRPr="0085581F" w:rsidRDefault="0085581F" w:rsidP="0085581F">
            <w:pPr>
              <w:keepNext/>
              <w:keepLines/>
              <w:tabs>
                <w:tab w:val="left" w:pos="425"/>
              </w:tabs>
              <w:contextualSpacing/>
              <w:rPr>
                <w:rFonts w:asciiTheme="majorBidi" w:eastAsia="Calibri" w:hAnsiTheme="majorBidi" w:cstheme="majorBidi"/>
                <w:u w:val="single"/>
                <w:bdr w:val="none" w:sz="0" w:space="0" w:color="auto" w:frame="1"/>
              </w:rPr>
            </w:pPr>
            <w:r w:rsidRPr="0085581F">
              <w:rPr>
                <w:rFonts w:asciiTheme="majorBidi" w:hAnsiTheme="majorBidi" w:cstheme="majorBidi"/>
                <w:bdr w:val="none" w:sz="0" w:space="0" w:color="auto" w:frame="1"/>
              </w:rPr>
              <w:t xml:space="preserve">Net interest bearing debt to total consolidated assets ratio </w:t>
            </w:r>
          </w:p>
        </w:tc>
        <w:tc>
          <w:tcPr>
            <w:tcW w:w="1850" w:type="pct"/>
            <w:tcBorders>
              <w:top w:val="single" w:sz="4" w:space="0" w:color="000031"/>
              <w:left w:val="single" w:sz="4" w:space="0" w:color="000031"/>
              <w:bottom w:val="single" w:sz="4" w:space="0" w:color="000031"/>
              <w:right w:val="single" w:sz="4" w:space="0" w:color="000031"/>
            </w:tcBorders>
            <w:vAlign w:val="bottom"/>
          </w:tcPr>
          <w:p w14:paraId="77869A7F"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bdr w:val="none" w:sz="0" w:space="0" w:color="auto" w:frame="1"/>
              </w:rPr>
            </w:pPr>
            <w:r w:rsidRPr="0085581F">
              <w:rPr>
                <w:rFonts w:asciiTheme="majorBidi" w:hAnsiTheme="majorBidi" w:cstheme="majorBidi"/>
              </w:rPr>
              <w:t>N, O, P, Q, R, S, T - lower than 75% for 3 consecutive quarters</w:t>
            </w:r>
          </w:p>
        </w:tc>
        <w:tc>
          <w:tcPr>
            <w:tcW w:w="1323" w:type="pct"/>
            <w:tcBorders>
              <w:top w:val="single" w:sz="4" w:space="0" w:color="000031"/>
              <w:left w:val="single" w:sz="4" w:space="0" w:color="000031"/>
              <w:bottom w:val="single" w:sz="4" w:space="0" w:color="000031"/>
              <w:right w:val="nil"/>
            </w:tcBorders>
            <w:vAlign w:val="center"/>
          </w:tcPr>
          <w:p w14:paraId="01E1E151"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bdr w:val="none" w:sz="0" w:space="0" w:color="auto" w:frame="1"/>
              </w:rPr>
            </w:pPr>
            <w:r w:rsidRPr="0085581F">
              <w:rPr>
                <w:rFonts w:asciiTheme="majorBidi" w:hAnsiTheme="majorBidi" w:cstheme="majorBidi"/>
                <w:bdr w:val="none" w:sz="0" w:space="0" w:color="auto" w:frame="1"/>
              </w:rPr>
              <w:t>61.4%</w:t>
            </w:r>
          </w:p>
        </w:tc>
      </w:tr>
      <w:tr w:rsidR="0085581F" w:rsidRPr="0085581F" w14:paraId="1D3124AD" w14:textId="77777777" w:rsidTr="00A65A6F">
        <w:trPr>
          <w:cantSplit/>
          <w:trHeight w:val="400"/>
          <w:tblHeader/>
        </w:trPr>
        <w:tc>
          <w:tcPr>
            <w:tcW w:w="1827" w:type="pct"/>
            <w:tcBorders>
              <w:top w:val="single" w:sz="4" w:space="0" w:color="000031"/>
              <w:left w:val="nil"/>
              <w:bottom w:val="single" w:sz="4" w:space="0" w:color="auto"/>
              <w:right w:val="single" w:sz="4" w:space="0" w:color="000031"/>
            </w:tcBorders>
            <w:vAlign w:val="bottom"/>
          </w:tcPr>
          <w:p w14:paraId="40220E93" w14:textId="77777777" w:rsidR="0085581F" w:rsidRPr="0085581F" w:rsidRDefault="0085581F" w:rsidP="0085581F">
            <w:pPr>
              <w:keepNext/>
              <w:keepLines/>
              <w:tabs>
                <w:tab w:val="left" w:pos="425"/>
                <w:tab w:val="left" w:pos="4534"/>
              </w:tabs>
              <w:contextualSpacing/>
              <w:rPr>
                <w:rFonts w:asciiTheme="majorBidi" w:eastAsia="Calibri" w:hAnsiTheme="majorBidi" w:cstheme="majorBidi"/>
                <w:u w:val="single"/>
                <w:bdr w:val="none" w:sz="0" w:space="0" w:color="auto" w:frame="1"/>
              </w:rPr>
            </w:pPr>
            <w:r w:rsidRPr="0085581F">
              <w:rPr>
                <w:rFonts w:asciiTheme="majorBidi" w:hAnsiTheme="majorBidi" w:cstheme="majorBidi"/>
                <w:bdr w:val="none" w:sz="0" w:space="0" w:color="auto" w:frame="1"/>
              </w:rPr>
              <w:t xml:space="preserve">Minimum rating for debentures              </w:t>
            </w:r>
          </w:p>
        </w:tc>
        <w:tc>
          <w:tcPr>
            <w:tcW w:w="1850" w:type="pct"/>
            <w:tcBorders>
              <w:top w:val="single" w:sz="4" w:space="0" w:color="000031"/>
              <w:left w:val="single" w:sz="4" w:space="0" w:color="000031"/>
              <w:bottom w:val="single" w:sz="4" w:space="0" w:color="auto"/>
              <w:right w:val="single" w:sz="4" w:space="0" w:color="000031"/>
            </w:tcBorders>
            <w:vAlign w:val="bottom"/>
          </w:tcPr>
          <w:p w14:paraId="7595F477" w14:textId="7E014093" w:rsidR="0085581F" w:rsidRPr="0085581F" w:rsidRDefault="0085581F" w:rsidP="0085581F">
            <w:pPr>
              <w:keepNext/>
              <w:keepLines/>
              <w:tabs>
                <w:tab w:val="left" w:pos="425"/>
                <w:tab w:val="left" w:pos="4534"/>
              </w:tabs>
              <w:contextualSpacing/>
              <w:jc w:val="center"/>
              <w:rPr>
                <w:rFonts w:asciiTheme="majorBidi" w:eastAsia="Calibri" w:hAnsiTheme="majorBidi" w:cstheme="majorBidi"/>
                <w:bdr w:val="none" w:sz="0" w:space="0" w:color="auto" w:frame="1"/>
              </w:rPr>
            </w:pPr>
            <w:r w:rsidRPr="0085581F">
              <w:rPr>
                <w:rFonts w:asciiTheme="majorBidi" w:hAnsiTheme="majorBidi" w:cstheme="majorBidi"/>
              </w:rPr>
              <w:t xml:space="preserve">N, O, P, Q, R, S, T - </w:t>
            </w:r>
            <w:r w:rsidR="0045047E" w:rsidRPr="0045047E">
              <w:rPr>
                <w:rFonts w:asciiTheme="majorBidi" w:hAnsiTheme="majorBidi" w:cstheme="majorBidi"/>
              </w:rPr>
              <w:t>'ilBaa3'/'</w:t>
            </w:r>
            <w:proofErr w:type="spellStart"/>
            <w:r w:rsidR="0045047E" w:rsidRPr="0045047E">
              <w:rPr>
                <w:rFonts w:asciiTheme="majorBidi" w:hAnsiTheme="majorBidi" w:cstheme="majorBidi"/>
              </w:rPr>
              <w:t>ilBBB</w:t>
            </w:r>
            <w:proofErr w:type="spellEnd"/>
            <w:r w:rsidR="0045047E" w:rsidRPr="0045047E">
              <w:rPr>
                <w:rFonts w:asciiTheme="majorBidi" w:hAnsiTheme="majorBidi" w:cstheme="majorBidi"/>
              </w:rPr>
              <w:t>-'</w:t>
            </w:r>
          </w:p>
        </w:tc>
        <w:tc>
          <w:tcPr>
            <w:tcW w:w="1323" w:type="pct"/>
            <w:tcBorders>
              <w:top w:val="single" w:sz="4" w:space="0" w:color="000031"/>
              <w:left w:val="single" w:sz="4" w:space="0" w:color="000031"/>
              <w:bottom w:val="single" w:sz="4" w:space="0" w:color="auto"/>
              <w:right w:val="nil"/>
            </w:tcBorders>
            <w:vAlign w:val="bottom"/>
          </w:tcPr>
          <w:p w14:paraId="14D07BFC" w14:textId="73D91B2A" w:rsidR="0085581F" w:rsidRPr="0085581F" w:rsidRDefault="0045047E" w:rsidP="0085581F">
            <w:pPr>
              <w:keepNext/>
              <w:keepLines/>
              <w:tabs>
                <w:tab w:val="left" w:pos="425"/>
                <w:tab w:val="left" w:pos="4534"/>
              </w:tabs>
              <w:contextualSpacing/>
              <w:jc w:val="center"/>
              <w:rPr>
                <w:rFonts w:asciiTheme="majorBidi" w:eastAsia="Calibri" w:hAnsiTheme="majorBidi" w:cstheme="majorBidi"/>
                <w:bdr w:val="none" w:sz="0" w:space="0" w:color="auto" w:frame="1"/>
              </w:rPr>
            </w:pPr>
            <w:r w:rsidRPr="0045047E">
              <w:rPr>
                <w:rFonts w:asciiTheme="majorBidi" w:hAnsiTheme="majorBidi" w:cstheme="majorBidi"/>
                <w:bdr w:val="none" w:sz="0" w:space="0" w:color="auto" w:frame="1"/>
              </w:rPr>
              <w:t>'ilA3'/'</w:t>
            </w:r>
            <w:proofErr w:type="spellStart"/>
            <w:r w:rsidRPr="0045047E">
              <w:rPr>
                <w:rFonts w:asciiTheme="majorBidi" w:hAnsiTheme="majorBidi" w:cstheme="majorBidi"/>
                <w:bdr w:val="none" w:sz="0" w:space="0" w:color="auto" w:frame="1"/>
              </w:rPr>
              <w:t>ilA</w:t>
            </w:r>
            <w:proofErr w:type="spellEnd"/>
            <w:r w:rsidRPr="0045047E">
              <w:rPr>
                <w:rFonts w:asciiTheme="majorBidi" w:hAnsiTheme="majorBidi" w:cstheme="majorBidi"/>
                <w:bdr w:val="none" w:sz="0" w:space="0" w:color="auto" w:frame="1"/>
              </w:rPr>
              <w:t>-'</w:t>
            </w:r>
          </w:p>
        </w:tc>
      </w:tr>
      <w:tr w:rsidR="0085581F" w:rsidRPr="0085581F" w14:paraId="1831AA6C" w14:textId="77777777" w:rsidTr="00A65A6F">
        <w:trPr>
          <w:cantSplit/>
          <w:trHeight w:val="400"/>
          <w:tblHeader/>
        </w:trPr>
        <w:tc>
          <w:tcPr>
            <w:tcW w:w="1827" w:type="pct"/>
            <w:tcBorders>
              <w:top w:val="single" w:sz="4" w:space="0" w:color="auto"/>
              <w:left w:val="nil"/>
            </w:tcBorders>
            <w:vAlign w:val="bottom"/>
          </w:tcPr>
          <w:p w14:paraId="0158C82F" w14:textId="77777777" w:rsidR="0085581F" w:rsidRPr="0085581F" w:rsidRDefault="0085581F" w:rsidP="0085581F">
            <w:pPr>
              <w:keepNext/>
              <w:keepLines/>
              <w:tabs>
                <w:tab w:val="left" w:pos="425"/>
                <w:tab w:val="left" w:pos="4534"/>
              </w:tabs>
              <w:contextualSpacing/>
              <w:rPr>
                <w:rFonts w:asciiTheme="majorBidi" w:eastAsia="Calibri" w:hAnsiTheme="majorBidi" w:cstheme="majorBidi"/>
                <w:bdr w:val="none" w:sz="0" w:space="0" w:color="auto" w:frame="1"/>
                <w:rtl/>
              </w:rPr>
            </w:pPr>
          </w:p>
        </w:tc>
        <w:tc>
          <w:tcPr>
            <w:tcW w:w="1850" w:type="pct"/>
            <w:tcBorders>
              <w:top w:val="single" w:sz="4" w:space="0" w:color="auto"/>
            </w:tcBorders>
            <w:vAlign w:val="bottom"/>
          </w:tcPr>
          <w:p w14:paraId="4604638E"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bdr w:val="none" w:sz="0" w:space="0" w:color="auto" w:frame="1"/>
                <w:rtl/>
              </w:rPr>
            </w:pPr>
          </w:p>
        </w:tc>
        <w:tc>
          <w:tcPr>
            <w:tcW w:w="1323" w:type="pct"/>
            <w:tcBorders>
              <w:top w:val="single" w:sz="4" w:space="0" w:color="auto"/>
              <w:right w:val="nil"/>
            </w:tcBorders>
            <w:vAlign w:val="bottom"/>
          </w:tcPr>
          <w:p w14:paraId="316C0612" w14:textId="77777777" w:rsidR="0085581F" w:rsidRPr="0085581F" w:rsidRDefault="0085581F" w:rsidP="0085581F">
            <w:pPr>
              <w:keepNext/>
              <w:keepLines/>
              <w:tabs>
                <w:tab w:val="left" w:pos="425"/>
                <w:tab w:val="left" w:pos="4534"/>
              </w:tabs>
              <w:contextualSpacing/>
              <w:jc w:val="center"/>
              <w:rPr>
                <w:rFonts w:asciiTheme="majorBidi" w:eastAsia="Calibri" w:hAnsiTheme="majorBidi" w:cstheme="majorBidi"/>
                <w:bdr w:val="none" w:sz="0" w:space="0" w:color="auto" w:frame="1"/>
              </w:rPr>
            </w:pPr>
          </w:p>
        </w:tc>
      </w:tr>
    </w:tbl>
    <w:p w14:paraId="4463A875" w14:textId="77777777" w:rsidR="0085581F" w:rsidRPr="0085581F" w:rsidRDefault="0085581F" w:rsidP="0085581F">
      <w:pPr>
        <w:keepLines/>
        <w:tabs>
          <w:tab w:val="left" w:pos="425"/>
        </w:tabs>
        <w:contextualSpacing/>
        <w:rPr>
          <w:rFonts w:asciiTheme="majorBidi" w:hAnsiTheme="majorBidi" w:cstheme="majorBidi"/>
          <w:sz w:val="21"/>
          <w:szCs w:val="21"/>
          <w:vertAlign w:val="superscript"/>
        </w:rPr>
      </w:pPr>
      <w:r w:rsidRPr="0085581F">
        <w:rPr>
          <w:rFonts w:asciiTheme="majorBidi" w:hAnsiTheme="majorBidi" w:cstheme="majorBidi"/>
          <w:sz w:val="21"/>
          <w:vertAlign w:val="superscript"/>
        </w:rPr>
        <w:t xml:space="preserve">1 </w:t>
      </w:r>
      <w:r w:rsidRPr="006E4BB6">
        <w:rPr>
          <w:rFonts w:asciiTheme="majorBidi" w:hAnsiTheme="majorBidi" w:cstheme="majorBidi"/>
          <w:sz w:val="21"/>
          <w:vertAlign w:val="subscript"/>
        </w:rPr>
        <w:t>In the calculation of the net interest bearing debt to total assets ratio, the net interest bearing debt includes the accrued interest as presented in the financial statements.</w:t>
      </w:r>
    </w:p>
    <w:p w14:paraId="3E426553" w14:textId="77777777" w:rsidR="0085581F" w:rsidRPr="0085581F" w:rsidRDefault="0085581F" w:rsidP="0085581F">
      <w:pPr>
        <w:keepLines/>
        <w:tabs>
          <w:tab w:val="left" w:pos="425"/>
        </w:tabs>
        <w:contextualSpacing/>
        <w:rPr>
          <w:rFonts w:asciiTheme="majorBidi" w:hAnsiTheme="majorBidi" w:cstheme="majorBidi"/>
          <w:sz w:val="21"/>
          <w:szCs w:val="21"/>
          <w:rtl/>
        </w:rPr>
      </w:pPr>
    </w:p>
    <w:p w14:paraId="1435EC4F" w14:textId="77777777" w:rsidR="0085581F" w:rsidRDefault="0085581F" w:rsidP="0085581F">
      <w:pPr>
        <w:keepLines/>
        <w:tabs>
          <w:tab w:val="left" w:pos="425"/>
        </w:tabs>
        <w:contextualSpacing/>
        <w:rPr>
          <w:rFonts w:asciiTheme="majorBidi" w:hAnsiTheme="majorBidi" w:cstheme="majorBidi"/>
          <w:sz w:val="21"/>
          <w:rtl/>
        </w:rPr>
      </w:pPr>
      <w:r w:rsidRPr="0085581F">
        <w:rPr>
          <w:rFonts w:asciiTheme="majorBidi" w:hAnsiTheme="majorBidi" w:cstheme="majorBidi"/>
          <w:sz w:val="21"/>
        </w:rPr>
        <w:t>As at June 30, 2024 and shortly prior to date of approval of the financial statements, the Company was in compliance with the covenants for its debentures.</w:t>
      </w:r>
    </w:p>
    <w:p w14:paraId="6A64126E" w14:textId="77777777" w:rsidR="006E4BB6" w:rsidRDefault="006E4BB6" w:rsidP="0085581F">
      <w:pPr>
        <w:keepLines/>
        <w:tabs>
          <w:tab w:val="left" w:pos="425"/>
        </w:tabs>
        <w:contextualSpacing/>
        <w:rPr>
          <w:rFonts w:asciiTheme="majorBidi" w:hAnsiTheme="majorBidi" w:cstheme="majorBidi"/>
          <w:sz w:val="21"/>
          <w:rtl/>
        </w:rPr>
      </w:pPr>
    </w:p>
    <w:p w14:paraId="6356C282" w14:textId="77777777" w:rsidR="006E4BB6" w:rsidRDefault="006E4BB6" w:rsidP="0085581F">
      <w:pPr>
        <w:keepLines/>
        <w:tabs>
          <w:tab w:val="left" w:pos="425"/>
        </w:tabs>
        <w:contextualSpacing/>
        <w:rPr>
          <w:rFonts w:asciiTheme="majorBidi" w:hAnsiTheme="majorBidi" w:cstheme="majorBidi"/>
          <w:sz w:val="21"/>
          <w:rtl/>
        </w:rPr>
      </w:pPr>
    </w:p>
    <w:p w14:paraId="26B3C982" w14:textId="77777777" w:rsidR="006E4BB6" w:rsidRDefault="006E4BB6" w:rsidP="0085581F">
      <w:pPr>
        <w:keepLines/>
        <w:tabs>
          <w:tab w:val="left" w:pos="425"/>
        </w:tabs>
        <w:contextualSpacing/>
        <w:rPr>
          <w:rFonts w:asciiTheme="majorBidi" w:hAnsiTheme="majorBidi" w:cstheme="majorBidi"/>
          <w:sz w:val="21"/>
          <w:rtl/>
        </w:rPr>
      </w:pPr>
    </w:p>
    <w:p w14:paraId="6B368BAF" w14:textId="77777777" w:rsidR="006E4BB6" w:rsidRDefault="006E4BB6" w:rsidP="0085581F">
      <w:pPr>
        <w:keepLines/>
        <w:tabs>
          <w:tab w:val="left" w:pos="425"/>
        </w:tabs>
        <w:contextualSpacing/>
        <w:rPr>
          <w:rFonts w:asciiTheme="majorBidi" w:hAnsiTheme="majorBidi" w:cstheme="majorBidi"/>
          <w:sz w:val="21"/>
          <w:rtl/>
        </w:rPr>
      </w:pPr>
    </w:p>
    <w:p w14:paraId="6E4D6A56" w14:textId="77777777" w:rsidR="006E4BB6" w:rsidRDefault="006E4BB6" w:rsidP="0085581F">
      <w:pPr>
        <w:keepLines/>
        <w:tabs>
          <w:tab w:val="left" w:pos="425"/>
        </w:tabs>
        <w:contextualSpacing/>
        <w:rPr>
          <w:rFonts w:asciiTheme="majorBidi" w:hAnsiTheme="majorBidi" w:cstheme="majorBidi"/>
          <w:sz w:val="21"/>
          <w:rtl/>
        </w:rPr>
      </w:pPr>
    </w:p>
    <w:p w14:paraId="1819AACC" w14:textId="77777777" w:rsidR="006E4BB6" w:rsidRDefault="006E4BB6" w:rsidP="0085581F">
      <w:pPr>
        <w:keepLines/>
        <w:tabs>
          <w:tab w:val="left" w:pos="425"/>
        </w:tabs>
        <w:contextualSpacing/>
        <w:rPr>
          <w:rFonts w:asciiTheme="majorBidi" w:hAnsiTheme="majorBidi" w:cstheme="majorBidi"/>
          <w:sz w:val="21"/>
          <w:rtl/>
        </w:rPr>
      </w:pPr>
    </w:p>
    <w:p w14:paraId="1AE4559D" w14:textId="77777777" w:rsidR="006E4BB6" w:rsidRDefault="006E4BB6" w:rsidP="0085581F">
      <w:pPr>
        <w:keepLines/>
        <w:tabs>
          <w:tab w:val="left" w:pos="425"/>
        </w:tabs>
        <w:contextualSpacing/>
        <w:rPr>
          <w:rFonts w:asciiTheme="majorBidi" w:hAnsiTheme="majorBidi" w:cstheme="majorBidi"/>
          <w:sz w:val="21"/>
          <w:rtl/>
        </w:rPr>
      </w:pPr>
    </w:p>
    <w:p w14:paraId="0D266354" w14:textId="77777777" w:rsidR="006E4BB6" w:rsidRDefault="006E4BB6" w:rsidP="0085581F">
      <w:pPr>
        <w:keepLines/>
        <w:tabs>
          <w:tab w:val="left" w:pos="425"/>
        </w:tabs>
        <w:contextualSpacing/>
        <w:rPr>
          <w:rFonts w:asciiTheme="majorBidi" w:hAnsiTheme="majorBidi" w:cstheme="majorBidi"/>
          <w:sz w:val="21"/>
          <w:rtl/>
        </w:rPr>
      </w:pPr>
    </w:p>
    <w:p w14:paraId="13AE4915" w14:textId="77777777" w:rsidR="006E4BB6" w:rsidRDefault="006E4BB6" w:rsidP="0085581F">
      <w:pPr>
        <w:keepLines/>
        <w:tabs>
          <w:tab w:val="left" w:pos="425"/>
        </w:tabs>
        <w:contextualSpacing/>
        <w:rPr>
          <w:rFonts w:asciiTheme="majorBidi" w:hAnsiTheme="majorBidi" w:cstheme="majorBidi"/>
          <w:sz w:val="21"/>
          <w:rtl/>
        </w:rPr>
      </w:pPr>
    </w:p>
    <w:p w14:paraId="61C7B7D7" w14:textId="77777777" w:rsidR="006E4BB6" w:rsidRDefault="006E4BB6" w:rsidP="0085581F">
      <w:pPr>
        <w:keepLines/>
        <w:tabs>
          <w:tab w:val="left" w:pos="425"/>
        </w:tabs>
        <w:contextualSpacing/>
        <w:rPr>
          <w:rFonts w:asciiTheme="majorBidi" w:hAnsiTheme="majorBidi" w:cstheme="majorBidi"/>
          <w:sz w:val="21"/>
          <w:rtl/>
        </w:rPr>
      </w:pPr>
    </w:p>
    <w:p w14:paraId="7ACA245E" w14:textId="77777777" w:rsidR="006E4BB6" w:rsidRPr="0085581F" w:rsidRDefault="006E4BB6" w:rsidP="0085581F">
      <w:pPr>
        <w:keepLines/>
        <w:tabs>
          <w:tab w:val="left" w:pos="425"/>
        </w:tabs>
        <w:contextualSpacing/>
        <w:rPr>
          <w:rFonts w:asciiTheme="majorBidi" w:hAnsiTheme="majorBidi" w:cstheme="majorBidi"/>
          <w:sz w:val="21"/>
          <w:szCs w:val="21"/>
        </w:rPr>
      </w:pPr>
    </w:p>
    <w:tbl>
      <w:tblPr>
        <w:tblW w:w="0" w:type="auto"/>
        <w:jc w:val="center"/>
        <w:tblLook w:val="0140" w:firstRow="0" w:lastRow="1" w:firstColumn="0" w:lastColumn="1" w:noHBand="0" w:noVBand="0"/>
      </w:tblPr>
      <w:tblGrid>
        <w:gridCol w:w="3189"/>
        <w:gridCol w:w="496"/>
        <w:gridCol w:w="2977"/>
        <w:gridCol w:w="529"/>
        <w:gridCol w:w="2730"/>
      </w:tblGrid>
      <w:tr w:rsidR="0085581F" w:rsidRPr="0085581F" w14:paraId="16661D0F" w14:textId="77777777" w:rsidTr="00A65A6F">
        <w:trPr>
          <w:cantSplit/>
          <w:trHeight w:val="263"/>
          <w:jc w:val="center"/>
        </w:trPr>
        <w:tc>
          <w:tcPr>
            <w:tcW w:w="3190" w:type="dxa"/>
            <w:tcBorders>
              <w:top w:val="nil"/>
              <w:left w:val="nil"/>
              <w:bottom w:val="single" w:sz="4" w:space="0" w:color="auto"/>
              <w:right w:val="nil"/>
            </w:tcBorders>
            <w:vAlign w:val="bottom"/>
            <w:hideMark/>
          </w:tcPr>
          <w:p w14:paraId="73B74D4A" w14:textId="77777777" w:rsidR="0085581F" w:rsidRPr="0085581F" w:rsidRDefault="0085581F" w:rsidP="0085581F">
            <w:pPr>
              <w:keepNext/>
              <w:keepLines/>
              <w:tabs>
                <w:tab w:val="left" w:pos="425"/>
              </w:tabs>
              <w:contextualSpacing/>
              <w:jc w:val="center"/>
              <w:rPr>
                <w:rFonts w:asciiTheme="majorBidi" w:eastAsia="Times New Roman" w:hAnsiTheme="majorBidi" w:cstheme="majorBidi"/>
                <w:sz w:val="21"/>
                <w:szCs w:val="21"/>
              </w:rPr>
            </w:pPr>
            <w:r w:rsidRPr="0085581F">
              <w:rPr>
                <w:rFonts w:asciiTheme="majorBidi" w:hAnsiTheme="majorBidi" w:cstheme="majorBidi"/>
                <w:sz w:val="21"/>
              </w:rPr>
              <w:t>August 14,  2024</w:t>
            </w:r>
          </w:p>
        </w:tc>
        <w:tc>
          <w:tcPr>
            <w:tcW w:w="496" w:type="dxa"/>
          </w:tcPr>
          <w:p w14:paraId="5A1D11BB" w14:textId="77777777" w:rsidR="0085581F" w:rsidRPr="0085581F" w:rsidRDefault="0085581F" w:rsidP="0085581F">
            <w:pPr>
              <w:keepNext/>
              <w:keepLines/>
              <w:tabs>
                <w:tab w:val="left" w:pos="425"/>
              </w:tabs>
              <w:contextualSpacing/>
              <w:rPr>
                <w:rFonts w:asciiTheme="majorBidi" w:eastAsia="Times New Roman" w:hAnsiTheme="majorBidi" w:cstheme="majorBidi"/>
                <w:sz w:val="21"/>
                <w:szCs w:val="21"/>
              </w:rPr>
            </w:pPr>
          </w:p>
        </w:tc>
        <w:tc>
          <w:tcPr>
            <w:tcW w:w="2977" w:type="dxa"/>
            <w:tcBorders>
              <w:top w:val="nil"/>
              <w:left w:val="nil"/>
              <w:bottom w:val="single" w:sz="4" w:space="0" w:color="auto"/>
              <w:right w:val="nil"/>
            </w:tcBorders>
          </w:tcPr>
          <w:p w14:paraId="283E2AE5" w14:textId="77777777" w:rsidR="0085581F" w:rsidRPr="0085581F" w:rsidRDefault="0085581F" w:rsidP="0085581F">
            <w:pPr>
              <w:keepNext/>
              <w:keepLines/>
              <w:tabs>
                <w:tab w:val="left" w:pos="425"/>
              </w:tabs>
              <w:contextualSpacing/>
              <w:rPr>
                <w:rFonts w:asciiTheme="majorBidi" w:eastAsia="Times New Roman" w:hAnsiTheme="majorBidi" w:cstheme="majorBidi"/>
                <w:sz w:val="21"/>
                <w:szCs w:val="21"/>
              </w:rPr>
            </w:pPr>
          </w:p>
        </w:tc>
        <w:tc>
          <w:tcPr>
            <w:tcW w:w="529" w:type="dxa"/>
          </w:tcPr>
          <w:p w14:paraId="7400659C" w14:textId="77777777" w:rsidR="0085581F" w:rsidRPr="0085581F" w:rsidRDefault="0085581F" w:rsidP="0085581F">
            <w:pPr>
              <w:keepNext/>
              <w:keepLines/>
              <w:tabs>
                <w:tab w:val="left" w:pos="425"/>
              </w:tabs>
              <w:contextualSpacing/>
              <w:rPr>
                <w:rFonts w:asciiTheme="majorBidi" w:eastAsia="Times New Roman" w:hAnsiTheme="majorBidi" w:cstheme="majorBidi"/>
                <w:sz w:val="21"/>
                <w:szCs w:val="21"/>
              </w:rPr>
            </w:pPr>
          </w:p>
        </w:tc>
        <w:tc>
          <w:tcPr>
            <w:tcW w:w="2730" w:type="dxa"/>
            <w:tcBorders>
              <w:top w:val="nil"/>
              <w:left w:val="nil"/>
              <w:bottom w:val="single" w:sz="4" w:space="0" w:color="auto"/>
              <w:right w:val="nil"/>
            </w:tcBorders>
          </w:tcPr>
          <w:p w14:paraId="4E470A61" w14:textId="77777777" w:rsidR="0085581F" w:rsidRPr="0085581F" w:rsidRDefault="0085581F" w:rsidP="0085581F">
            <w:pPr>
              <w:keepNext/>
              <w:keepLines/>
              <w:tabs>
                <w:tab w:val="left" w:pos="425"/>
              </w:tabs>
              <w:contextualSpacing/>
              <w:rPr>
                <w:rFonts w:asciiTheme="majorBidi" w:eastAsia="Times New Roman" w:hAnsiTheme="majorBidi" w:cstheme="majorBidi"/>
                <w:sz w:val="21"/>
                <w:szCs w:val="21"/>
              </w:rPr>
            </w:pPr>
          </w:p>
        </w:tc>
      </w:tr>
      <w:tr w:rsidR="0085581F" w:rsidRPr="0085581F" w14:paraId="2D3DF8A0" w14:textId="77777777" w:rsidTr="00A65A6F">
        <w:trPr>
          <w:cantSplit/>
          <w:trHeight w:val="401"/>
          <w:jc w:val="center"/>
        </w:trPr>
        <w:tc>
          <w:tcPr>
            <w:tcW w:w="3190" w:type="dxa"/>
            <w:tcBorders>
              <w:top w:val="single" w:sz="4" w:space="0" w:color="auto"/>
              <w:left w:val="nil"/>
              <w:bottom w:val="nil"/>
              <w:right w:val="nil"/>
            </w:tcBorders>
            <w:hideMark/>
          </w:tcPr>
          <w:p w14:paraId="6675788D" w14:textId="77777777" w:rsidR="0085581F" w:rsidRPr="0085581F" w:rsidRDefault="0085581F" w:rsidP="0085581F">
            <w:pPr>
              <w:keepNext/>
              <w:keepLines/>
              <w:tabs>
                <w:tab w:val="left" w:pos="425"/>
              </w:tabs>
              <w:contextualSpacing/>
              <w:jc w:val="center"/>
              <w:rPr>
                <w:rFonts w:asciiTheme="majorBidi" w:eastAsia="Times New Roman" w:hAnsiTheme="majorBidi" w:cstheme="majorBidi"/>
                <w:sz w:val="21"/>
                <w:szCs w:val="21"/>
              </w:rPr>
            </w:pPr>
            <w:r w:rsidRPr="0085581F">
              <w:rPr>
                <w:rFonts w:asciiTheme="majorBidi" w:hAnsiTheme="majorBidi" w:cstheme="majorBidi"/>
                <w:sz w:val="21"/>
              </w:rPr>
              <w:t>Date of Approval of Directors’ Report</w:t>
            </w:r>
          </w:p>
        </w:tc>
        <w:tc>
          <w:tcPr>
            <w:tcW w:w="496" w:type="dxa"/>
          </w:tcPr>
          <w:p w14:paraId="439EAA97" w14:textId="77777777" w:rsidR="0085581F" w:rsidRPr="0085581F" w:rsidRDefault="0085581F" w:rsidP="0085581F">
            <w:pPr>
              <w:keepNext/>
              <w:keepLines/>
              <w:tabs>
                <w:tab w:val="left" w:pos="425"/>
              </w:tabs>
              <w:contextualSpacing/>
              <w:rPr>
                <w:rFonts w:asciiTheme="majorBidi" w:eastAsia="Times New Roman" w:hAnsiTheme="majorBidi" w:cstheme="majorBidi"/>
                <w:sz w:val="21"/>
                <w:szCs w:val="21"/>
              </w:rPr>
            </w:pPr>
          </w:p>
        </w:tc>
        <w:tc>
          <w:tcPr>
            <w:tcW w:w="2977" w:type="dxa"/>
            <w:tcBorders>
              <w:top w:val="single" w:sz="4" w:space="0" w:color="auto"/>
              <w:left w:val="nil"/>
              <w:bottom w:val="nil"/>
              <w:right w:val="nil"/>
            </w:tcBorders>
            <w:hideMark/>
          </w:tcPr>
          <w:p w14:paraId="390335E0" w14:textId="77777777" w:rsidR="0085581F" w:rsidRPr="0085581F" w:rsidRDefault="0085581F" w:rsidP="0085581F">
            <w:pPr>
              <w:keepNext/>
              <w:keepLines/>
              <w:tabs>
                <w:tab w:val="left" w:pos="425"/>
              </w:tabs>
              <w:contextualSpacing/>
              <w:jc w:val="center"/>
              <w:rPr>
                <w:rFonts w:asciiTheme="majorBidi" w:eastAsia="Times New Roman" w:hAnsiTheme="majorBidi" w:cstheme="majorBidi"/>
                <w:sz w:val="21"/>
                <w:szCs w:val="21"/>
              </w:rPr>
            </w:pPr>
            <w:r w:rsidRPr="0085581F">
              <w:rPr>
                <w:rFonts w:asciiTheme="majorBidi" w:hAnsiTheme="majorBidi" w:cstheme="majorBidi"/>
                <w:sz w:val="21"/>
              </w:rPr>
              <w:t>Ehud Arnon - Chairman of the Board of Directors</w:t>
            </w:r>
          </w:p>
        </w:tc>
        <w:tc>
          <w:tcPr>
            <w:tcW w:w="529" w:type="dxa"/>
          </w:tcPr>
          <w:p w14:paraId="4B36B61B" w14:textId="77777777" w:rsidR="0085581F" w:rsidRPr="0085581F" w:rsidRDefault="0085581F" w:rsidP="0085581F">
            <w:pPr>
              <w:keepNext/>
              <w:keepLines/>
              <w:tabs>
                <w:tab w:val="left" w:pos="425"/>
              </w:tabs>
              <w:contextualSpacing/>
              <w:rPr>
                <w:rFonts w:asciiTheme="majorBidi" w:eastAsia="Times New Roman" w:hAnsiTheme="majorBidi" w:cstheme="majorBidi"/>
                <w:sz w:val="21"/>
                <w:szCs w:val="21"/>
              </w:rPr>
            </w:pPr>
          </w:p>
        </w:tc>
        <w:tc>
          <w:tcPr>
            <w:tcW w:w="2730" w:type="dxa"/>
            <w:tcBorders>
              <w:top w:val="single" w:sz="4" w:space="0" w:color="auto"/>
              <w:left w:val="nil"/>
              <w:bottom w:val="nil"/>
              <w:right w:val="nil"/>
            </w:tcBorders>
            <w:hideMark/>
          </w:tcPr>
          <w:p w14:paraId="0CF4FA96" w14:textId="77777777" w:rsidR="0085581F" w:rsidRPr="0085581F" w:rsidRDefault="0085581F" w:rsidP="0085581F">
            <w:pPr>
              <w:keepNext/>
              <w:keepLines/>
              <w:tabs>
                <w:tab w:val="left" w:pos="425"/>
              </w:tabs>
              <w:contextualSpacing/>
              <w:jc w:val="center"/>
              <w:rPr>
                <w:rFonts w:asciiTheme="majorBidi" w:eastAsia="Times New Roman" w:hAnsiTheme="majorBidi" w:cstheme="majorBidi"/>
                <w:sz w:val="21"/>
                <w:szCs w:val="21"/>
              </w:rPr>
            </w:pPr>
            <w:r w:rsidRPr="0085581F">
              <w:rPr>
                <w:rFonts w:asciiTheme="majorBidi" w:hAnsiTheme="majorBidi" w:cstheme="majorBidi"/>
                <w:sz w:val="21"/>
              </w:rPr>
              <w:t>Chaim Katzman - Vice Chairman of the Board of Directors and CEO</w:t>
            </w:r>
          </w:p>
        </w:tc>
      </w:tr>
    </w:tbl>
    <w:p w14:paraId="3D77EB71" w14:textId="77777777" w:rsidR="0085581F" w:rsidRPr="0085581F" w:rsidRDefault="0085581F" w:rsidP="0085581F">
      <w:pPr>
        <w:pageBreakBefore/>
        <w:jc w:val="center"/>
        <w:outlineLvl w:val="2"/>
        <w:rPr>
          <w:rFonts w:asciiTheme="majorBidi" w:hAnsiTheme="majorBidi" w:cstheme="majorBidi"/>
          <w:color w:val="222A35"/>
          <w:sz w:val="24"/>
          <w:szCs w:val="24"/>
        </w:rPr>
      </w:pPr>
      <w:bookmarkStart w:id="113" w:name="RG_MARKER_56579"/>
      <w:bookmarkStart w:id="114" w:name="RG_MARKER_56628"/>
      <w:bookmarkStart w:id="115" w:name="H3_נספח_א_לדוח_הדירקטוריון"/>
      <w:r w:rsidRPr="0085581F">
        <w:rPr>
          <w:rFonts w:asciiTheme="majorBidi" w:hAnsiTheme="majorBidi" w:cstheme="majorBidi"/>
          <w:color w:val="222A35"/>
          <w:sz w:val="24"/>
        </w:rPr>
        <w:lastRenderedPageBreak/>
        <w:t>Appendix A to the Directors’ Report</w:t>
      </w:r>
      <w:bookmarkEnd w:id="113"/>
      <w:bookmarkEnd w:id="114"/>
    </w:p>
    <w:p w14:paraId="3C90154F" w14:textId="77777777" w:rsidR="0085581F" w:rsidRPr="0085581F" w:rsidRDefault="0085581F" w:rsidP="0085581F">
      <w:pPr>
        <w:jc w:val="center"/>
        <w:outlineLvl w:val="3"/>
        <w:rPr>
          <w:rFonts w:asciiTheme="majorBidi" w:hAnsiTheme="majorBidi" w:cstheme="majorBidi"/>
          <w:color w:val="222A35"/>
          <w:sz w:val="22"/>
          <w:szCs w:val="22"/>
          <w:u w:val="single"/>
        </w:rPr>
      </w:pPr>
      <w:bookmarkStart w:id="116" w:name="H4_מידע_נוסף_בדבר_חשיפה_מטבעית_ליום_Dday"/>
      <w:bookmarkEnd w:id="115"/>
      <w:r w:rsidRPr="0085581F">
        <w:rPr>
          <w:rFonts w:asciiTheme="majorBidi" w:hAnsiTheme="majorBidi" w:cstheme="majorBidi"/>
          <w:color w:val="222A35"/>
          <w:sz w:val="22"/>
          <w:u w:val="single"/>
        </w:rPr>
        <w:t xml:space="preserve">Additional Information regarding Currency Exposure </w:t>
      </w:r>
    </w:p>
    <w:bookmarkEnd w:id="116"/>
    <w:p w14:paraId="7E8E4792" w14:textId="77777777" w:rsidR="0085581F" w:rsidRPr="0085581F" w:rsidRDefault="0085581F" w:rsidP="0085581F">
      <w:pPr>
        <w:rPr>
          <w:rFonts w:asciiTheme="majorBidi" w:hAnsiTheme="majorBidi" w:cstheme="majorBidi"/>
          <w:rtl/>
        </w:rPr>
      </w:pPr>
    </w:p>
    <w:p w14:paraId="335C9E02" w14:textId="77777777" w:rsidR="0085581F" w:rsidRPr="0085581F" w:rsidRDefault="0085581F" w:rsidP="0085581F">
      <w:pPr>
        <w:keepLines/>
        <w:tabs>
          <w:tab w:val="left" w:pos="425"/>
        </w:tabs>
        <w:contextualSpacing/>
        <w:rPr>
          <w:rFonts w:asciiTheme="majorBidi" w:hAnsiTheme="majorBidi" w:cstheme="majorBidi"/>
          <w:sz w:val="21"/>
          <w:szCs w:val="21"/>
        </w:rPr>
      </w:pPr>
      <w:r w:rsidRPr="0085581F">
        <w:rPr>
          <w:rFonts w:asciiTheme="majorBidi" w:hAnsiTheme="majorBidi" w:cstheme="majorBidi"/>
          <w:sz w:val="21"/>
        </w:rPr>
        <w:t xml:space="preserve">Below is information with respect to the scope of the Company’s exposure to each currency to which it is exposed (EUR, USD, CAD, NIS and BRL), in respect of which cross-currency swaps and forward transactions were transacted: (the “Derivative Transactions”), and with respect to the remaining scope of exposure after execution of the Derivative Transactions, as known to the Company, as at June 30, 2024. </w:t>
      </w:r>
      <w:r w:rsidRPr="0085581F">
        <w:rPr>
          <w:rFonts w:asciiTheme="majorBidi" w:hAnsiTheme="majorBidi" w:cstheme="majorBidi"/>
        </w:rPr>
        <w:t>The following table presents the assets and the liabilities presented in the Company’s statement of financial position (in the original currency and in NIS</w:t>
      </w:r>
      <w:r w:rsidRPr="0085581F">
        <w:rPr>
          <w:rFonts w:asciiTheme="majorBidi" w:hAnsiTheme="majorBidi" w:cstheme="majorBidi"/>
          <w:vertAlign w:val="superscript"/>
        </w:rPr>
        <w:t>(1)</w:t>
      </w:r>
      <w:r w:rsidRPr="0085581F">
        <w:rPr>
          <w:rFonts w:asciiTheme="majorBidi" w:hAnsiTheme="majorBidi" w:cstheme="majorBidi"/>
        </w:rPr>
        <w:t>) and the percentages that they represent of the total assets and liabilities, respectively, on a proportionate consolidation basis</w:t>
      </w:r>
      <w:r w:rsidRPr="0085581F">
        <w:rPr>
          <w:rFonts w:asciiTheme="majorBidi" w:hAnsiTheme="majorBidi" w:cstheme="majorBidi"/>
          <w:vertAlign w:val="superscript"/>
        </w:rPr>
        <w:t>(2)</w:t>
      </w:r>
      <w:r w:rsidRPr="0085581F">
        <w:rPr>
          <w:rFonts w:asciiTheme="majorBidi" w:hAnsiTheme="majorBidi" w:cstheme="majorBidi"/>
        </w:rPr>
        <w:t>, and the total financial adjustments made by the Company by means of cross-currency swap transactions, to correlate, to the extent possible, the Company's equity to the Company's assets (from a currency perspective).</w:t>
      </w:r>
      <w:r w:rsidRPr="0085581F">
        <w:rPr>
          <w:rFonts w:asciiTheme="majorBidi" w:hAnsiTheme="majorBidi" w:cstheme="majorBidi"/>
          <w:sz w:val="21"/>
        </w:rPr>
        <w:t xml:space="preserve"> As illustrated by the table, the assets and liabilities for each particular currency do not fully correlate, and the exposure to each such currency is reflected in the differences, as presented in the table.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1"/>
      </w:tblGrid>
      <w:tr w:rsidR="0085581F" w:rsidRPr="0085581F" w14:paraId="1D23C145" w14:textId="77777777" w:rsidTr="00A65A6F">
        <w:trPr>
          <w:cantSplit/>
        </w:trPr>
        <w:tc>
          <w:tcPr>
            <w:tcW w:w="5000" w:type="pct"/>
          </w:tcPr>
          <w:tbl>
            <w:tblPr>
              <w:tblStyle w:val="CDMRange120"/>
              <w:tblW w:w="9960" w:type="dxa"/>
              <w:tblLook w:val="0600" w:firstRow="0" w:lastRow="0" w:firstColumn="0" w:lastColumn="0" w:noHBand="1" w:noVBand="1"/>
              <w:tblCaption w:val="Print_Area"/>
            </w:tblPr>
            <w:tblGrid>
              <w:gridCol w:w="301"/>
              <w:gridCol w:w="2941"/>
              <w:gridCol w:w="1141"/>
              <w:gridCol w:w="1097"/>
              <w:gridCol w:w="1102"/>
              <w:gridCol w:w="1096"/>
              <w:gridCol w:w="1141"/>
              <w:gridCol w:w="1141"/>
            </w:tblGrid>
            <w:tr w:rsidR="009A026B" w:rsidRPr="0085581F" w14:paraId="7934CD08" w14:textId="77777777" w:rsidTr="00A65A6F">
              <w:trPr>
                <w:cantSplit/>
                <w:trHeight w:val="300"/>
              </w:trPr>
              <w:tc>
                <w:tcPr>
                  <w:tcW w:w="3210" w:type="dxa"/>
                  <w:gridSpan w:val="2"/>
                  <w:tcBorders>
                    <w:top w:val="nil"/>
                    <w:left w:val="nil"/>
                    <w:bottom w:val="nil"/>
                    <w:right w:val="nil"/>
                    <w:tl2br w:val="nil"/>
                    <w:tr2bl w:val="nil"/>
                  </w:tcBorders>
                  <w:shd w:val="clear" w:color="FFFFFF" w:fill="071435"/>
                  <w:noWrap/>
                  <w:tcMar>
                    <w:left w:w="43" w:type="dxa"/>
                    <w:right w:w="43" w:type="dxa"/>
                  </w:tcMar>
                  <w:vAlign w:val="center"/>
                </w:tcPr>
                <w:p w14:paraId="032670D9"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Data presented in millions</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74C3D832"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NIS</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1849EC2E"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USD</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66F66E69"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EUR</w:t>
                  </w:r>
                  <w:r w:rsidRPr="0085581F">
                    <w:rPr>
                      <w:rFonts w:asciiTheme="majorBidi" w:hAnsiTheme="majorBidi" w:cstheme="majorBidi"/>
                      <w:b/>
                      <w:color w:val="FFFFFF"/>
                      <w:sz w:val="21"/>
                      <w:vertAlign w:val="superscript"/>
                    </w:rPr>
                    <w:t xml:space="preserve"> 3</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16F699D9"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CAD</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0D78DC4C"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BRL</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70A80781"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Total in NIS</w:t>
                  </w:r>
                </w:p>
              </w:tc>
            </w:tr>
            <w:tr w:rsidR="0085581F" w:rsidRPr="0085581F" w14:paraId="1CA1B67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210" w:type="dxa"/>
                  <w:gridSpan w:val="2"/>
                  <w:tcBorders>
                    <w:top w:val="nil"/>
                    <w:left w:val="nil"/>
                    <w:bottom w:val="single" w:sz="4" w:space="0" w:color="000000"/>
                    <w:right w:val="nil"/>
                    <w:tl2br w:val="nil"/>
                    <w:tr2bl w:val="nil"/>
                  </w:tcBorders>
                  <w:shd w:val="clear" w:color="auto" w:fill="auto"/>
                  <w:noWrap/>
                  <w:tcMar>
                    <w:left w:w="43" w:type="dxa"/>
                    <w:right w:w="43" w:type="dxa"/>
                  </w:tcMar>
                  <w:vAlign w:val="bottom"/>
                </w:tcPr>
                <w:p w14:paraId="79AA9EC5"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Assets in original currency</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2199D6F1"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4,911</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25D79A45"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789</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5B45FDD1"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4,074</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27270FF9"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107</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209C7D27"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3,808</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2E7A15C3"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647161D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210" w:type="dxa"/>
                  <w:gridSpan w:val="2"/>
                  <w:tcBorders>
                    <w:top w:val="single" w:sz="4" w:space="0" w:color="000000"/>
                    <w:left w:val="nil"/>
                    <w:bottom w:val="nil"/>
                    <w:right w:val="nil"/>
                    <w:tl2br w:val="nil"/>
                    <w:tr2bl w:val="nil"/>
                  </w:tcBorders>
                  <w:shd w:val="clear" w:color="auto" w:fill="auto"/>
                  <w:noWrap/>
                  <w:tcMar>
                    <w:left w:w="43" w:type="dxa"/>
                    <w:right w:w="43" w:type="dxa"/>
                  </w:tcMar>
                  <w:vAlign w:val="bottom"/>
                </w:tcPr>
                <w:p w14:paraId="02E1471A"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Assets in NIS</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17716473"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4,911</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74274580"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2,967</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21A23969"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16,378</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67813900"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293</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63749641"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2,575</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0AB532FA"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27,124</w:t>
                  </w:r>
                </w:p>
              </w:tc>
            </w:tr>
            <w:tr w:rsidR="009A026B" w:rsidRPr="0085581F" w14:paraId="0557E78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210" w:type="dxa"/>
                  <w:gridSpan w:val="2"/>
                  <w:tcBorders>
                    <w:top w:val="nil"/>
                    <w:left w:val="nil"/>
                    <w:bottom w:val="nil"/>
                    <w:right w:val="nil"/>
                    <w:tl2br w:val="nil"/>
                    <w:tr2bl w:val="nil"/>
                  </w:tcBorders>
                  <w:shd w:val="clear" w:color="FFFFFF" w:fill="071435"/>
                  <w:noWrap/>
                  <w:tcMar>
                    <w:left w:w="43" w:type="dxa"/>
                    <w:right w:w="43" w:type="dxa"/>
                  </w:tcMar>
                  <w:vAlign w:val="center"/>
                </w:tcPr>
                <w:p w14:paraId="6CC401DF" w14:textId="77777777" w:rsidR="0085581F" w:rsidRPr="0085581F" w:rsidRDefault="0085581F" w:rsidP="0085581F">
                  <w:pPr>
                    <w:keepNext/>
                    <w:spacing w:before="0" w:after="0" w:line="240" w:lineRule="auto"/>
                    <w:jc w:val="left"/>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 of total assets</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3688B6C2"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19</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35D7F5F0"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11</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3902BA46"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60</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38B0F136"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1</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77228007"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9</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01967D77"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100</w:t>
                  </w:r>
                </w:p>
              </w:tc>
            </w:tr>
            <w:tr w:rsidR="0085581F" w:rsidRPr="0085581F" w14:paraId="29925A5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210" w:type="dxa"/>
                  <w:gridSpan w:val="2"/>
                  <w:tcBorders>
                    <w:top w:val="nil"/>
                    <w:left w:val="nil"/>
                    <w:bottom w:val="single" w:sz="4" w:space="0" w:color="000000"/>
                    <w:right w:val="nil"/>
                    <w:tl2br w:val="nil"/>
                    <w:tr2bl w:val="nil"/>
                  </w:tcBorders>
                  <w:shd w:val="clear" w:color="auto" w:fill="auto"/>
                  <w:noWrap/>
                  <w:tcMar>
                    <w:left w:w="43" w:type="dxa"/>
                    <w:right w:w="43" w:type="dxa"/>
                  </w:tcMar>
                  <w:vAlign w:val="bottom"/>
                </w:tcPr>
                <w:p w14:paraId="18599005"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Liabilities in original currency</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3EF6BF5B"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10,952</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1B17CEB9"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266</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7B6251E4"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2,396</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05EC8AFF"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75</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5E9D1327"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774</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4AF4BA0D"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5705BB3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210" w:type="dxa"/>
                  <w:gridSpan w:val="2"/>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6EA19339"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Cross-currency swap transactions in original currency</w:t>
                  </w:r>
                </w:p>
              </w:tc>
              <w:tc>
                <w:tcPr>
                  <w:tcW w:w="112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4799F20F"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(132)</w:t>
                  </w:r>
                </w:p>
              </w:tc>
              <w:tc>
                <w:tcPr>
                  <w:tcW w:w="112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77E80921"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25</w:t>
                  </w:r>
                </w:p>
              </w:tc>
              <w:tc>
                <w:tcPr>
                  <w:tcW w:w="112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1BB33578"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107</w:t>
                  </w:r>
                </w:p>
              </w:tc>
              <w:tc>
                <w:tcPr>
                  <w:tcW w:w="112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45170772"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12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1F858BDD"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c>
                <w:tcPr>
                  <w:tcW w:w="112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615362E4"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756F40D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210" w:type="dxa"/>
                  <w:gridSpan w:val="2"/>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11EC0686"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Liabilities in original currency</w:t>
                  </w:r>
                </w:p>
              </w:tc>
              <w:tc>
                <w:tcPr>
                  <w:tcW w:w="112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26C2F87B"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11,084</w:t>
                  </w:r>
                </w:p>
              </w:tc>
              <w:tc>
                <w:tcPr>
                  <w:tcW w:w="112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20C34A32"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241</w:t>
                  </w:r>
                </w:p>
              </w:tc>
              <w:tc>
                <w:tcPr>
                  <w:tcW w:w="112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7F022CE3"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2,289</w:t>
                  </w:r>
                </w:p>
              </w:tc>
              <w:tc>
                <w:tcPr>
                  <w:tcW w:w="112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118100AC"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75</w:t>
                  </w:r>
                </w:p>
              </w:tc>
              <w:tc>
                <w:tcPr>
                  <w:tcW w:w="112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1D0371DF"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773</w:t>
                  </w:r>
                </w:p>
              </w:tc>
              <w:tc>
                <w:tcPr>
                  <w:tcW w:w="112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28343202"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4A3B461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210" w:type="dxa"/>
                  <w:gridSpan w:val="2"/>
                  <w:tcBorders>
                    <w:top w:val="single" w:sz="4" w:space="0" w:color="000000"/>
                    <w:left w:val="nil"/>
                    <w:bottom w:val="nil"/>
                    <w:right w:val="nil"/>
                    <w:tl2br w:val="nil"/>
                    <w:tr2bl w:val="nil"/>
                  </w:tcBorders>
                  <w:shd w:val="clear" w:color="auto" w:fill="auto"/>
                  <w:tcMar>
                    <w:left w:w="43" w:type="dxa"/>
                    <w:right w:w="43" w:type="dxa"/>
                  </w:tcMar>
                  <w:vAlign w:val="bottom"/>
                </w:tcPr>
                <w:p w14:paraId="4816F782"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Liabilities in NIS adjusted for swaps</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3421FEAF"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11,084</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17344BDB"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906</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4C4EC096"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9,202</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043F24E5"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206</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057715F9"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523</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4492AE73"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21,921</w:t>
                  </w:r>
                </w:p>
              </w:tc>
            </w:tr>
            <w:tr w:rsidR="009A026B" w:rsidRPr="0085581F" w14:paraId="063635C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210" w:type="dxa"/>
                  <w:gridSpan w:val="2"/>
                  <w:tcBorders>
                    <w:top w:val="nil"/>
                    <w:left w:val="nil"/>
                    <w:bottom w:val="nil"/>
                    <w:right w:val="nil"/>
                    <w:tl2br w:val="nil"/>
                    <w:tr2bl w:val="nil"/>
                  </w:tcBorders>
                  <w:shd w:val="clear" w:color="FFFFFF" w:fill="071435"/>
                  <w:noWrap/>
                  <w:tcMar>
                    <w:left w:w="43" w:type="dxa"/>
                    <w:right w:w="43" w:type="dxa"/>
                  </w:tcMar>
                  <w:vAlign w:val="center"/>
                </w:tcPr>
                <w:p w14:paraId="5EFC07A4" w14:textId="77777777" w:rsidR="0085581F" w:rsidRPr="0085581F" w:rsidRDefault="0085581F" w:rsidP="0085581F">
                  <w:pPr>
                    <w:keepNext/>
                    <w:spacing w:before="0" w:after="0" w:line="240" w:lineRule="auto"/>
                    <w:jc w:val="left"/>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 of total liabilities</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05BDF606"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51</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6393F6AE"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4</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3E6B5B62"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42</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379DA734"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1</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36243F3F"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2</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279B270F"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100</w:t>
                  </w:r>
                </w:p>
              </w:tc>
            </w:tr>
            <w:tr w:rsidR="0085581F" w:rsidRPr="0085581F" w14:paraId="5D1E022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210" w:type="dxa"/>
                  <w:gridSpan w:val="2"/>
                  <w:tcBorders>
                    <w:top w:val="nil"/>
                    <w:left w:val="nil"/>
                    <w:bottom w:val="single" w:sz="4" w:space="0" w:color="000000"/>
                    <w:right w:val="nil"/>
                    <w:tl2br w:val="nil"/>
                    <w:tr2bl w:val="nil"/>
                  </w:tcBorders>
                  <w:shd w:val="clear" w:color="auto" w:fill="auto"/>
                  <w:noWrap/>
                  <w:tcMar>
                    <w:left w:w="43" w:type="dxa"/>
                    <w:right w:w="43" w:type="dxa"/>
                  </w:tcMar>
                  <w:vAlign w:val="bottom"/>
                </w:tcPr>
                <w:p w14:paraId="68B8F5A4"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Total equity in original currency</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1AB48E30"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(6,173)</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1BBF99B6"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548</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20789F87"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1,785</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4E8CD1AA"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32</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0B543583"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3,035</w:t>
                  </w:r>
                </w:p>
              </w:tc>
              <w:tc>
                <w:tcPr>
                  <w:tcW w:w="1125" w:type="dxa"/>
                  <w:tcBorders>
                    <w:top w:val="nil"/>
                    <w:left w:val="nil"/>
                    <w:bottom w:val="single" w:sz="4" w:space="0" w:color="000000"/>
                    <w:right w:val="nil"/>
                    <w:tl2br w:val="nil"/>
                    <w:tr2bl w:val="nil"/>
                  </w:tcBorders>
                  <w:shd w:val="clear" w:color="auto" w:fill="auto"/>
                  <w:tcMar>
                    <w:left w:w="43" w:type="dxa"/>
                    <w:right w:w="43" w:type="dxa"/>
                  </w:tcMar>
                  <w:vAlign w:val="bottom"/>
                </w:tcPr>
                <w:p w14:paraId="38959265"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w:t>
                  </w:r>
                </w:p>
              </w:tc>
            </w:tr>
            <w:tr w:rsidR="0085581F" w:rsidRPr="0085581F" w14:paraId="0BAB8FA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210" w:type="dxa"/>
                  <w:gridSpan w:val="2"/>
                  <w:tcBorders>
                    <w:top w:val="single" w:sz="4" w:space="0" w:color="000000"/>
                    <w:left w:val="nil"/>
                    <w:bottom w:val="nil"/>
                    <w:right w:val="nil"/>
                    <w:tl2br w:val="nil"/>
                    <w:tr2bl w:val="nil"/>
                  </w:tcBorders>
                  <w:shd w:val="clear" w:color="auto" w:fill="auto"/>
                  <w:noWrap/>
                  <w:tcMar>
                    <w:left w:w="43" w:type="dxa"/>
                    <w:right w:w="43" w:type="dxa"/>
                  </w:tcMar>
                  <w:vAlign w:val="bottom"/>
                </w:tcPr>
                <w:p w14:paraId="6346A894"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Total financial equity in NIS </w:t>
                  </w:r>
                  <w:r w:rsidRPr="0085581F">
                    <w:rPr>
                      <w:rFonts w:asciiTheme="majorBidi" w:hAnsiTheme="majorBidi" w:cstheme="majorBidi"/>
                      <w:color w:val="000000"/>
                      <w:sz w:val="21"/>
                      <w:vertAlign w:val="superscript"/>
                    </w:rPr>
                    <w:t>4</w:t>
                  </w:r>
                </w:p>
              </w:tc>
              <w:tc>
                <w:tcPr>
                  <w:tcW w:w="112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28BE1800"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(6,173)</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1FAB7080"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2,061</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0F079055"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7,176</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3038B857"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87</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0B04A292"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2,052</w:t>
                  </w:r>
                </w:p>
              </w:tc>
              <w:tc>
                <w:tcPr>
                  <w:tcW w:w="1125" w:type="dxa"/>
                  <w:tcBorders>
                    <w:top w:val="single" w:sz="4" w:space="0" w:color="000000"/>
                    <w:left w:val="nil"/>
                    <w:bottom w:val="nil"/>
                    <w:right w:val="nil"/>
                    <w:tl2br w:val="nil"/>
                    <w:tr2bl w:val="nil"/>
                  </w:tcBorders>
                  <w:shd w:val="clear" w:color="auto" w:fill="auto"/>
                  <w:tcMar>
                    <w:left w:w="43" w:type="dxa"/>
                    <w:right w:w="43" w:type="dxa"/>
                  </w:tcMar>
                  <w:vAlign w:val="bottom"/>
                </w:tcPr>
                <w:p w14:paraId="4BDD8106" w14:textId="77777777" w:rsidR="0085581F" w:rsidRPr="0085581F" w:rsidRDefault="0085581F" w:rsidP="0085581F">
                  <w:pPr>
                    <w:keepNext/>
                    <w:spacing w:before="0" w:after="0" w:line="240" w:lineRule="auto"/>
                    <w:jc w:val="center"/>
                    <w:rPr>
                      <w:rFonts w:asciiTheme="majorBidi" w:eastAsia="Ploni ML Medium AAA Medium" w:hAnsiTheme="majorBidi" w:cstheme="majorBidi"/>
                      <w:color w:val="000000"/>
                      <w:sz w:val="21"/>
                    </w:rPr>
                  </w:pPr>
                  <w:r w:rsidRPr="0085581F">
                    <w:rPr>
                      <w:rFonts w:asciiTheme="majorBidi" w:hAnsiTheme="majorBidi" w:cstheme="majorBidi"/>
                      <w:color w:val="000000"/>
                      <w:sz w:val="21"/>
                    </w:rPr>
                    <w:t xml:space="preserve"> 5,203</w:t>
                  </w:r>
                </w:p>
              </w:tc>
            </w:tr>
            <w:tr w:rsidR="009A026B" w:rsidRPr="0085581F" w14:paraId="55E644C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210" w:type="dxa"/>
                  <w:gridSpan w:val="2"/>
                  <w:tcBorders>
                    <w:top w:val="nil"/>
                    <w:left w:val="nil"/>
                    <w:bottom w:val="nil"/>
                    <w:right w:val="nil"/>
                    <w:tl2br w:val="nil"/>
                    <w:tr2bl w:val="nil"/>
                  </w:tcBorders>
                  <w:shd w:val="clear" w:color="FFFFFF" w:fill="071435"/>
                  <w:noWrap/>
                  <w:tcMar>
                    <w:left w:w="43" w:type="dxa"/>
                    <w:right w:w="43" w:type="dxa"/>
                  </w:tcMar>
                  <w:vAlign w:val="center"/>
                </w:tcPr>
                <w:p w14:paraId="4FB3F182" w14:textId="77777777" w:rsidR="0085581F" w:rsidRPr="0085581F" w:rsidRDefault="0085581F" w:rsidP="0085581F">
                  <w:pPr>
                    <w:keepNext/>
                    <w:spacing w:before="0" w:after="0" w:line="240" w:lineRule="auto"/>
                    <w:jc w:val="left"/>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 of total equity</w:t>
                  </w:r>
                </w:p>
              </w:tc>
              <w:tc>
                <w:tcPr>
                  <w:tcW w:w="1125" w:type="dxa"/>
                  <w:tcBorders>
                    <w:top w:val="single" w:sz="4" w:space="0" w:color="000000"/>
                    <w:left w:val="nil"/>
                    <w:bottom w:val="nil"/>
                    <w:right w:val="nil"/>
                    <w:tl2br w:val="nil"/>
                    <w:tr2bl w:val="nil"/>
                  </w:tcBorders>
                  <w:shd w:val="clear" w:color="FFFFFF" w:fill="071435"/>
                  <w:tcMar>
                    <w:left w:w="43" w:type="dxa"/>
                    <w:right w:w="43" w:type="dxa"/>
                  </w:tcMar>
                  <w:vAlign w:val="bottom"/>
                </w:tcPr>
                <w:p w14:paraId="4544E643"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(119)</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7F42709A"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40</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32E6C31A"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138</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59D7795C"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2</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3A57B21D"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39</w:t>
                  </w:r>
                </w:p>
              </w:tc>
              <w:tc>
                <w:tcPr>
                  <w:tcW w:w="1125" w:type="dxa"/>
                  <w:tcBorders>
                    <w:top w:val="nil"/>
                    <w:left w:val="nil"/>
                    <w:bottom w:val="nil"/>
                    <w:right w:val="nil"/>
                    <w:tl2br w:val="nil"/>
                    <w:tr2bl w:val="nil"/>
                  </w:tcBorders>
                  <w:shd w:val="clear" w:color="FFFFFF" w:fill="071435"/>
                  <w:tcMar>
                    <w:left w:w="43" w:type="dxa"/>
                    <w:right w:w="43" w:type="dxa"/>
                  </w:tcMar>
                  <w:vAlign w:val="center"/>
                </w:tcPr>
                <w:p w14:paraId="5158C765" w14:textId="77777777" w:rsidR="0085581F" w:rsidRPr="0085581F" w:rsidRDefault="0085581F" w:rsidP="0085581F">
                  <w:pPr>
                    <w:keepNext/>
                    <w:spacing w:before="0" w:after="0" w:line="240" w:lineRule="auto"/>
                    <w:jc w:val="center"/>
                    <w:rPr>
                      <w:rFonts w:asciiTheme="majorBidi" w:eastAsia="Ploni ML Medium AAA Medium" w:hAnsiTheme="majorBidi" w:cstheme="majorBidi"/>
                      <w:b/>
                      <w:color w:val="FFFFFF"/>
                      <w:sz w:val="21"/>
                    </w:rPr>
                  </w:pPr>
                  <w:r w:rsidRPr="0085581F">
                    <w:rPr>
                      <w:rFonts w:asciiTheme="majorBidi" w:hAnsiTheme="majorBidi" w:cstheme="majorBidi"/>
                      <w:b/>
                      <w:color w:val="FFFFFF"/>
                      <w:sz w:val="21"/>
                    </w:rPr>
                    <w:t>100</w:t>
                  </w:r>
                </w:p>
              </w:tc>
            </w:tr>
            <w:tr w:rsidR="0085581F" w:rsidRPr="0085581F" w14:paraId="2C1B747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85" w:type="dxa"/>
                  <w:tcBorders>
                    <w:top w:val="nil"/>
                    <w:left w:val="nil"/>
                    <w:bottom w:val="nil"/>
                    <w:right w:val="nil"/>
                    <w:tl2br w:val="nil"/>
                    <w:tr2bl w:val="nil"/>
                  </w:tcBorders>
                  <w:shd w:val="clear" w:color="auto" w:fill="auto"/>
                  <w:noWrap/>
                  <w:tcMar>
                    <w:left w:w="0" w:type="dxa"/>
                    <w:right w:w="0" w:type="dxa"/>
                  </w:tcMar>
                  <w:vAlign w:val="bottom"/>
                </w:tcPr>
                <w:p w14:paraId="7DE8A2DC"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p>
              </w:tc>
              <w:tc>
                <w:tcPr>
                  <w:tcW w:w="2925" w:type="dxa"/>
                  <w:tcBorders>
                    <w:top w:val="nil"/>
                    <w:left w:val="nil"/>
                    <w:bottom w:val="nil"/>
                    <w:right w:val="nil"/>
                    <w:tl2br w:val="nil"/>
                    <w:tr2bl w:val="nil"/>
                  </w:tcBorders>
                  <w:shd w:val="clear" w:color="auto" w:fill="auto"/>
                  <w:noWrap/>
                  <w:tcMar>
                    <w:left w:w="0" w:type="dxa"/>
                    <w:right w:w="0" w:type="dxa"/>
                  </w:tcMar>
                  <w:vAlign w:val="bottom"/>
                </w:tcPr>
                <w:p w14:paraId="60BCD0B3"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69F49C1"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tcMar>
                    <w:left w:w="0" w:type="dxa"/>
                    <w:right w:w="0" w:type="dxa"/>
                  </w:tcMar>
                  <w:vAlign w:val="center"/>
                </w:tcPr>
                <w:p w14:paraId="67DD4C13"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tcMar>
                    <w:left w:w="0" w:type="dxa"/>
                    <w:right w:w="540" w:type="dxa"/>
                  </w:tcMar>
                  <w:vAlign w:val="center"/>
                </w:tcPr>
                <w:p w14:paraId="2FBC6260" w14:textId="77777777" w:rsidR="0085581F" w:rsidRPr="0085581F" w:rsidRDefault="0085581F" w:rsidP="0085581F">
                  <w:pPr>
                    <w:keepNext/>
                    <w:spacing w:before="0" w:after="0" w:line="240" w:lineRule="auto"/>
                    <w:jc w:val="left"/>
                    <w:rPr>
                      <w:rFonts w:asciiTheme="majorBidi" w:eastAsia="Ploni ML Medium AAA Medium" w:hAnsiTheme="majorBidi" w:cstheme="majorBidi"/>
                      <w:b/>
                      <w:color w:val="000000"/>
                      <w:sz w:val="21"/>
                    </w:rPr>
                  </w:pPr>
                </w:p>
              </w:tc>
              <w:tc>
                <w:tcPr>
                  <w:tcW w:w="1125" w:type="dxa"/>
                  <w:tcBorders>
                    <w:top w:val="nil"/>
                    <w:left w:val="nil"/>
                    <w:bottom w:val="nil"/>
                    <w:right w:val="nil"/>
                    <w:tl2br w:val="nil"/>
                    <w:tr2bl w:val="nil"/>
                  </w:tcBorders>
                  <w:shd w:val="clear" w:color="auto" w:fill="auto"/>
                  <w:tcMar>
                    <w:left w:w="0" w:type="dxa"/>
                    <w:right w:w="540" w:type="dxa"/>
                  </w:tcMar>
                  <w:vAlign w:val="center"/>
                </w:tcPr>
                <w:p w14:paraId="6916BECF" w14:textId="77777777" w:rsidR="0085581F" w:rsidRPr="0085581F" w:rsidRDefault="0085581F" w:rsidP="0085581F">
                  <w:pPr>
                    <w:keepNext/>
                    <w:spacing w:before="0" w:after="0" w:line="240" w:lineRule="auto"/>
                    <w:jc w:val="left"/>
                    <w:rPr>
                      <w:rFonts w:asciiTheme="majorBidi" w:eastAsia="Ploni ML Medium AAA Medium" w:hAnsiTheme="majorBidi" w:cstheme="majorBidi"/>
                      <w:b/>
                      <w:color w:val="000000"/>
                      <w:sz w:val="21"/>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8A30569"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11134A70" w14:textId="77777777" w:rsidR="0085581F" w:rsidRPr="0085581F" w:rsidRDefault="0085581F" w:rsidP="0085581F">
                  <w:pPr>
                    <w:keepNext/>
                    <w:spacing w:before="0" w:after="0" w:line="240" w:lineRule="auto"/>
                    <w:jc w:val="left"/>
                    <w:rPr>
                      <w:rFonts w:asciiTheme="majorBidi" w:eastAsia="Ploni ML Medium AAA Medium" w:hAnsiTheme="majorBidi" w:cstheme="majorBidi"/>
                      <w:color w:val="000000"/>
                      <w:sz w:val="21"/>
                    </w:rPr>
                  </w:pPr>
                </w:p>
              </w:tc>
            </w:tr>
          </w:tbl>
          <w:p w14:paraId="3450DC64" w14:textId="77777777" w:rsidR="0085581F" w:rsidRPr="0085581F" w:rsidRDefault="0085581F" w:rsidP="0085581F">
            <w:pPr>
              <w:rPr>
                <w:rFonts w:asciiTheme="majorBidi" w:hAnsiTheme="majorBidi" w:cstheme="majorBidi"/>
              </w:rPr>
            </w:pPr>
          </w:p>
        </w:tc>
      </w:tr>
    </w:tbl>
    <w:p w14:paraId="7FBA3ED7" w14:textId="77777777" w:rsidR="0085581F" w:rsidRPr="0085581F" w:rsidRDefault="0085581F" w:rsidP="004D7A72">
      <w:pPr>
        <w:numPr>
          <w:ilvl w:val="0"/>
          <w:numId w:val="42"/>
        </w:numPr>
        <w:ind w:left="282" w:hanging="284"/>
        <w:contextualSpacing/>
        <w:rPr>
          <w:rFonts w:asciiTheme="majorBidi" w:hAnsiTheme="majorBidi" w:cstheme="majorBidi"/>
          <w:sz w:val="18"/>
          <w:szCs w:val="18"/>
        </w:rPr>
      </w:pPr>
      <w:r w:rsidRPr="0085581F">
        <w:rPr>
          <w:rFonts w:asciiTheme="majorBidi" w:hAnsiTheme="majorBidi" w:cstheme="majorBidi"/>
          <w:sz w:val="18"/>
        </w:rPr>
        <w:t>According to currency exchange rates as of June 30, 2024.</w:t>
      </w:r>
    </w:p>
    <w:p w14:paraId="2709C8F3" w14:textId="77777777" w:rsidR="0085581F" w:rsidRPr="0085581F" w:rsidRDefault="0085581F" w:rsidP="004D7A72">
      <w:pPr>
        <w:numPr>
          <w:ilvl w:val="0"/>
          <w:numId w:val="42"/>
        </w:numPr>
        <w:ind w:left="282" w:hanging="284"/>
        <w:contextualSpacing/>
        <w:rPr>
          <w:rFonts w:asciiTheme="majorBidi" w:hAnsiTheme="majorBidi" w:cstheme="majorBidi"/>
          <w:sz w:val="18"/>
          <w:szCs w:val="18"/>
        </w:rPr>
      </w:pPr>
      <w:r w:rsidRPr="0085581F">
        <w:rPr>
          <w:rFonts w:asciiTheme="majorBidi" w:hAnsiTheme="majorBidi" w:cstheme="majorBidi"/>
          <w:sz w:val="18"/>
        </w:rPr>
        <w:t xml:space="preserve">The Company’s statement of financial position presented on a proportionately consolidated basis was not prepared according to generally accepted accounting principles, but according to the Company’s interest in each of the investees at the stated date. </w:t>
      </w:r>
    </w:p>
    <w:p w14:paraId="3D6EDC15" w14:textId="77777777" w:rsidR="0085581F" w:rsidRPr="0085581F" w:rsidRDefault="0085581F" w:rsidP="004D7A72">
      <w:pPr>
        <w:numPr>
          <w:ilvl w:val="0"/>
          <w:numId w:val="42"/>
        </w:numPr>
        <w:ind w:left="282" w:hanging="284"/>
        <w:contextualSpacing/>
        <w:rPr>
          <w:rFonts w:asciiTheme="majorBidi" w:hAnsiTheme="majorBidi" w:cstheme="majorBidi"/>
          <w:sz w:val="18"/>
          <w:szCs w:val="18"/>
        </w:rPr>
      </w:pPr>
      <w:r w:rsidRPr="0085581F">
        <w:rPr>
          <w:rFonts w:asciiTheme="majorBidi" w:hAnsiTheme="majorBidi" w:cstheme="majorBidi"/>
          <w:sz w:val="18"/>
        </w:rPr>
        <w:t>The exposure to the EUR also includes the Group's exposure for its operations in Sweden whose currency is the Swedish krona (SEK), the operations in Norway whose currency is the Norwegian crown (NOK) and for the residential rental operations in Poland whose currency is the zloty (PLN). Furthermore, the data regarding CTY is based on CTY’s EPRA NRV per share.</w:t>
      </w:r>
    </w:p>
    <w:p w14:paraId="60FDE83F" w14:textId="77777777" w:rsidR="0085581F" w:rsidRPr="0085581F" w:rsidRDefault="0085581F" w:rsidP="004D7A72">
      <w:pPr>
        <w:numPr>
          <w:ilvl w:val="0"/>
          <w:numId w:val="42"/>
        </w:numPr>
        <w:ind w:left="282" w:hanging="284"/>
        <w:contextualSpacing/>
        <w:rPr>
          <w:rFonts w:asciiTheme="majorBidi" w:hAnsiTheme="majorBidi" w:cstheme="majorBidi"/>
          <w:sz w:val="18"/>
          <w:szCs w:val="18"/>
        </w:rPr>
      </w:pPr>
      <w:r w:rsidRPr="0085581F">
        <w:rPr>
          <w:rFonts w:asciiTheme="majorBidi" w:hAnsiTheme="majorBidi" w:cstheme="majorBidi"/>
          <w:sz w:val="18"/>
        </w:rPr>
        <w:t>Equity attributable to the Company's shareholders net of deferred taxes for revaluation of investment real estate as known at June 30, 2024, hybrid debentures of G Europe and non-controlling interests as set out in section 2.1, are presented under footnote 4 below.</w:t>
      </w:r>
    </w:p>
    <w:p w14:paraId="07C391D5" w14:textId="77777777" w:rsidR="0085581F" w:rsidRPr="0085581F" w:rsidRDefault="0085581F" w:rsidP="0085581F">
      <w:pPr>
        <w:rPr>
          <w:rFonts w:ascii="Ploni ML Medium AAA Medium" w:hAnsi="Ploni ML Medium AAA Medium" w:cs="Ploni ML Medium AAA Medium"/>
          <w:rtl/>
        </w:rPr>
      </w:pPr>
    </w:p>
    <w:p w14:paraId="74BE3CCB" w14:textId="77777777" w:rsidR="0085581F" w:rsidRPr="0085581F" w:rsidRDefault="0085581F" w:rsidP="0085581F">
      <w:pPr>
        <w:rPr>
          <w:rFonts w:ascii="Ploni ML Medium AAA Medium" w:hAnsi="Ploni ML Medium AAA Medium" w:cs="Ploni ML Medium AAA Medium"/>
          <w:rtl/>
        </w:rPr>
      </w:pPr>
    </w:p>
    <w:p w14:paraId="208FEB35" w14:textId="77777777" w:rsidR="00B80A62" w:rsidRDefault="00B80A62">
      <w:pPr>
        <w:sectPr w:rsidR="00B80A62">
          <w:headerReference w:type="even" r:id="rId20"/>
          <w:headerReference w:type="default" r:id="rId21"/>
          <w:footerReference w:type="even" r:id="rId22"/>
          <w:footerReference w:type="default" r:id="rId23"/>
          <w:headerReference w:type="first" r:id="rId24"/>
          <w:footerReference w:type="first" r:id="rId25"/>
          <w:footnotePr>
            <w:numRestart w:val="eachPage"/>
          </w:footnotePr>
          <w:type w:val="continuous"/>
          <w:pgSz w:w="11906" w:h="16838"/>
          <w:pgMar w:top="1418" w:right="1134" w:bottom="1134" w:left="851" w:header="567" w:footer="567" w:gutter="0"/>
          <w:pgBorders>
            <w:top w:val="nil"/>
            <w:left w:val="nil"/>
            <w:bottom w:val="nil"/>
            <w:right w:val="nil"/>
          </w:pgBorders>
          <w:cols w:space="708"/>
          <w:rtlGutter/>
        </w:sectPr>
      </w:pPr>
    </w:p>
    <w:p w14:paraId="3A4F6FF9" w14:textId="6B502A0A" w:rsidR="009C24EF" w:rsidRPr="00213131" w:rsidRDefault="00774C54" w:rsidP="009C24EF">
      <w:pPr>
        <w:pStyle w:val="ListParagraph"/>
        <w:pageBreakBefore/>
        <w:spacing w:beforeLines="60" w:before="144" w:afterLines="60" w:after="144"/>
        <w:ind w:left="-2"/>
        <w:contextualSpacing w:val="0"/>
        <w:jc w:val="center"/>
        <w:outlineLvl w:val="1"/>
        <w:rPr>
          <w:rFonts w:asciiTheme="majorBidi" w:hAnsiTheme="majorBidi" w:cstheme="majorBidi"/>
          <w:sz w:val="22"/>
          <w:szCs w:val="22"/>
        </w:rPr>
      </w:pPr>
      <w:bookmarkStart w:id="117" w:name="_Hlk174894390"/>
      <w:bookmarkStart w:id="118" w:name="_Hlk174896859"/>
      <w:r w:rsidRPr="00213131">
        <w:rPr>
          <w:rFonts w:asciiTheme="majorBidi" w:eastAsia="Calibri" w:hAnsiTheme="majorBidi" w:cstheme="majorBidi"/>
          <w:b/>
          <w:bCs/>
          <w:sz w:val="22"/>
          <w:szCs w:val="22"/>
          <w:u w:val="single"/>
          <w:bdr w:val="nil"/>
        </w:rPr>
        <w:lastRenderedPageBreak/>
        <w:t>UPDATE TO THE DESCRIPTION OF THE COMPANY’S BUSINESS</w:t>
      </w:r>
      <w:bookmarkEnd w:id="117"/>
      <w:r w:rsidRPr="00213131">
        <w:rPr>
          <w:rFonts w:asciiTheme="majorBidi" w:eastAsia="Calibri" w:hAnsiTheme="majorBidi" w:cstheme="majorBidi"/>
          <w:b/>
          <w:bCs/>
          <w:sz w:val="22"/>
          <w:szCs w:val="22"/>
          <w:u w:val="single"/>
          <w:bdr w:val="nil"/>
        </w:rPr>
        <w:t xml:space="preserve"> </w:t>
      </w:r>
      <w:bookmarkEnd w:id="118"/>
      <w:r w:rsidRPr="00213131">
        <w:rPr>
          <w:rFonts w:asciiTheme="majorBidi" w:eastAsia="Calibri" w:hAnsiTheme="majorBidi" w:cstheme="majorBidi"/>
          <w:b/>
          <w:bCs/>
          <w:sz w:val="22"/>
          <w:szCs w:val="22"/>
          <w:u w:val="single"/>
          <w:bdr w:val="nil"/>
        </w:rPr>
        <w:t xml:space="preserve">FOR THE </w:t>
      </w:r>
      <w:r w:rsidR="009C24EF" w:rsidRPr="00213131">
        <w:rPr>
          <w:rFonts w:asciiTheme="majorBidi" w:eastAsia="Calibri" w:hAnsiTheme="majorBidi" w:cstheme="majorBidi"/>
          <w:b/>
          <w:bCs/>
          <w:sz w:val="22"/>
          <w:szCs w:val="22"/>
          <w:u w:val="single"/>
          <w:bdr w:val="nil"/>
        </w:rPr>
        <w:t>2023</w:t>
      </w:r>
      <w:r w:rsidRPr="00213131">
        <w:rPr>
          <w:rFonts w:asciiTheme="majorBidi" w:eastAsia="Calibri" w:hAnsiTheme="majorBidi" w:cstheme="majorBidi"/>
          <w:b/>
          <w:bCs/>
          <w:sz w:val="22"/>
          <w:szCs w:val="22"/>
          <w:u w:val="single"/>
          <w:bdr w:val="nil"/>
        </w:rPr>
        <w:t xml:space="preserve"> PERIODIC </w:t>
      </w:r>
      <w:bookmarkStart w:id="119" w:name="RG_DOC_ee_IIw1C8hD"/>
      <w:bookmarkStart w:id="120" w:name="H2_עדכון_תיאור_עסקי_החברה_של_גזיתגלוב_בע"/>
      <w:bookmarkEnd w:id="119"/>
      <w:r w:rsidR="009C24EF" w:rsidRPr="00213131">
        <w:rPr>
          <w:rFonts w:asciiTheme="majorBidi" w:hAnsiTheme="majorBidi" w:cstheme="majorBidi"/>
          <w:b/>
          <w:bCs/>
          <w:sz w:val="24"/>
          <w:szCs w:val="24"/>
          <w:u w:val="single"/>
        </w:rPr>
        <w:t>REPORT OF G-CITY LTD.</w:t>
      </w:r>
    </w:p>
    <w:bookmarkEnd w:id="120"/>
    <w:p w14:paraId="148775A8" w14:textId="77777777" w:rsidR="009C24EF" w:rsidRPr="00213131" w:rsidRDefault="009C24EF" w:rsidP="009C24EF">
      <w:pPr>
        <w:pStyle w:val="ListParagraph"/>
        <w:keepLines/>
        <w:tabs>
          <w:tab w:val="right" w:pos="0"/>
          <w:tab w:val="left" w:pos="425"/>
        </w:tabs>
        <w:ind w:left="0"/>
        <w:rPr>
          <w:rFonts w:asciiTheme="majorBidi" w:hAnsiTheme="majorBidi" w:cstheme="majorBidi"/>
          <w:sz w:val="21"/>
          <w:szCs w:val="21"/>
        </w:rPr>
      </w:pPr>
      <w:r w:rsidRPr="00213131">
        <w:rPr>
          <w:rFonts w:asciiTheme="majorBidi" w:hAnsiTheme="majorBidi" w:cstheme="majorBidi"/>
          <w:sz w:val="21"/>
        </w:rPr>
        <w:t xml:space="preserve">Pursuant to Regulation 39A of the Securities Regulations (Periodic and Immediate Reports) 2015, below is information regarding material changes or renewals that occurred in the Company’s business operations since publication of the Company’s Period Report for 2023 (the “Periodic Report”), in any matter required to be described in the Periodic Report. </w:t>
      </w:r>
    </w:p>
    <w:p w14:paraId="2BB96B79" w14:textId="77777777" w:rsidR="009C24EF" w:rsidRPr="00213131" w:rsidRDefault="009C24EF" w:rsidP="009C24EF">
      <w:pPr>
        <w:pStyle w:val="ListParagraph"/>
        <w:keepLines/>
        <w:tabs>
          <w:tab w:val="left" w:pos="425"/>
          <w:tab w:val="left" w:pos="7723"/>
        </w:tabs>
        <w:ind w:left="0"/>
        <w:rPr>
          <w:rFonts w:asciiTheme="majorBidi" w:hAnsiTheme="majorBidi" w:cstheme="majorBidi"/>
          <w:sz w:val="21"/>
          <w:szCs w:val="21"/>
          <w:rtl/>
        </w:rPr>
      </w:pPr>
    </w:p>
    <w:p w14:paraId="035CD8B4" w14:textId="77777777" w:rsidR="009C24EF" w:rsidRPr="00213131" w:rsidRDefault="009C24EF" w:rsidP="009C24EF">
      <w:pPr>
        <w:pStyle w:val="ListParagraph"/>
        <w:keepNext/>
        <w:keepLines/>
        <w:tabs>
          <w:tab w:val="left" w:pos="425"/>
        </w:tabs>
        <w:ind w:left="0"/>
        <w:outlineLvl w:val="2"/>
        <w:rPr>
          <w:rFonts w:asciiTheme="majorBidi" w:hAnsiTheme="majorBidi" w:cstheme="majorBidi"/>
          <w:sz w:val="21"/>
          <w:szCs w:val="21"/>
          <w:u w:val="single"/>
        </w:rPr>
      </w:pPr>
      <w:bookmarkStart w:id="121" w:name="H3_עדכון_לסעיף_1_פעילות_החברה_ותיאור_התפ"/>
      <w:r w:rsidRPr="00213131">
        <w:rPr>
          <w:rFonts w:asciiTheme="majorBidi" w:hAnsiTheme="majorBidi" w:cstheme="majorBidi"/>
          <w:sz w:val="21"/>
          <w:u w:val="single"/>
        </w:rPr>
        <w:t>Update of section 1 - Company Operations and Description of the Development of its Business</w:t>
      </w:r>
    </w:p>
    <w:p w14:paraId="1BF21968" w14:textId="77777777" w:rsidR="009C24EF" w:rsidRPr="00213131" w:rsidRDefault="009C24EF" w:rsidP="004D7A72">
      <w:pPr>
        <w:keepLines/>
        <w:numPr>
          <w:ilvl w:val="0"/>
          <w:numId w:val="49"/>
        </w:numPr>
        <w:tabs>
          <w:tab w:val="clear" w:pos="1134"/>
        </w:tabs>
        <w:spacing w:beforeLines="60" w:before="144" w:afterLines="60" w:after="144"/>
        <w:ind w:left="426" w:hanging="426"/>
        <w:contextualSpacing/>
        <w:rPr>
          <w:rFonts w:asciiTheme="majorBidi" w:hAnsiTheme="majorBidi" w:cstheme="majorBidi"/>
          <w:sz w:val="21"/>
          <w:szCs w:val="21"/>
        </w:rPr>
      </w:pPr>
      <w:bookmarkStart w:id="122" w:name="H3_עדכון_לסעיף_2__השקעות_בהון_החברה_ועסק"/>
      <w:bookmarkEnd w:id="121"/>
      <w:r w:rsidRPr="00213131">
        <w:rPr>
          <w:rFonts w:asciiTheme="majorBidi" w:hAnsiTheme="majorBidi" w:cstheme="majorBidi"/>
          <w:sz w:val="21"/>
        </w:rPr>
        <w:t>On October 25, 2022, the Company published a plan for the disposal of some of the Group’s properties, which was revised from time to time (“Property Disposal Plan”). Under the Property Disposal Plan, the Company intends to dispose of properties worth a total amount of NIS 7.1 billion in Europe, Brazil, the United States and Israel, and update of the status of the Property Disposal Plan and financing of properties, as set out below.</w:t>
      </w:r>
    </w:p>
    <w:p w14:paraId="31C55E1C" w14:textId="77777777" w:rsidR="009C24EF" w:rsidRPr="00213131" w:rsidRDefault="009C24EF" w:rsidP="009C24EF">
      <w:pPr>
        <w:pStyle w:val="ListParagraph"/>
        <w:keepNext/>
        <w:keepLines/>
        <w:ind w:left="426"/>
        <w:rPr>
          <w:rFonts w:asciiTheme="majorBidi" w:hAnsiTheme="majorBidi" w:cstheme="majorBidi"/>
          <w:sz w:val="21"/>
          <w:szCs w:val="21"/>
        </w:rPr>
      </w:pPr>
      <w:r w:rsidRPr="00213131">
        <w:rPr>
          <w:rFonts w:asciiTheme="majorBidi" w:hAnsiTheme="majorBidi" w:cstheme="majorBidi"/>
          <w:sz w:val="21"/>
        </w:rPr>
        <w:t>As of the date of publication of the Property Disposal Plan, the Company and its wholly-owned subsidiaries (below in this section the “Group”) disposed of properties worth a total amount of NIS 4.0 billion.</w:t>
      </w:r>
    </w:p>
    <w:p w14:paraId="7BB81BE7" w14:textId="7D95EB8D" w:rsidR="009C24EF" w:rsidRPr="00213131" w:rsidRDefault="009C24EF" w:rsidP="009C24EF">
      <w:pPr>
        <w:pStyle w:val="ListParagraph"/>
        <w:keepNext/>
        <w:keepLines/>
        <w:tabs>
          <w:tab w:val="left" w:pos="425"/>
        </w:tabs>
        <w:ind w:left="426"/>
        <w:outlineLvl w:val="2"/>
        <w:rPr>
          <w:rFonts w:asciiTheme="majorBidi" w:hAnsiTheme="majorBidi" w:cstheme="majorBidi"/>
          <w:sz w:val="21"/>
          <w:szCs w:val="21"/>
        </w:rPr>
      </w:pPr>
      <w:r w:rsidRPr="00213131">
        <w:rPr>
          <w:rFonts w:asciiTheme="majorBidi" w:hAnsiTheme="majorBidi" w:cstheme="majorBidi"/>
          <w:sz w:val="21"/>
        </w:rPr>
        <w:t>Below is a breakdown of the status of the Properties Disposal Plan (NIS million)</w:t>
      </w:r>
      <w:r w:rsidR="0045047E" w:rsidRPr="0045047E">
        <w:rPr>
          <w:rFonts w:asciiTheme="majorBidi" w:hAnsiTheme="majorBidi" w:cstheme="majorBidi" w:hint="cs"/>
          <w:sz w:val="21"/>
          <w:vertAlign w:val="superscript"/>
          <w:rtl/>
        </w:rPr>
        <w:t>1</w:t>
      </w:r>
      <w:r w:rsidR="0045047E">
        <w:rPr>
          <w:rFonts w:asciiTheme="majorBidi" w:hAnsiTheme="majorBidi" w:cstheme="majorBidi"/>
          <w:sz w:val="21"/>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9C24EF" w:rsidRPr="00213131" w14:paraId="5623B753" w14:textId="77777777" w:rsidTr="00A65A6F">
        <w:trPr>
          <w:cantSplit/>
        </w:trPr>
        <w:tc>
          <w:tcPr>
            <w:tcW w:w="5000" w:type="pct"/>
          </w:tcPr>
          <w:tbl>
            <w:tblPr>
              <w:tblStyle w:val="CDMRange1"/>
              <w:tblW w:w="9706" w:type="dxa"/>
              <w:tblLook w:val="0600" w:firstRow="0" w:lastRow="0" w:firstColumn="0" w:lastColumn="0" w:noHBand="1" w:noVBand="1"/>
              <w:tblCaption w:val="Print_Area"/>
            </w:tblPr>
            <w:tblGrid>
              <w:gridCol w:w="1766"/>
              <w:gridCol w:w="1985"/>
              <w:gridCol w:w="1985"/>
              <w:gridCol w:w="1985"/>
              <w:gridCol w:w="1985"/>
            </w:tblGrid>
            <w:tr w:rsidR="009C24EF" w:rsidRPr="00213131" w14:paraId="7AB8C457" w14:textId="77777777" w:rsidTr="0001497A">
              <w:trPr>
                <w:trHeight w:val="630"/>
              </w:trPr>
              <w:tc>
                <w:tcPr>
                  <w:tcW w:w="1766" w:type="dxa"/>
                  <w:tcBorders>
                    <w:top w:val="nil"/>
                    <w:left w:val="nil"/>
                    <w:bottom w:val="nil"/>
                    <w:right w:val="nil"/>
                    <w:tl2br w:val="nil"/>
                    <w:tr2bl w:val="nil"/>
                  </w:tcBorders>
                  <w:shd w:val="clear" w:color="FFFFFF" w:fill="000031"/>
                  <w:tcMar>
                    <w:left w:w="0" w:type="dxa"/>
                    <w:right w:w="0" w:type="dxa"/>
                  </w:tcMar>
                  <w:vAlign w:val="bottom"/>
                </w:tcPr>
                <w:p w14:paraId="611374E9" w14:textId="77777777" w:rsidR="009C24EF" w:rsidRPr="00213131" w:rsidRDefault="009C24EF" w:rsidP="00A65A6F">
                  <w:pPr>
                    <w:spacing w:before="0" w:after="0"/>
                    <w:jc w:val="center"/>
                    <w:rPr>
                      <w:rFonts w:asciiTheme="majorBidi" w:eastAsia="Ploni ML Medium AAA Medium" w:hAnsiTheme="majorBidi" w:cstheme="majorBidi"/>
                      <w:b/>
                      <w:color w:val="FFFFFF"/>
                    </w:rPr>
                  </w:pPr>
                </w:p>
              </w:tc>
              <w:tc>
                <w:tcPr>
                  <w:tcW w:w="1985" w:type="dxa"/>
                  <w:tcBorders>
                    <w:top w:val="nil"/>
                    <w:left w:val="nil"/>
                    <w:bottom w:val="nil"/>
                    <w:right w:val="nil"/>
                    <w:tl2br w:val="nil"/>
                    <w:tr2bl w:val="nil"/>
                  </w:tcBorders>
                  <w:shd w:val="clear" w:color="FFFFFF" w:fill="000031"/>
                  <w:tcMar>
                    <w:left w:w="40" w:type="dxa"/>
                    <w:right w:w="40" w:type="dxa"/>
                  </w:tcMar>
                  <w:vAlign w:val="bottom"/>
                </w:tcPr>
                <w:p w14:paraId="4279028F" w14:textId="77777777" w:rsidR="009C24EF" w:rsidRPr="00213131" w:rsidRDefault="009C24EF" w:rsidP="00A65A6F">
                  <w:pPr>
                    <w:spacing w:before="0" w:after="0"/>
                    <w:jc w:val="center"/>
                    <w:rPr>
                      <w:rFonts w:asciiTheme="majorBidi" w:eastAsia="Ploni ML Medium AAA Medium" w:hAnsiTheme="majorBidi" w:cstheme="majorBidi"/>
                      <w:b/>
                      <w:color w:val="FFFFFF"/>
                    </w:rPr>
                  </w:pPr>
                  <w:r w:rsidRPr="00213131">
                    <w:rPr>
                      <w:rFonts w:asciiTheme="majorBidi" w:hAnsiTheme="majorBidi" w:cstheme="majorBidi"/>
                      <w:b/>
                      <w:color w:val="FFFFFF"/>
                    </w:rPr>
                    <w:t>Completed</w:t>
                  </w:r>
                </w:p>
              </w:tc>
              <w:tc>
                <w:tcPr>
                  <w:tcW w:w="1985" w:type="dxa"/>
                  <w:tcBorders>
                    <w:top w:val="nil"/>
                    <w:left w:val="nil"/>
                    <w:bottom w:val="nil"/>
                    <w:right w:val="nil"/>
                    <w:tl2br w:val="nil"/>
                    <w:tr2bl w:val="nil"/>
                  </w:tcBorders>
                  <w:shd w:val="clear" w:color="FFFFFF" w:fill="000031"/>
                  <w:tcMar>
                    <w:left w:w="40" w:type="dxa"/>
                    <w:right w:w="40" w:type="dxa"/>
                  </w:tcMar>
                  <w:vAlign w:val="bottom"/>
                </w:tcPr>
                <w:p w14:paraId="376401B7" w14:textId="77777777" w:rsidR="009C24EF" w:rsidRPr="00213131" w:rsidRDefault="009C24EF" w:rsidP="00A65A6F">
                  <w:pPr>
                    <w:spacing w:before="0" w:after="0"/>
                    <w:jc w:val="center"/>
                    <w:rPr>
                      <w:rFonts w:asciiTheme="majorBidi" w:eastAsia="Ploni ML Medium AAA Medium" w:hAnsiTheme="majorBidi" w:cstheme="majorBidi"/>
                      <w:b/>
                      <w:color w:val="FFFFFF"/>
                    </w:rPr>
                  </w:pPr>
                  <w:r w:rsidRPr="00213131">
                    <w:rPr>
                      <w:rFonts w:asciiTheme="majorBidi" w:hAnsiTheme="majorBidi" w:cstheme="majorBidi"/>
                      <w:b/>
                      <w:color w:val="FFFFFF"/>
                    </w:rPr>
                    <w:t>In advanced negotiations</w:t>
                  </w:r>
                </w:p>
              </w:tc>
              <w:tc>
                <w:tcPr>
                  <w:tcW w:w="1985" w:type="dxa"/>
                  <w:tcBorders>
                    <w:top w:val="nil"/>
                    <w:left w:val="nil"/>
                    <w:bottom w:val="nil"/>
                    <w:right w:val="nil"/>
                    <w:tl2br w:val="nil"/>
                    <w:tr2bl w:val="nil"/>
                  </w:tcBorders>
                  <w:shd w:val="clear" w:color="FFFFFF" w:fill="000031"/>
                  <w:tcMar>
                    <w:left w:w="40" w:type="dxa"/>
                    <w:right w:w="40" w:type="dxa"/>
                  </w:tcMar>
                  <w:vAlign w:val="bottom"/>
                </w:tcPr>
                <w:p w14:paraId="12A29430" w14:textId="77777777" w:rsidR="009C24EF" w:rsidRPr="00213131" w:rsidRDefault="009C24EF" w:rsidP="00A65A6F">
                  <w:pPr>
                    <w:spacing w:before="0" w:after="0"/>
                    <w:jc w:val="center"/>
                    <w:rPr>
                      <w:rFonts w:asciiTheme="majorBidi" w:eastAsia="Ploni ML Medium AAA Medium" w:hAnsiTheme="majorBidi" w:cstheme="majorBidi"/>
                      <w:b/>
                      <w:color w:val="FFFFFF"/>
                    </w:rPr>
                  </w:pPr>
                  <w:r w:rsidRPr="00213131">
                    <w:rPr>
                      <w:rFonts w:asciiTheme="majorBidi" w:hAnsiTheme="majorBidi" w:cstheme="majorBidi"/>
                      <w:b/>
                      <w:color w:val="FFFFFF"/>
                    </w:rPr>
                    <w:t>Being marketed</w:t>
                  </w:r>
                </w:p>
              </w:tc>
              <w:tc>
                <w:tcPr>
                  <w:tcW w:w="1985" w:type="dxa"/>
                  <w:tcBorders>
                    <w:top w:val="nil"/>
                    <w:left w:val="nil"/>
                    <w:bottom w:val="nil"/>
                    <w:right w:val="nil"/>
                    <w:tl2br w:val="nil"/>
                    <w:tr2bl w:val="nil"/>
                  </w:tcBorders>
                  <w:shd w:val="clear" w:color="FFFFFF" w:fill="000031"/>
                  <w:tcMar>
                    <w:left w:w="40" w:type="dxa"/>
                    <w:right w:w="40" w:type="dxa"/>
                  </w:tcMar>
                  <w:vAlign w:val="bottom"/>
                </w:tcPr>
                <w:p w14:paraId="021BAC97" w14:textId="77777777" w:rsidR="009C24EF" w:rsidRPr="00213131" w:rsidRDefault="009C24EF" w:rsidP="00A65A6F">
                  <w:pPr>
                    <w:spacing w:before="0" w:after="0"/>
                    <w:jc w:val="center"/>
                    <w:rPr>
                      <w:rFonts w:asciiTheme="majorBidi" w:eastAsia="Ploni ML Medium AAA Medium" w:hAnsiTheme="majorBidi" w:cstheme="majorBidi"/>
                      <w:b/>
                      <w:color w:val="FFFFFF"/>
                    </w:rPr>
                  </w:pPr>
                  <w:r w:rsidRPr="00213131">
                    <w:rPr>
                      <w:rFonts w:asciiTheme="majorBidi" w:hAnsiTheme="majorBidi" w:cstheme="majorBidi"/>
                      <w:b/>
                      <w:color w:val="FFFFFF"/>
                    </w:rPr>
                    <w:t>Total</w:t>
                  </w:r>
                </w:p>
              </w:tc>
            </w:tr>
            <w:tr w:rsidR="009C24EF" w:rsidRPr="00213131" w14:paraId="445DECFC" w14:textId="77777777" w:rsidTr="00014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766" w:type="dxa"/>
                  <w:tcBorders>
                    <w:top w:val="nil"/>
                    <w:left w:val="nil"/>
                    <w:bottom w:val="nil"/>
                    <w:right w:val="nil"/>
                    <w:tl2br w:val="nil"/>
                    <w:tr2bl w:val="nil"/>
                  </w:tcBorders>
                  <w:shd w:val="clear" w:color="FFFFFF" w:fill="000031"/>
                  <w:tcMar>
                    <w:left w:w="0" w:type="dxa"/>
                    <w:right w:w="0" w:type="dxa"/>
                  </w:tcMar>
                  <w:vAlign w:val="bottom"/>
                </w:tcPr>
                <w:p w14:paraId="1D51333F" w14:textId="77777777" w:rsidR="009C24EF" w:rsidRPr="00213131" w:rsidRDefault="009C24EF" w:rsidP="00A65A6F">
                  <w:pPr>
                    <w:spacing w:before="0" w:after="0"/>
                    <w:jc w:val="center"/>
                    <w:rPr>
                      <w:rFonts w:asciiTheme="majorBidi" w:eastAsia="Ploni ML Medium AAA Medium" w:hAnsiTheme="majorBidi" w:cstheme="majorBidi"/>
                      <w:b/>
                      <w:color w:val="FFFFFF"/>
                    </w:rPr>
                  </w:pPr>
                </w:p>
              </w:tc>
              <w:tc>
                <w:tcPr>
                  <w:tcW w:w="7940" w:type="dxa"/>
                  <w:gridSpan w:val="4"/>
                  <w:tcBorders>
                    <w:top w:val="nil"/>
                    <w:left w:val="nil"/>
                    <w:bottom w:val="nil"/>
                    <w:right w:val="nil"/>
                    <w:tl2br w:val="nil"/>
                    <w:tr2bl w:val="nil"/>
                  </w:tcBorders>
                  <w:shd w:val="clear" w:color="FFFFFF" w:fill="000031"/>
                  <w:tcMar>
                    <w:left w:w="40" w:type="dxa"/>
                    <w:right w:w="40" w:type="dxa"/>
                  </w:tcMar>
                  <w:vAlign w:val="bottom"/>
                </w:tcPr>
                <w:p w14:paraId="4F27C92F" w14:textId="77777777" w:rsidR="009C24EF" w:rsidRPr="00213131" w:rsidRDefault="009C24EF" w:rsidP="00A65A6F">
                  <w:pPr>
                    <w:spacing w:before="0" w:after="0"/>
                    <w:jc w:val="center"/>
                    <w:rPr>
                      <w:rFonts w:asciiTheme="majorBidi" w:eastAsia="Ploni ML Medium AAA Medium" w:hAnsiTheme="majorBidi" w:cstheme="majorBidi"/>
                      <w:b/>
                      <w:color w:val="FFFFFF"/>
                    </w:rPr>
                  </w:pPr>
                  <w:r w:rsidRPr="00213131">
                    <w:rPr>
                      <w:rFonts w:asciiTheme="majorBidi" w:hAnsiTheme="majorBidi" w:cstheme="majorBidi"/>
                      <w:b/>
                      <w:color w:val="FFFFFF"/>
                    </w:rPr>
                    <w:t>NIS million</w:t>
                  </w:r>
                </w:p>
              </w:tc>
            </w:tr>
            <w:tr w:rsidR="009C24EF" w:rsidRPr="00213131" w14:paraId="5BF1C681" w14:textId="77777777" w:rsidTr="00014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766" w:type="dxa"/>
                  <w:tcBorders>
                    <w:top w:val="nil"/>
                    <w:left w:val="nil"/>
                    <w:bottom w:val="nil"/>
                    <w:right w:val="nil"/>
                    <w:tl2br w:val="nil"/>
                    <w:tr2bl w:val="nil"/>
                  </w:tcBorders>
                  <w:shd w:val="clear" w:color="auto" w:fill="auto"/>
                  <w:tcMar>
                    <w:left w:w="40" w:type="dxa"/>
                    <w:right w:w="175" w:type="dxa"/>
                  </w:tcMar>
                  <w:vAlign w:val="center"/>
                </w:tcPr>
                <w:p w14:paraId="62596260" w14:textId="77777777" w:rsidR="009C24EF" w:rsidRPr="00213131" w:rsidRDefault="009C24EF" w:rsidP="00A65A6F">
                  <w:pPr>
                    <w:spacing w:before="0" w:after="0"/>
                    <w:jc w:val="left"/>
                    <w:rPr>
                      <w:rFonts w:asciiTheme="majorBidi" w:eastAsia="Ploni ML Medium AAA Medium" w:hAnsiTheme="majorBidi" w:cstheme="majorBidi"/>
                      <w:color w:val="000000"/>
                    </w:rPr>
                  </w:pPr>
                  <w:r w:rsidRPr="00213131">
                    <w:rPr>
                      <w:rFonts w:asciiTheme="majorBidi" w:hAnsiTheme="majorBidi" w:cstheme="majorBidi"/>
                      <w:color w:val="000000"/>
                    </w:rPr>
                    <w:t>G Europe</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1A1FED1F" w14:textId="77777777" w:rsidR="009C24EF" w:rsidRPr="00213131" w:rsidRDefault="009C24EF" w:rsidP="00A65A6F">
                  <w:pPr>
                    <w:spacing w:before="0" w:after="0"/>
                    <w:jc w:val="center"/>
                    <w:rPr>
                      <w:rFonts w:asciiTheme="majorBidi" w:eastAsia="Ploni ML Medium AAA Medium" w:hAnsiTheme="majorBidi" w:cstheme="majorBidi"/>
                      <w:color w:val="000000"/>
                    </w:rPr>
                  </w:pPr>
                  <w:r w:rsidRPr="00213131">
                    <w:rPr>
                      <w:rFonts w:asciiTheme="majorBidi" w:hAnsiTheme="majorBidi" w:cstheme="majorBidi"/>
                      <w:color w:val="000000"/>
                    </w:rPr>
                    <w:t xml:space="preserve"> 2,816</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55D8757C" w14:textId="77777777" w:rsidR="009C24EF" w:rsidRPr="00213131" w:rsidRDefault="009C24EF" w:rsidP="00A65A6F">
                  <w:pPr>
                    <w:spacing w:before="0" w:after="0"/>
                    <w:jc w:val="center"/>
                    <w:rPr>
                      <w:rFonts w:asciiTheme="majorBidi" w:eastAsia="Ploni ML Medium AAA Medium" w:hAnsiTheme="majorBidi" w:cstheme="majorBidi"/>
                      <w:color w:val="000000"/>
                    </w:rPr>
                  </w:pPr>
                  <w:r w:rsidRPr="00213131">
                    <w:rPr>
                      <w:rFonts w:asciiTheme="majorBidi" w:hAnsiTheme="majorBidi" w:cstheme="majorBidi"/>
                      <w:color w:val="000000"/>
                    </w:rPr>
                    <w:t xml:space="preserve"> 1,099</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6C1FEADD" w14:textId="77777777" w:rsidR="009C24EF" w:rsidRPr="00213131" w:rsidRDefault="009C24EF" w:rsidP="00A65A6F">
                  <w:pPr>
                    <w:spacing w:before="0" w:after="0"/>
                    <w:jc w:val="center"/>
                    <w:rPr>
                      <w:rFonts w:asciiTheme="majorBidi" w:eastAsia="Ploni ML Medium AAA Medium" w:hAnsiTheme="majorBidi" w:cstheme="majorBidi"/>
                      <w:color w:val="000000"/>
                    </w:rPr>
                  </w:pPr>
                  <w:r w:rsidRPr="00213131">
                    <w:rPr>
                      <w:rFonts w:asciiTheme="majorBidi" w:hAnsiTheme="majorBidi" w:cstheme="majorBidi"/>
                      <w:color w:val="000000"/>
                    </w:rPr>
                    <w:t xml:space="preserve"> 1,307</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1F8211CE" w14:textId="77777777" w:rsidR="009C24EF" w:rsidRPr="00213131" w:rsidRDefault="009C24EF" w:rsidP="00A65A6F">
                  <w:pPr>
                    <w:spacing w:before="0" w:after="0"/>
                    <w:jc w:val="center"/>
                    <w:rPr>
                      <w:rFonts w:asciiTheme="majorBidi" w:eastAsia="Ploni ML Medium AAA Medium" w:hAnsiTheme="majorBidi" w:cstheme="majorBidi"/>
                      <w:color w:val="000000"/>
                    </w:rPr>
                  </w:pPr>
                  <w:r w:rsidRPr="00213131">
                    <w:rPr>
                      <w:rFonts w:asciiTheme="majorBidi" w:hAnsiTheme="majorBidi" w:cstheme="majorBidi"/>
                      <w:color w:val="000000"/>
                    </w:rPr>
                    <w:t xml:space="preserve"> 5,222</w:t>
                  </w:r>
                </w:p>
              </w:tc>
            </w:tr>
            <w:tr w:rsidR="009C24EF" w:rsidRPr="00213131" w14:paraId="5E37C5E3" w14:textId="77777777" w:rsidTr="00014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766" w:type="dxa"/>
                  <w:tcBorders>
                    <w:top w:val="nil"/>
                    <w:left w:val="nil"/>
                    <w:bottom w:val="nil"/>
                    <w:right w:val="nil"/>
                    <w:tl2br w:val="nil"/>
                    <w:tr2bl w:val="nil"/>
                  </w:tcBorders>
                  <w:shd w:val="clear" w:color="auto" w:fill="auto"/>
                  <w:tcMar>
                    <w:left w:w="40" w:type="dxa"/>
                    <w:right w:w="175" w:type="dxa"/>
                  </w:tcMar>
                  <w:vAlign w:val="center"/>
                </w:tcPr>
                <w:p w14:paraId="65592551" w14:textId="77777777" w:rsidR="009C24EF" w:rsidRPr="00213131" w:rsidRDefault="009C24EF" w:rsidP="00A65A6F">
                  <w:pPr>
                    <w:spacing w:before="0" w:after="0"/>
                    <w:jc w:val="left"/>
                    <w:rPr>
                      <w:rFonts w:asciiTheme="majorBidi" w:eastAsia="Ploni ML Medium AAA Medium" w:hAnsiTheme="majorBidi" w:cstheme="majorBidi"/>
                      <w:color w:val="000000"/>
                    </w:rPr>
                  </w:pPr>
                  <w:r w:rsidRPr="00213131">
                    <w:rPr>
                      <w:rFonts w:asciiTheme="majorBidi" w:hAnsiTheme="majorBidi" w:cstheme="majorBidi"/>
                      <w:color w:val="000000"/>
                    </w:rPr>
                    <w:t>G Israel</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27F98831" w14:textId="77777777" w:rsidR="009C24EF" w:rsidRPr="00213131" w:rsidRDefault="009C24EF" w:rsidP="00A65A6F">
                  <w:pPr>
                    <w:spacing w:before="0" w:after="0"/>
                    <w:jc w:val="center"/>
                    <w:rPr>
                      <w:rFonts w:asciiTheme="majorBidi" w:eastAsia="Ploni ML Medium AAA Medium" w:hAnsiTheme="majorBidi" w:cstheme="majorBidi"/>
                      <w:color w:val="000000"/>
                    </w:rPr>
                  </w:pPr>
                  <w:r w:rsidRPr="00213131">
                    <w:rPr>
                      <w:rFonts w:asciiTheme="majorBidi" w:hAnsiTheme="majorBidi" w:cstheme="majorBidi"/>
                      <w:color w:val="000000"/>
                    </w:rPr>
                    <w:t xml:space="preserve"> 154</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2AEA8BA1" w14:textId="77777777" w:rsidR="009C24EF" w:rsidRPr="00213131" w:rsidRDefault="009C24EF" w:rsidP="00A65A6F">
                  <w:pPr>
                    <w:spacing w:before="0" w:after="0"/>
                    <w:jc w:val="center"/>
                    <w:rPr>
                      <w:rFonts w:asciiTheme="majorBidi" w:eastAsia="Ploni ML Medium AAA Medium" w:hAnsiTheme="majorBidi" w:cstheme="majorBidi"/>
                      <w:color w:val="000000"/>
                    </w:rPr>
                  </w:pPr>
                  <w:r w:rsidRPr="00213131">
                    <w:rPr>
                      <w:rFonts w:asciiTheme="majorBidi" w:hAnsiTheme="majorBidi" w:cstheme="majorBidi"/>
                      <w:color w:val="000000"/>
                    </w:rPr>
                    <w:t xml:space="preserve"> -</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02FB7270" w14:textId="77777777" w:rsidR="009C24EF" w:rsidRPr="00213131" w:rsidRDefault="009C24EF" w:rsidP="00A65A6F">
                  <w:pPr>
                    <w:spacing w:before="0" w:after="0"/>
                    <w:jc w:val="center"/>
                    <w:rPr>
                      <w:rFonts w:asciiTheme="majorBidi" w:eastAsia="Ploni ML Medium AAA Medium" w:hAnsiTheme="majorBidi" w:cstheme="majorBidi"/>
                      <w:color w:val="000000"/>
                    </w:rPr>
                  </w:pPr>
                  <w:r w:rsidRPr="00213131">
                    <w:rPr>
                      <w:rFonts w:asciiTheme="majorBidi" w:hAnsiTheme="majorBidi" w:cstheme="majorBidi"/>
                      <w:color w:val="000000"/>
                    </w:rPr>
                    <w:t xml:space="preserve"> 145</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0361E917" w14:textId="77777777" w:rsidR="009C24EF" w:rsidRPr="00213131" w:rsidRDefault="009C24EF" w:rsidP="00A65A6F">
                  <w:pPr>
                    <w:spacing w:before="0" w:after="0"/>
                    <w:jc w:val="center"/>
                    <w:rPr>
                      <w:rFonts w:asciiTheme="majorBidi" w:eastAsia="Ploni ML Medium AAA Medium" w:hAnsiTheme="majorBidi" w:cstheme="majorBidi"/>
                      <w:color w:val="000000"/>
                    </w:rPr>
                  </w:pPr>
                  <w:r w:rsidRPr="00213131">
                    <w:rPr>
                      <w:rFonts w:asciiTheme="majorBidi" w:hAnsiTheme="majorBidi" w:cstheme="majorBidi"/>
                      <w:color w:val="000000"/>
                    </w:rPr>
                    <w:t xml:space="preserve"> 299</w:t>
                  </w:r>
                </w:p>
              </w:tc>
            </w:tr>
            <w:tr w:rsidR="009C24EF" w:rsidRPr="00213131" w14:paraId="1C7B8002" w14:textId="77777777" w:rsidTr="00014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766" w:type="dxa"/>
                  <w:tcBorders>
                    <w:top w:val="nil"/>
                    <w:left w:val="nil"/>
                    <w:bottom w:val="nil"/>
                    <w:right w:val="nil"/>
                    <w:tl2br w:val="nil"/>
                    <w:tr2bl w:val="nil"/>
                  </w:tcBorders>
                  <w:shd w:val="clear" w:color="auto" w:fill="auto"/>
                  <w:tcMar>
                    <w:left w:w="40" w:type="dxa"/>
                    <w:right w:w="175" w:type="dxa"/>
                  </w:tcMar>
                  <w:vAlign w:val="center"/>
                </w:tcPr>
                <w:p w14:paraId="1CAF7E95" w14:textId="77777777" w:rsidR="009C24EF" w:rsidRPr="00213131" w:rsidRDefault="009C24EF" w:rsidP="00A65A6F">
                  <w:pPr>
                    <w:spacing w:before="0" w:after="0"/>
                    <w:jc w:val="left"/>
                    <w:rPr>
                      <w:rFonts w:asciiTheme="majorBidi" w:eastAsia="Ploni ML Medium AAA Medium" w:hAnsiTheme="majorBidi" w:cstheme="majorBidi"/>
                      <w:color w:val="000000"/>
                    </w:rPr>
                  </w:pPr>
                  <w:r w:rsidRPr="00213131">
                    <w:rPr>
                      <w:rFonts w:asciiTheme="majorBidi" w:hAnsiTheme="majorBidi" w:cstheme="majorBidi"/>
                      <w:color w:val="000000"/>
                    </w:rPr>
                    <w:t xml:space="preserve">Gazit Horizons </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1397DE9E" w14:textId="77777777" w:rsidR="009C24EF" w:rsidRPr="00213131" w:rsidRDefault="009C24EF" w:rsidP="00A65A6F">
                  <w:pPr>
                    <w:spacing w:before="0" w:after="0"/>
                    <w:jc w:val="center"/>
                    <w:rPr>
                      <w:rFonts w:asciiTheme="majorBidi" w:eastAsia="Ploni ML Medium AAA Medium" w:hAnsiTheme="majorBidi" w:cstheme="majorBidi"/>
                      <w:color w:val="000000"/>
                    </w:rPr>
                  </w:pPr>
                  <w:r w:rsidRPr="00213131">
                    <w:rPr>
                      <w:rFonts w:asciiTheme="majorBidi" w:hAnsiTheme="majorBidi" w:cstheme="majorBidi"/>
                      <w:color w:val="000000"/>
                    </w:rPr>
                    <w:t xml:space="preserve"> 567</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444407A0" w14:textId="77777777" w:rsidR="009C24EF" w:rsidRPr="00213131" w:rsidRDefault="009C24EF" w:rsidP="00A65A6F">
                  <w:pPr>
                    <w:spacing w:before="0" w:after="0"/>
                    <w:jc w:val="center"/>
                    <w:rPr>
                      <w:rFonts w:asciiTheme="majorBidi" w:eastAsia="Ploni ML Medium AAA Medium" w:hAnsiTheme="majorBidi" w:cstheme="majorBidi"/>
                      <w:color w:val="000000"/>
                    </w:rPr>
                  </w:pPr>
                  <w:r w:rsidRPr="00213131">
                    <w:rPr>
                      <w:rFonts w:asciiTheme="majorBidi" w:hAnsiTheme="majorBidi" w:cstheme="majorBidi"/>
                      <w:color w:val="000000"/>
                    </w:rPr>
                    <w:t xml:space="preserve"> -</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00E54FC2" w14:textId="77777777" w:rsidR="009C24EF" w:rsidRPr="00213131" w:rsidRDefault="009C24EF" w:rsidP="00A65A6F">
                  <w:pPr>
                    <w:spacing w:before="0" w:after="0"/>
                    <w:jc w:val="center"/>
                    <w:rPr>
                      <w:rFonts w:asciiTheme="majorBidi" w:eastAsia="Ploni ML Medium AAA Medium" w:hAnsiTheme="majorBidi" w:cstheme="majorBidi"/>
                      <w:color w:val="000000"/>
                    </w:rPr>
                  </w:pPr>
                  <w:r w:rsidRPr="00213131">
                    <w:rPr>
                      <w:rFonts w:asciiTheme="majorBidi" w:hAnsiTheme="majorBidi" w:cstheme="majorBidi"/>
                      <w:color w:val="000000"/>
                    </w:rPr>
                    <w:t xml:space="preserve"> 162</w:t>
                  </w:r>
                </w:p>
              </w:tc>
              <w:tc>
                <w:tcPr>
                  <w:tcW w:w="1985" w:type="dxa"/>
                  <w:tcBorders>
                    <w:top w:val="nil"/>
                    <w:left w:val="nil"/>
                    <w:bottom w:val="nil"/>
                    <w:right w:val="nil"/>
                    <w:tl2br w:val="nil"/>
                    <w:tr2bl w:val="nil"/>
                  </w:tcBorders>
                  <w:shd w:val="clear" w:color="auto" w:fill="auto"/>
                  <w:noWrap/>
                  <w:tcMar>
                    <w:left w:w="40" w:type="dxa"/>
                    <w:right w:w="40" w:type="dxa"/>
                  </w:tcMar>
                  <w:vAlign w:val="center"/>
                </w:tcPr>
                <w:p w14:paraId="783175A7" w14:textId="77777777" w:rsidR="009C24EF" w:rsidRPr="00213131" w:rsidRDefault="009C24EF" w:rsidP="00A65A6F">
                  <w:pPr>
                    <w:spacing w:before="0" w:after="0"/>
                    <w:jc w:val="center"/>
                    <w:rPr>
                      <w:rFonts w:asciiTheme="majorBidi" w:eastAsia="Ploni ML Medium AAA Medium" w:hAnsiTheme="majorBidi" w:cstheme="majorBidi"/>
                      <w:color w:val="000000"/>
                    </w:rPr>
                  </w:pPr>
                  <w:r w:rsidRPr="00213131">
                    <w:rPr>
                      <w:rFonts w:asciiTheme="majorBidi" w:hAnsiTheme="majorBidi" w:cstheme="majorBidi"/>
                      <w:color w:val="000000"/>
                    </w:rPr>
                    <w:t xml:space="preserve"> 729</w:t>
                  </w:r>
                </w:p>
              </w:tc>
            </w:tr>
            <w:tr w:rsidR="009C24EF" w:rsidRPr="00213131" w14:paraId="2F24EC66" w14:textId="77777777" w:rsidTr="00014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766" w:type="dxa"/>
                  <w:tcBorders>
                    <w:top w:val="nil"/>
                    <w:left w:val="nil"/>
                    <w:bottom w:val="single" w:sz="4" w:space="0" w:color="000000"/>
                    <w:right w:val="nil"/>
                    <w:tl2br w:val="nil"/>
                    <w:tr2bl w:val="nil"/>
                  </w:tcBorders>
                  <w:shd w:val="clear" w:color="auto" w:fill="auto"/>
                  <w:tcMar>
                    <w:left w:w="40" w:type="dxa"/>
                    <w:right w:w="175" w:type="dxa"/>
                  </w:tcMar>
                  <w:vAlign w:val="center"/>
                </w:tcPr>
                <w:p w14:paraId="48EA80CD" w14:textId="77777777" w:rsidR="009C24EF" w:rsidRPr="00213131" w:rsidRDefault="009C24EF" w:rsidP="00A65A6F">
                  <w:pPr>
                    <w:spacing w:before="0" w:after="0"/>
                    <w:jc w:val="left"/>
                    <w:rPr>
                      <w:rFonts w:asciiTheme="majorBidi" w:eastAsia="Ploni ML Medium AAA Medium" w:hAnsiTheme="majorBidi" w:cstheme="majorBidi"/>
                      <w:color w:val="000000"/>
                    </w:rPr>
                  </w:pPr>
                  <w:r w:rsidRPr="00213131">
                    <w:rPr>
                      <w:rFonts w:asciiTheme="majorBidi" w:hAnsiTheme="majorBidi" w:cstheme="majorBidi"/>
                      <w:color w:val="000000"/>
                    </w:rPr>
                    <w:t xml:space="preserve">Gazit </w:t>
                  </w:r>
                  <w:proofErr w:type="spellStart"/>
                  <w:r w:rsidRPr="00213131">
                    <w:rPr>
                      <w:rFonts w:asciiTheme="majorBidi" w:hAnsiTheme="majorBidi" w:cstheme="majorBidi"/>
                      <w:color w:val="000000"/>
                    </w:rPr>
                    <w:t>Brasil</w:t>
                  </w:r>
                  <w:proofErr w:type="spellEnd"/>
                </w:p>
              </w:tc>
              <w:tc>
                <w:tcPr>
                  <w:tcW w:w="198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75C1B87" w14:textId="77777777" w:rsidR="009C24EF" w:rsidRPr="00213131" w:rsidRDefault="009C24EF" w:rsidP="00A65A6F">
                  <w:pPr>
                    <w:spacing w:before="0" w:after="0"/>
                    <w:jc w:val="center"/>
                    <w:rPr>
                      <w:rFonts w:asciiTheme="majorBidi" w:eastAsia="Ploni ML Medium AAA Medium" w:hAnsiTheme="majorBidi" w:cstheme="majorBidi"/>
                      <w:color w:val="000000"/>
                    </w:rPr>
                  </w:pPr>
                  <w:r w:rsidRPr="00213131">
                    <w:rPr>
                      <w:rFonts w:asciiTheme="majorBidi" w:hAnsiTheme="majorBidi" w:cstheme="majorBidi"/>
                      <w:color w:val="000000"/>
                    </w:rPr>
                    <w:t xml:space="preserve"> 498</w:t>
                  </w:r>
                </w:p>
              </w:tc>
              <w:tc>
                <w:tcPr>
                  <w:tcW w:w="198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398E8D4" w14:textId="77777777" w:rsidR="009C24EF" w:rsidRPr="00213131" w:rsidRDefault="009C24EF" w:rsidP="00A65A6F">
                  <w:pPr>
                    <w:spacing w:before="0" w:after="0"/>
                    <w:jc w:val="center"/>
                    <w:rPr>
                      <w:rFonts w:asciiTheme="majorBidi" w:eastAsia="Ploni ML Medium AAA Medium" w:hAnsiTheme="majorBidi" w:cstheme="majorBidi"/>
                      <w:color w:val="000000"/>
                    </w:rPr>
                  </w:pPr>
                  <w:r w:rsidRPr="00213131">
                    <w:rPr>
                      <w:rFonts w:asciiTheme="majorBidi" w:hAnsiTheme="majorBidi" w:cstheme="majorBidi"/>
                      <w:color w:val="000000"/>
                    </w:rPr>
                    <w:t xml:space="preserve"> 316</w:t>
                  </w:r>
                </w:p>
              </w:tc>
              <w:tc>
                <w:tcPr>
                  <w:tcW w:w="198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C28DE3D" w14:textId="77777777" w:rsidR="009C24EF" w:rsidRPr="00213131" w:rsidRDefault="009C24EF" w:rsidP="00A65A6F">
                  <w:pPr>
                    <w:spacing w:before="0" w:after="0"/>
                    <w:jc w:val="center"/>
                    <w:rPr>
                      <w:rFonts w:asciiTheme="majorBidi" w:eastAsia="Ploni ML Medium AAA Medium" w:hAnsiTheme="majorBidi" w:cstheme="majorBidi"/>
                      <w:color w:val="000000"/>
                    </w:rPr>
                  </w:pPr>
                  <w:r w:rsidRPr="00213131">
                    <w:rPr>
                      <w:rFonts w:asciiTheme="majorBidi" w:hAnsiTheme="majorBidi" w:cstheme="majorBidi"/>
                      <w:color w:val="000000"/>
                    </w:rPr>
                    <w:t xml:space="preserve"> 34</w:t>
                  </w:r>
                </w:p>
              </w:tc>
              <w:tc>
                <w:tcPr>
                  <w:tcW w:w="198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6E2A01B" w14:textId="77777777" w:rsidR="009C24EF" w:rsidRPr="00213131" w:rsidRDefault="009C24EF" w:rsidP="00A65A6F">
                  <w:pPr>
                    <w:spacing w:before="0" w:after="0"/>
                    <w:jc w:val="center"/>
                    <w:rPr>
                      <w:rFonts w:asciiTheme="majorBidi" w:eastAsia="Ploni ML Medium AAA Medium" w:hAnsiTheme="majorBidi" w:cstheme="majorBidi"/>
                      <w:color w:val="000000"/>
                    </w:rPr>
                  </w:pPr>
                  <w:r w:rsidRPr="00213131">
                    <w:rPr>
                      <w:rFonts w:asciiTheme="majorBidi" w:hAnsiTheme="majorBidi" w:cstheme="majorBidi"/>
                      <w:color w:val="000000"/>
                    </w:rPr>
                    <w:t xml:space="preserve"> 848</w:t>
                  </w:r>
                </w:p>
              </w:tc>
            </w:tr>
            <w:tr w:rsidR="009C24EF" w:rsidRPr="00213131" w14:paraId="7A3AEB4B" w14:textId="77777777" w:rsidTr="00014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0"/>
              </w:trPr>
              <w:tc>
                <w:tcPr>
                  <w:tcW w:w="1766"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368DCE8F" w14:textId="77777777" w:rsidR="009C24EF" w:rsidRPr="00213131" w:rsidRDefault="009C24EF" w:rsidP="00A65A6F">
                  <w:pPr>
                    <w:spacing w:before="0" w:after="0"/>
                    <w:jc w:val="left"/>
                    <w:rPr>
                      <w:rFonts w:asciiTheme="majorBidi" w:eastAsia="Ploni ML Medium AAA Medium" w:hAnsiTheme="majorBidi" w:cstheme="majorBidi"/>
                      <w:b/>
                      <w:color w:val="000000"/>
                    </w:rPr>
                  </w:pPr>
                  <w:r w:rsidRPr="00213131">
                    <w:rPr>
                      <w:rFonts w:asciiTheme="majorBidi" w:hAnsiTheme="majorBidi" w:cstheme="majorBidi"/>
                      <w:b/>
                      <w:color w:val="000000"/>
                    </w:rPr>
                    <w:t>Total</w:t>
                  </w:r>
                </w:p>
              </w:tc>
              <w:tc>
                <w:tcPr>
                  <w:tcW w:w="1985"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793A250E" w14:textId="77777777" w:rsidR="009C24EF" w:rsidRPr="00213131" w:rsidRDefault="009C24EF" w:rsidP="00A65A6F">
                  <w:pPr>
                    <w:spacing w:before="0" w:after="0"/>
                    <w:jc w:val="center"/>
                    <w:rPr>
                      <w:rFonts w:asciiTheme="majorBidi" w:eastAsia="Ploni ML Medium AAA Medium" w:hAnsiTheme="majorBidi" w:cstheme="majorBidi"/>
                      <w:b/>
                      <w:color w:val="000000"/>
                    </w:rPr>
                  </w:pPr>
                  <w:r w:rsidRPr="00213131">
                    <w:rPr>
                      <w:rFonts w:asciiTheme="majorBidi" w:hAnsiTheme="majorBidi" w:cstheme="majorBidi"/>
                      <w:b/>
                      <w:color w:val="000000"/>
                    </w:rPr>
                    <w:t xml:space="preserve">4,035 </w:t>
                  </w:r>
                </w:p>
              </w:tc>
              <w:tc>
                <w:tcPr>
                  <w:tcW w:w="1985"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46AC7383" w14:textId="77777777" w:rsidR="009C24EF" w:rsidRPr="00213131" w:rsidRDefault="009C24EF" w:rsidP="00A65A6F">
                  <w:pPr>
                    <w:spacing w:before="0" w:after="0"/>
                    <w:jc w:val="center"/>
                    <w:rPr>
                      <w:rFonts w:asciiTheme="majorBidi" w:eastAsia="Ploni ML Medium AAA Medium" w:hAnsiTheme="majorBidi" w:cstheme="majorBidi"/>
                      <w:b/>
                      <w:color w:val="000000"/>
                    </w:rPr>
                  </w:pPr>
                  <w:r w:rsidRPr="00213131">
                    <w:rPr>
                      <w:rFonts w:asciiTheme="majorBidi" w:hAnsiTheme="majorBidi" w:cstheme="majorBidi"/>
                      <w:b/>
                      <w:color w:val="000000"/>
                    </w:rPr>
                    <w:t xml:space="preserve">1,415 </w:t>
                  </w:r>
                </w:p>
              </w:tc>
              <w:tc>
                <w:tcPr>
                  <w:tcW w:w="1985"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60D831F1" w14:textId="77777777" w:rsidR="009C24EF" w:rsidRPr="00213131" w:rsidRDefault="009C24EF" w:rsidP="00A65A6F">
                  <w:pPr>
                    <w:spacing w:before="0" w:after="0"/>
                    <w:jc w:val="center"/>
                    <w:rPr>
                      <w:rFonts w:asciiTheme="majorBidi" w:eastAsia="Ploni ML Medium AAA Medium" w:hAnsiTheme="majorBidi" w:cstheme="majorBidi"/>
                      <w:b/>
                      <w:color w:val="000000"/>
                    </w:rPr>
                  </w:pPr>
                  <w:r w:rsidRPr="00213131">
                    <w:rPr>
                      <w:rFonts w:asciiTheme="majorBidi" w:hAnsiTheme="majorBidi" w:cstheme="majorBidi"/>
                      <w:b/>
                      <w:color w:val="000000"/>
                    </w:rPr>
                    <w:t xml:space="preserve">1,648 </w:t>
                  </w:r>
                </w:p>
              </w:tc>
              <w:tc>
                <w:tcPr>
                  <w:tcW w:w="1985" w:type="dxa"/>
                  <w:tcBorders>
                    <w:top w:val="single" w:sz="4" w:space="0" w:color="000000"/>
                    <w:left w:val="nil"/>
                    <w:bottom w:val="single" w:sz="12" w:space="0" w:color="000000"/>
                    <w:right w:val="nil"/>
                    <w:tl2br w:val="nil"/>
                    <w:tr2bl w:val="nil"/>
                  </w:tcBorders>
                  <w:shd w:val="clear" w:color="FFFFFF" w:fill="FFFFFF"/>
                  <w:noWrap/>
                  <w:tcMar>
                    <w:left w:w="40" w:type="dxa"/>
                    <w:right w:w="40" w:type="dxa"/>
                  </w:tcMar>
                  <w:vAlign w:val="center"/>
                </w:tcPr>
                <w:p w14:paraId="6100E415" w14:textId="77777777" w:rsidR="009C24EF" w:rsidRPr="00213131" w:rsidRDefault="009C24EF" w:rsidP="00A65A6F">
                  <w:pPr>
                    <w:spacing w:before="0" w:after="0"/>
                    <w:jc w:val="center"/>
                    <w:rPr>
                      <w:rFonts w:asciiTheme="majorBidi" w:eastAsia="Ploni ML Medium AAA Medium" w:hAnsiTheme="majorBidi" w:cstheme="majorBidi"/>
                      <w:b/>
                      <w:color w:val="000000"/>
                    </w:rPr>
                  </w:pPr>
                  <w:r w:rsidRPr="00213131">
                    <w:rPr>
                      <w:rFonts w:asciiTheme="majorBidi" w:hAnsiTheme="majorBidi" w:cstheme="majorBidi"/>
                      <w:b/>
                      <w:color w:val="000000"/>
                    </w:rPr>
                    <w:t xml:space="preserve">7,098 </w:t>
                  </w:r>
                </w:p>
              </w:tc>
            </w:tr>
          </w:tbl>
          <w:p w14:paraId="41618B24" w14:textId="77777777" w:rsidR="009C24EF" w:rsidRPr="00213131" w:rsidRDefault="009C24EF" w:rsidP="00A65A6F">
            <w:pPr>
              <w:rPr>
                <w:rFonts w:asciiTheme="majorBidi" w:hAnsiTheme="majorBidi" w:cstheme="majorBidi"/>
              </w:rPr>
            </w:pPr>
          </w:p>
        </w:tc>
      </w:tr>
    </w:tbl>
    <w:p w14:paraId="333CBD6D" w14:textId="180D9A18" w:rsidR="009C24EF" w:rsidRPr="00213131" w:rsidRDefault="009C24EF" w:rsidP="004D7A72">
      <w:pPr>
        <w:keepLines/>
        <w:numPr>
          <w:ilvl w:val="0"/>
          <w:numId w:val="49"/>
        </w:numPr>
        <w:tabs>
          <w:tab w:val="clear" w:pos="1134"/>
        </w:tabs>
        <w:spacing w:beforeLines="100" w:before="240" w:after="0"/>
        <w:ind w:left="425" w:hanging="425"/>
        <w:rPr>
          <w:rFonts w:asciiTheme="majorBidi" w:hAnsiTheme="majorBidi" w:cstheme="majorBidi"/>
          <w:sz w:val="21"/>
        </w:rPr>
      </w:pPr>
      <w:r w:rsidRPr="00213131">
        <w:rPr>
          <w:rFonts w:asciiTheme="majorBidi" w:hAnsiTheme="majorBidi" w:cstheme="majorBidi"/>
          <w:sz w:val="21"/>
        </w:rPr>
        <w:t xml:space="preserve">Furthermore, the partial public </w:t>
      </w:r>
      <w:r w:rsidR="00A453F4">
        <w:rPr>
          <w:rFonts w:asciiTheme="majorBidi" w:hAnsiTheme="majorBidi" w:cstheme="majorBidi"/>
          <w:sz w:val="21"/>
        </w:rPr>
        <w:t>tender offer</w:t>
      </w:r>
      <w:r w:rsidRPr="00213131">
        <w:rPr>
          <w:rFonts w:asciiTheme="majorBidi" w:hAnsiTheme="majorBidi" w:cstheme="majorBidi"/>
          <w:sz w:val="21"/>
        </w:rPr>
        <w:t xml:space="preserve"> of Gazit Malls was completed for an amount of BRL 301 million (NIS 226 million).</w:t>
      </w:r>
    </w:p>
    <w:p w14:paraId="3C3BC302" w14:textId="77777777" w:rsidR="009C24EF" w:rsidRPr="00213131" w:rsidRDefault="009C24EF" w:rsidP="004D7A72">
      <w:pPr>
        <w:keepLines/>
        <w:numPr>
          <w:ilvl w:val="0"/>
          <w:numId w:val="49"/>
        </w:numPr>
        <w:tabs>
          <w:tab w:val="clear" w:pos="1134"/>
        </w:tabs>
        <w:spacing w:before="0" w:after="120"/>
        <w:ind w:left="425" w:hanging="425"/>
        <w:rPr>
          <w:rFonts w:asciiTheme="majorBidi" w:hAnsiTheme="majorBidi" w:cstheme="majorBidi"/>
          <w:sz w:val="21"/>
        </w:rPr>
      </w:pPr>
      <w:r w:rsidRPr="00213131">
        <w:rPr>
          <w:rFonts w:asciiTheme="majorBidi" w:hAnsiTheme="majorBidi" w:cstheme="majorBidi"/>
          <w:sz w:val="21"/>
        </w:rPr>
        <w:t>In addition, the Company and its wholly-owned subsidiary intend to act to obtain financing, to be secured by several debt-free properties (mainly in Europe), for a cumulative amount of EUR 118 million.</w:t>
      </w:r>
    </w:p>
    <w:p w14:paraId="5BB4F758" w14:textId="77777777" w:rsidR="009C24EF" w:rsidRPr="00213131" w:rsidRDefault="009C24EF" w:rsidP="009C24EF">
      <w:pPr>
        <w:pStyle w:val="ListParagraph"/>
        <w:keepNext/>
        <w:keepLines/>
        <w:ind w:left="0"/>
        <w:outlineLvl w:val="2"/>
        <w:rPr>
          <w:rFonts w:asciiTheme="majorBidi" w:hAnsiTheme="majorBidi" w:cstheme="majorBidi"/>
          <w:b/>
          <w:bCs/>
          <w:sz w:val="21"/>
          <w:szCs w:val="21"/>
        </w:rPr>
      </w:pPr>
      <w:r w:rsidRPr="00213131">
        <w:rPr>
          <w:rFonts w:asciiTheme="majorBidi" w:hAnsiTheme="majorBidi" w:cstheme="majorBidi"/>
          <w:b/>
          <w:sz w:val="21"/>
        </w:rPr>
        <w:t>The Company's estimates regarding the sale of properties and/or obtaining financing for them, including the scope of properties that will be sold, the consideration to be received for them and the dates of sale and receipt of financing for them, constitute forward-looking information as defined in the Securities Law, 1968. The foregoing estimates are uncertain, may not materialize and mostly are not within the control of the Company, and are dependent, among other things and as set out above, on the state of the economy and the real estate market in the various countries in which the properties are located and in which the Company operates. If the foregoing market conditions change it is possible that changes and/or delays will occur in the disposal of the properties, over and above as described above.</w:t>
      </w:r>
    </w:p>
    <w:p w14:paraId="4881E015" w14:textId="77777777" w:rsidR="009C24EF" w:rsidRPr="00213131" w:rsidRDefault="009C24EF" w:rsidP="009C24EF">
      <w:pPr>
        <w:pStyle w:val="ListParagraph"/>
        <w:keepNext/>
        <w:keepLines/>
        <w:tabs>
          <w:tab w:val="left" w:pos="425"/>
        </w:tabs>
        <w:ind w:left="0"/>
        <w:outlineLvl w:val="2"/>
        <w:rPr>
          <w:rFonts w:asciiTheme="majorBidi" w:hAnsiTheme="majorBidi" w:cstheme="majorBidi"/>
          <w:sz w:val="21"/>
          <w:szCs w:val="21"/>
        </w:rPr>
      </w:pPr>
    </w:p>
    <w:p w14:paraId="397E5BCC" w14:textId="77777777" w:rsidR="009C24EF" w:rsidRPr="00213131" w:rsidRDefault="009C24EF" w:rsidP="009C24EF">
      <w:pPr>
        <w:pStyle w:val="ListParagraph"/>
        <w:keepNext/>
        <w:keepLines/>
        <w:tabs>
          <w:tab w:val="left" w:pos="425"/>
        </w:tabs>
        <w:ind w:left="0"/>
        <w:outlineLvl w:val="2"/>
        <w:rPr>
          <w:rFonts w:asciiTheme="majorBidi" w:hAnsiTheme="majorBidi" w:cstheme="majorBidi"/>
          <w:sz w:val="21"/>
          <w:szCs w:val="21"/>
          <w:u w:val="single"/>
        </w:rPr>
      </w:pPr>
      <w:r w:rsidRPr="00213131">
        <w:rPr>
          <w:rFonts w:asciiTheme="majorBidi" w:hAnsiTheme="majorBidi" w:cstheme="majorBidi"/>
          <w:sz w:val="21"/>
          <w:u w:val="single"/>
        </w:rPr>
        <w:t>Update of section 2 - Investments in the Company’s capital and transactions in its shares in the last two years</w:t>
      </w:r>
    </w:p>
    <w:bookmarkEnd w:id="122"/>
    <w:p w14:paraId="3F94769A" w14:textId="77777777" w:rsidR="009C24EF" w:rsidRPr="00213131" w:rsidRDefault="009C24EF" w:rsidP="004D7A72">
      <w:pPr>
        <w:keepLines/>
        <w:numPr>
          <w:ilvl w:val="0"/>
          <w:numId w:val="50"/>
        </w:numPr>
        <w:tabs>
          <w:tab w:val="clear" w:pos="1134"/>
          <w:tab w:val="left" w:pos="425"/>
        </w:tabs>
        <w:spacing w:beforeLines="60" w:before="144" w:afterLines="60" w:after="144"/>
        <w:ind w:left="426" w:hanging="426"/>
        <w:contextualSpacing/>
        <w:rPr>
          <w:rFonts w:asciiTheme="majorBidi" w:hAnsiTheme="majorBidi" w:cstheme="majorBidi"/>
          <w:sz w:val="21"/>
          <w:szCs w:val="21"/>
        </w:rPr>
      </w:pPr>
      <w:r w:rsidRPr="00213131">
        <w:rPr>
          <w:rFonts w:asciiTheme="majorBidi" w:hAnsiTheme="majorBidi" w:cstheme="majorBidi"/>
          <w:sz w:val="21"/>
        </w:rPr>
        <w:t>As of January 1, 2024 through to shortly prior to the date of publication of this report, the Company issued 9,619 par value shares to an officer of the Company as a result of the vesting of the convertible securities allotted to him as part of the terms and conditions of his employment.</w:t>
      </w:r>
    </w:p>
    <w:p w14:paraId="3D96D573" w14:textId="5AE20954" w:rsidR="009C24EF" w:rsidRPr="00213131" w:rsidRDefault="009C24EF" w:rsidP="004D7A72">
      <w:pPr>
        <w:keepLines/>
        <w:numPr>
          <w:ilvl w:val="0"/>
          <w:numId w:val="50"/>
        </w:numPr>
        <w:tabs>
          <w:tab w:val="clear" w:pos="1134"/>
          <w:tab w:val="left" w:pos="425"/>
        </w:tabs>
        <w:spacing w:beforeLines="60" w:before="144" w:afterLines="60" w:after="144"/>
        <w:ind w:left="426" w:hanging="426"/>
        <w:contextualSpacing/>
        <w:rPr>
          <w:rFonts w:asciiTheme="majorBidi" w:hAnsiTheme="majorBidi" w:cstheme="majorBidi"/>
          <w:sz w:val="21"/>
          <w:szCs w:val="21"/>
        </w:rPr>
      </w:pPr>
      <w:r w:rsidRPr="00213131">
        <w:rPr>
          <w:rFonts w:asciiTheme="majorBidi" w:hAnsiTheme="majorBidi" w:cstheme="majorBidi"/>
          <w:sz w:val="21"/>
        </w:rPr>
        <w:t xml:space="preserve">For further information regarding the buyback of 3.9 million shares of the Company under its buyback plan, for proceeds of NIS 41 million, see Notes 3 and </w:t>
      </w:r>
      <w:r w:rsidR="00DE30FE">
        <w:rPr>
          <w:rFonts w:asciiTheme="majorBidi" w:hAnsiTheme="majorBidi" w:cstheme="majorBidi"/>
          <w:sz w:val="21"/>
        </w:rPr>
        <w:t>5B</w:t>
      </w:r>
      <w:r w:rsidRPr="00213131">
        <w:rPr>
          <w:rFonts w:asciiTheme="majorBidi" w:hAnsiTheme="majorBidi" w:cstheme="majorBidi"/>
          <w:sz w:val="21"/>
        </w:rPr>
        <w:t xml:space="preserve"> to the financial statements.</w:t>
      </w:r>
    </w:p>
    <w:p w14:paraId="5E877F02" w14:textId="56FBCF73" w:rsidR="0045047E" w:rsidRDefault="0045047E">
      <w:pPr>
        <w:spacing w:before="0" w:after="200"/>
        <w:jc w:val="left"/>
        <w:rPr>
          <w:rFonts w:asciiTheme="majorBidi" w:hAnsiTheme="majorBidi" w:cstheme="majorBidi"/>
          <w:sz w:val="21"/>
          <w:szCs w:val="21"/>
        </w:rPr>
      </w:pPr>
      <w:r>
        <w:rPr>
          <w:rFonts w:asciiTheme="majorBidi" w:hAnsiTheme="majorBidi" w:cstheme="majorBidi"/>
          <w:sz w:val="21"/>
          <w:szCs w:val="21"/>
        </w:rPr>
        <w:br w:type="page"/>
      </w:r>
    </w:p>
    <w:p w14:paraId="0F204E97" w14:textId="77777777" w:rsidR="009C24EF" w:rsidRPr="00213131" w:rsidRDefault="009C24EF" w:rsidP="009C24EF">
      <w:pPr>
        <w:keepLines/>
        <w:tabs>
          <w:tab w:val="left" w:pos="425"/>
        </w:tabs>
        <w:rPr>
          <w:rFonts w:asciiTheme="majorBidi" w:eastAsia="Ploni ML Medium AAA Medium" w:hAnsiTheme="majorBidi" w:cstheme="majorBidi"/>
          <w:sz w:val="21"/>
          <w:szCs w:val="21"/>
          <w:u w:val="single"/>
        </w:rPr>
      </w:pPr>
      <w:bookmarkStart w:id="123" w:name="RG_MARKER_51114"/>
      <w:r w:rsidRPr="00213131">
        <w:rPr>
          <w:rFonts w:asciiTheme="majorBidi" w:hAnsiTheme="majorBidi" w:cstheme="majorBidi"/>
          <w:sz w:val="21"/>
          <w:u w:val="single"/>
        </w:rPr>
        <w:lastRenderedPageBreak/>
        <w:t>Update of section 3 - Distribution of dividend in the past two years</w:t>
      </w:r>
    </w:p>
    <w:p w14:paraId="6EB75A06" w14:textId="32D710A8" w:rsidR="00CE0A1F" w:rsidRPr="00CE0A1F" w:rsidRDefault="00CE0A1F" w:rsidP="00CE0A1F">
      <w:pPr>
        <w:keepLines/>
        <w:tabs>
          <w:tab w:val="left" w:pos="425"/>
        </w:tabs>
        <w:spacing w:beforeLines="60" w:before="144" w:afterLines="60" w:after="144"/>
        <w:contextualSpacing/>
        <w:rPr>
          <w:rFonts w:asciiTheme="majorBidi" w:hAnsiTheme="majorBidi" w:cstheme="majorBidi"/>
          <w:sz w:val="21"/>
          <w:lang w:val="en-IL"/>
        </w:rPr>
      </w:pPr>
      <w:r w:rsidRPr="00CE0A1F">
        <w:rPr>
          <w:rFonts w:asciiTheme="majorBidi" w:hAnsiTheme="majorBidi" w:cstheme="majorBidi"/>
          <w:sz w:val="21"/>
          <w:lang w:val="en"/>
        </w:rPr>
        <w:t xml:space="preserve">On August 14, 2024, the Company's Board of Directors decided to return to the company's dividend distribution policy, which was adopted by the board of directors in 1998, according to which the company used to distribute dividends to its shareholders on a regular basis every quarter. Accordingly, the Company's Board of Directors decided to distribute a dividend for the third quarter of 2024 in the amount of 0.10 NIS per share (a total of </w:t>
      </w:r>
      <w:r>
        <w:rPr>
          <w:rFonts w:asciiTheme="majorBidi" w:hAnsiTheme="majorBidi" w:cstheme="majorBidi"/>
          <w:sz w:val="21"/>
          <w:lang w:val="en"/>
        </w:rPr>
        <w:t>NIS</w:t>
      </w:r>
      <w:r w:rsidRPr="00CE0A1F">
        <w:rPr>
          <w:rFonts w:asciiTheme="majorBidi" w:hAnsiTheme="majorBidi" w:cstheme="majorBidi"/>
          <w:sz w:val="21"/>
          <w:lang w:val="en"/>
        </w:rPr>
        <w:t xml:space="preserve"> 18.2 million), and this after reviewing the Company’s dividend financial situation, including based on progress in the execution of the Property Disposal Plan announced by the Company on October 25, 2022 and as updated on from time to time, as well as additional considerations, subject to the distribution tests set out in the Companies Law, 1999. The company's board of directors will return and review the scope of the aforementioned dividend distribution every quarter, in accordance with the aforementioned considerations.</w:t>
      </w:r>
      <w:r>
        <w:rPr>
          <w:rFonts w:asciiTheme="majorBidi" w:hAnsiTheme="majorBidi" w:cstheme="majorBidi" w:hint="cs"/>
          <w:sz w:val="21"/>
          <w:rtl/>
          <w:lang w:val="en"/>
        </w:rPr>
        <w:t xml:space="preserve">  </w:t>
      </w:r>
    </w:p>
    <w:p w14:paraId="0B058F2B" w14:textId="4A3D8A4E" w:rsidR="00CE0A1F" w:rsidRPr="00CE0A1F" w:rsidRDefault="00CE0A1F" w:rsidP="00CE0A1F">
      <w:pPr>
        <w:keepLines/>
        <w:tabs>
          <w:tab w:val="left" w:pos="425"/>
        </w:tabs>
        <w:spacing w:beforeLines="60" w:before="144" w:afterLines="60" w:after="144"/>
        <w:contextualSpacing/>
        <w:rPr>
          <w:rFonts w:asciiTheme="majorBidi" w:hAnsiTheme="majorBidi" w:cstheme="majorBidi"/>
          <w:i/>
          <w:iCs/>
          <w:sz w:val="21"/>
          <w:lang w:val="en-IL"/>
        </w:rPr>
      </w:pPr>
    </w:p>
    <w:p w14:paraId="211B1366" w14:textId="77777777" w:rsidR="009C24EF" w:rsidRPr="00213131" w:rsidRDefault="009C24EF" w:rsidP="009C24EF">
      <w:pPr>
        <w:keepLines/>
        <w:tabs>
          <w:tab w:val="left" w:pos="425"/>
        </w:tabs>
        <w:rPr>
          <w:rFonts w:asciiTheme="majorBidi" w:hAnsiTheme="majorBidi" w:cstheme="majorBidi"/>
          <w:sz w:val="21"/>
          <w:szCs w:val="21"/>
          <w:u w:val="single"/>
          <w:rtl/>
        </w:rPr>
      </w:pPr>
    </w:p>
    <w:p w14:paraId="26C3F105" w14:textId="77777777" w:rsidR="009C24EF" w:rsidRPr="00213131" w:rsidRDefault="009C24EF" w:rsidP="009C24EF">
      <w:pPr>
        <w:keepNext/>
        <w:keepLines/>
        <w:tabs>
          <w:tab w:val="left" w:pos="425"/>
        </w:tabs>
        <w:rPr>
          <w:rFonts w:asciiTheme="majorBidi" w:hAnsiTheme="majorBidi" w:cstheme="majorBidi"/>
          <w:sz w:val="21"/>
          <w:szCs w:val="21"/>
          <w:u w:val="single"/>
        </w:rPr>
      </w:pPr>
      <w:r w:rsidRPr="00213131">
        <w:rPr>
          <w:rFonts w:asciiTheme="majorBidi" w:hAnsiTheme="majorBidi" w:cstheme="majorBidi"/>
          <w:sz w:val="21"/>
          <w:u w:val="single"/>
        </w:rPr>
        <w:t>Update of section 5 - Financial environment and the effects of external factors on the Company's operations</w:t>
      </w:r>
      <w:bookmarkEnd w:id="123"/>
    </w:p>
    <w:p w14:paraId="6EA790A8" w14:textId="0F1DBB37" w:rsidR="00517D1C" w:rsidRPr="006E4BB6" w:rsidRDefault="009C24EF" w:rsidP="006E4BB6">
      <w:pPr>
        <w:keepLines/>
        <w:numPr>
          <w:ilvl w:val="0"/>
          <w:numId w:val="51"/>
        </w:numPr>
        <w:tabs>
          <w:tab w:val="left" w:pos="567"/>
        </w:tabs>
        <w:spacing w:beforeLines="60" w:before="144" w:afterLines="60" w:after="144"/>
        <w:ind w:left="567" w:right="-1" w:hanging="414"/>
        <w:contextualSpacing/>
        <w:rPr>
          <w:rFonts w:asciiTheme="majorBidi" w:hAnsiTheme="majorBidi" w:cstheme="majorBidi"/>
          <w:sz w:val="21"/>
          <w:szCs w:val="21"/>
        </w:rPr>
      </w:pPr>
      <w:r w:rsidRPr="006E4BB6">
        <w:rPr>
          <w:rFonts w:asciiTheme="majorBidi" w:hAnsiTheme="majorBidi" w:cstheme="majorBidi"/>
          <w:b/>
          <w:bCs/>
          <w:sz w:val="21"/>
        </w:rPr>
        <w:t>Inflation rate, interest rate and currency exchange rate volatility</w:t>
      </w:r>
      <w:r w:rsidRPr="006E4BB6">
        <w:rPr>
          <w:rFonts w:asciiTheme="majorBidi" w:hAnsiTheme="majorBidi" w:cstheme="majorBidi"/>
          <w:vertAlign w:val="superscript"/>
          <w:rtl/>
        </w:rPr>
        <w:footnoteReference w:id="7"/>
      </w:r>
      <w:r w:rsidRPr="006E4BB6">
        <w:rPr>
          <w:rFonts w:asciiTheme="majorBidi" w:hAnsiTheme="majorBidi" w:cstheme="majorBidi"/>
          <w:b/>
          <w:bCs/>
          <w:sz w:val="21"/>
        </w:rPr>
        <w:t xml:space="preserve"> </w:t>
      </w:r>
      <w:r w:rsidRPr="006E4BB6">
        <w:rPr>
          <w:rFonts w:asciiTheme="majorBidi" w:hAnsiTheme="majorBidi" w:cstheme="majorBidi"/>
          <w:sz w:val="21"/>
        </w:rPr>
        <w:t xml:space="preserve">- </w:t>
      </w:r>
      <w:r w:rsidR="006E4BB6" w:rsidRPr="006E4BB6">
        <w:rPr>
          <w:rFonts w:asciiTheme="majorBidi" w:hAnsiTheme="majorBidi" w:cstheme="majorBidi"/>
          <w:sz w:val="21"/>
        </w:rPr>
        <w:t xml:space="preserve">On July 24 2024, </w:t>
      </w:r>
      <w:r w:rsidR="006E4BB6" w:rsidRPr="006E4BB6">
        <w:rPr>
          <w:rFonts w:asciiTheme="majorBidi" w:hAnsiTheme="majorBidi" w:cstheme="majorBidi"/>
          <w:sz w:val="21"/>
          <w:szCs w:val="21"/>
        </w:rPr>
        <w:t>t</w:t>
      </w:r>
      <w:r w:rsidR="004D4D4C" w:rsidRPr="006E4BB6">
        <w:rPr>
          <w:rFonts w:asciiTheme="majorBidi" w:hAnsiTheme="majorBidi" w:cstheme="majorBidi"/>
          <w:sz w:val="21"/>
          <w:szCs w:val="21"/>
        </w:rPr>
        <w:t>he Bank of Israel research division</w:t>
      </w:r>
      <w:r w:rsidR="00517D1C" w:rsidRPr="006E4BB6">
        <w:rPr>
          <w:rFonts w:asciiTheme="majorBidi" w:hAnsiTheme="majorBidi" w:cstheme="majorBidi"/>
          <w:sz w:val="21"/>
          <w:szCs w:val="21"/>
        </w:rPr>
        <w:t xml:space="preserve"> published a new forecast for the next two years, in which it estimates that inflation will rise above the government's target range, which is 1%-3%. The division explains the main factors that will affect inflation </w:t>
      </w:r>
      <w:r w:rsidR="006E4BB6" w:rsidRPr="006E4BB6">
        <w:rPr>
          <w:rFonts w:asciiTheme="majorBidi" w:hAnsiTheme="majorBidi" w:cstheme="majorBidi"/>
          <w:sz w:val="21"/>
          <w:szCs w:val="21"/>
        </w:rPr>
        <w:t>and</w:t>
      </w:r>
      <w:r w:rsidR="00517D1C" w:rsidRPr="006E4BB6">
        <w:rPr>
          <w:rFonts w:asciiTheme="majorBidi" w:hAnsiTheme="majorBidi" w:cstheme="majorBidi"/>
          <w:sz w:val="21"/>
          <w:szCs w:val="21"/>
        </w:rPr>
        <w:t xml:space="preserve"> increases in indirect taxes, such as VAT and fuel tax, which will cause an increase in consumption prices, and restrictions on the supply of labor, which will cause an increase in wages and a lack of competitiveness in the labor market, following the war. According to the forecast, inflation will be 3.0% in 2024 and -2.8% in 2025. The division assumes the basic interest rate of the Bank of Israel will remain stable at 4.25% in the second </w:t>
      </w:r>
      <w:r w:rsidR="004D4D4C" w:rsidRPr="006E4BB6">
        <w:rPr>
          <w:rFonts w:asciiTheme="majorBidi" w:hAnsiTheme="majorBidi" w:cstheme="majorBidi"/>
          <w:sz w:val="21"/>
          <w:szCs w:val="21"/>
        </w:rPr>
        <w:t>quarter of 2025 but</w:t>
      </w:r>
      <w:r w:rsidR="00517D1C" w:rsidRPr="006E4BB6">
        <w:rPr>
          <w:rFonts w:asciiTheme="majorBidi" w:hAnsiTheme="majorBidi" w:cstheme="majorBidi"/>
          <w:sz w:val="21"/>
          <w:szCs w:val="21"/>
        </w:rPr>
        <w:t xml:space="preserve"> notes an increase in the interest rate may be required to stabilize inflation following the increase in the economy's risk premium, which reflects the uncertainty and risks in the economic environment.</w:t>
      </w:r>
      <w:r w:rsidR="004D4D4C" w:rsidRPr="006E4BB6">
        <w:rPr>
          <w:rFonts w:asciiTheme="majorBidi" w:hAnsiTheme="majorBidi" w:cstheme="majorBidi" w:hint="cs"/>
          <w:sz w:val="21"/>
          <w:szCs w:val="21"/>
          <w:rtl/>
        </w:rPr>
        <w:t xml:space="preserve"> </w:t>
      </w:r>
      <w:r w:rsidR="004D4D4C" w:rsidRPr="006E4BB6">
        <w:rPr>
          <w:rFonts w:asciiTheme="majorBidi" w:hAnsiTheme="majorBidi" w:cstheme="majorBidi"/>
          <w:sz w:val="21"/>
          <w:szCs w:val="21"/>
        </w:rPr>
        <w:t xml:space="preserve"> </w:t>
      </w:r>
    </w:p>
    <w:p w14:paraId="58980EF9" w14:textId="39FC48B2" w:rsidR="009C24EF" w:rsidRDefault="009C24EF" w:rsidP="009C24EF">
      <w:pPr>
        <w:keepLines/>
        <w:tabs>
          <w:tab w:val="left" w:pos="425"/>
        </w:tabs>
        <w:spacing w:beforeLines="60" w:before="144" w:afterLines="60" w:after="144"/>
        <w:ind w:left="567"/>
        <w:contextualSpacing/>
        <w:rPr>
          <w:rFonts w:asciiTheme="majorBidi" w:hAnsiTheme="majorBidi" w:cstheme="majorBidi"/>
          <w:sz w:val="21"/>
          <w:rtl/>
        </w:rPr>
      </w:pPr>
      <w:r w:rsidRPr="00213131">
        <w:rPr>
          <w:rFonts w:asciiTheme="majorBidi" w:hAnsiTheme="majorBidi" w:cstheme="majorBidi"/>
          <w:sz w:val="21"/>
        </w:rPr>
        <w:t xml:space="preserve">In the reporting period the foreign exchange market was volatile due to various developments in the war and in the geopolitical environment. The NIS weakened against the USD </w:t>
      </w:r>
      <w:r w:rsidRPr="00D312F8">
        <w:rPr>
          <w:rFonts w:asciiTheme="majorBidi" w:hAnsiTheme="majorBidi" w:cstheme="majorBidi"/>
          <w:sz w:val="21"/>
          <w:szCs w:val="21"/>
        </w:rPr>
        <w:t xml:space="preserve">by </w:t>
      </w:r>
      <w:r w:rsidR="004D4D4C" w:rsidRPr="00D312F8">
        <w:rPr>
          <w:rFonts w:asciiTheme="majorBidi" w:hAnsiTheme="majorBidi" w:cstheme="majorBidi" w:hint="cs"/>
          <w:sz w:val="21"/>
          <w:szCs w:val="21"/>
          <w:rtl/>
        </w:rPr>
        <w:t>3.6%</w:t>
      </w:r>
      <w:r w:rsidRPr="00213131">
        <w:rPr>
          <w:rFonts w:asciiTheme="majorBidi" w:hAnsiTheme="majorBidi" w:cstheme="majorBidi"/>
          <w:sz w:val="21"/>
        </w:rPr>
        <w:t xml:space="preserve"> and </w:t>
      </w:r>
      <w:r w:rsidR="004D4D4C" w:rsidRPr="004D4D4C">
        <w:rPr>
          <w:rFonts w:asciiTheme="majorBidi" w:hAnsiTheme="majorBidi" w:cstheme="majorBidi"/>
          <w:sz w:val="21"/>
        </w:rPr>
        <w:t xml:space="preserve">maintained a similar level </w:t>
      </w:r>
      <w:r w:rsidRPr="00213131">
        <w:rPr>
          <w:rFonts w:asciiTheme="majorBidi" w:hAnsiTheme="majorBidi" w:cstheme="majorBidi"/>
          <w:sz w:val="21"/>
        </w:rPr>
        <w:t>against the EUR</w:t>
      </w:r>
      <w:r w:rsidR="004D4D4C">
        <w:rPr>
          <w:rFonts w:asciiTheme="majorBidi" w:hAnsiTheme="majorBidi" w:cstheme="majorBidi"/>
          <w:sz w:val="21"/>
        </w:rPr>
        <w:t>.</w:t>
      </w:r>
      <w:r w:rsidRPr="00213131">
        <w:rPr>
          <w:rFonts w:asciiTheme="majorBidi" w:hAnsiTheme="majorBidi" w:cstheme="majorBidi"/>
          <w:sz w:val="21"/>
        </w:rPr>
        <w:t xml:space="preserve"> The stock market in Israel continues to underperform and increase was recorded on the return on government bonds.</w:t>
      </w:r>
    </w:p>
    <w:p w14:paraId="5C8351C1" w14:textId="5036F5DC" w:rsidR="009C24EF" w:rsidRDefault="009C24EF" w:rsidP="009C24EF">
      <w:pPr>
        <w:keepLines/>
        <w:tabs>
          <w:tab w:val="left" w:pos="425"/>
        </w:tabs>
        <w:spacing w:beforeLines="60" w:before="144" w:afterLines="60" w:after="144"/>
        <w:ind w:left="567"/>
        <w:contextualSpacing/>
        <w:rPr>
          <w:rFonts w:asciiTheme="majorBidi" w:hAnsiTheme="majorBidi" w:cstheme="majorBidi"/>
          <w:sz w:val="21"/>
        </w:rPr>
      </w:pPr>
      <w:r w:rsidRPr="00213131">
        <w:rPr>
          <w:rFonts w:asciiTheme="majorBidi" w:hAnsiTheme="majorBidi" w:cstheme="majorBidi"/>
          <w:sz w:val="21"/>
        </w:rPr>
        <w:t xml:space="preserve">The Bank of Israel research division estimates that the GDP will grow by </w:t>
      </w:r>
      <w:r w:rsidR="00D312F8">
        <w:rPr>
          <w:rFonts w:asciiTheme="majorBidi" w:hAnsiTheme="majorBidi" w:cstheme="majorBidi"/>
          <w:sz w:val="21"/>
        </w:rPr>
        <w:t>1.5</w:t>
      </w:r>
      <w:r w:rsidRPr="00213131">
        <w:rPr>
          <w:rFonts w:asciiTheme="majorBidi" w:hAnsiTheme="majorBidi" w:cstheme="majorBidi"/>
          <w:sz w:val="21"/>
        </w:rPr>
        <w:t xml:space="preserve">% in 2024 and by </w:t>
      </w:r>
      <w:r w:rsidR="00D312F8">
        <w:rPr>
          <w:rFonts w:asciiTheme="majorBidi" w:hAnsiTheme="majorBidi" w:cstheme="majorBidi"/>
          <w:sz w:val="21"/>
        </w:rPr>
        <w:t>4.2</w:t>
      </w:r>
      <w:r w:rsidRPr="00213131">
        <w:rPr>
          <w:rFonts w:asciiTheme="majorBidi" w:hAnsiTheme="majorBidi" w:cstheme="majorBidi"/>
          <w:sz w:val="21"/>
        </w:rPr>
        <w:t xml:space="preserve">% in 2025. </w:t>
      </w:r>
    </w:p>
    <w:p w14:paraId="713D65F4" w14:textId="387ED9BA" w:rsidR="00D312F8" w:rsidRPr="00213131" w:rsidRDefault="00D312F8" w:rsidP="009C24EF">
      <w:pPr>
        <w:keepLines/>
        <w:tabs>
          <w:tab w:val="left" w:pos="425"/>
        </w:tabs>
        <w:spacing w:beforeLines="60" w:before="144" w:afterLines="60" w:after="144"/>
        <w:ind w:left="567"/>
        <w:contextualSpacing/>
        <w:rPr>
          <w:rFonts w:asciiTheme="majorBidi" w:hAnsiTheme="majorBidi" w:cstheme="majorBidi"/>
          <w:sz w:val="21"/>
          <w:szCs w:val="21"/>
        </w:rPr>
      </w:pPr>
      <w:r w:rsidRPr="00D312F8">
        <w:rPr>
          <w:rFonts w:asciiTheme="majorBidi" w:hAnsiTheme="majorBidi" w:cstheme="majorBidi"/>
          <w:sz w:val="21"/>
          <w:szCs w:val="21"/>
        </w:rPr>
        <w:t xml:space="preserve">The growth forecast has been updated downward mainly due to the revision of the assumption regarding the intensity and </w:t>
      </w:r>
      <w:r w:rsidR="00B7419D">
        <w:rPr>
          <w:rFonts w:asciiTheme="majorBidi" w:hAnsiTheme="majorBidi" w:cstheme="majorBidi"/>
          <w:sz w:val="21"/>
          <w:szCs w:val="21"/>
        </w:rPr>
        <w:t xml:space="preserve">fighting </w:t>
      </w:r>
      <w:r w:rsidRPr="00D312F8">
        <w:rPr>
          <w:rFonts w:asciiTheme="majorBidi" w:hAnsiTheme="majorBidi" w:cstheme="majorBidi"/>
          <w:sz w:val="21"/>
          <w:szCs w:val="21"/>
        </w:rPr>
        <w:t>duration and assumes the direct economic impact of the Iron Swords War will continue until the end of 2024 and will gradually decrease</w:t>
      </w:r>
      <w:r w:rsidR="00B7419D">
        <w:rPr>
          <w:rFonts w:asciiTheme="majorBidi" w:hAnsiTheme="majorBidi" w:cstheme="majorBidi"/>
          <w:sz w:val="21"/>
          <w:szCs w:val="21"/>
        </w:rPr>
        <w:t>,</w:t>
      </w:r>
      <w:r w:rsidRPr="00D312F8">
        <w:rPr>
          <w:rFonts w:asciiTheme="majorBidi" w:hAnsiTheme="majorBidi" w:cstheme="majorBidi"/>
          <w:sz w:val="21"/>
          <w:szCs w:val="21"/>
        </w:rPr>
        <w:t xml:space="preserve"> and in 2025 the recovery of activity is expected to be more gradual. Also, the Bank of Israel estimates that the broad unemployment rate in the prime working ages will moderate only gradually and will average 4.0% and 3.8% in 2024 and 2025, respectively. However, the uncertainty regarding the developments in the war is a factor that may affect the forecast.</w:t>
      </w:r>
    </w:p>
    <w:p w14:paraId="34E43726" w14:textId="54549480" w:rsidR="009C24EF" w:rsidRPr="00213131" w:rsidRDefault="009C24EF" w:rsidP="009C24EF">
      <w:pPr>
        <w:keepLines/>
        <w:tabs>
          <w:tab w:val="left" w:pos="425"/>
        </w:tabs>
        <w:spacing w:beforeLines="60" w:before="144" w:afterLines="60" w:after="144"/>
        <w:ind w:left="567"/>
        <w:contextualSpacing/>
        <w:rPr>
          <w:rFonts w:asciiTheme="majorBidi" w:hAnsiTheme="majorBidi" w:cstheme="majorBidi"/>
          <w:sz w:val="21"/>
          <w:szCs w:val="21"/>
        </w:rPr>
      </w:pPr>
      <w:r w:rsidRPr="00213131">
        <w:rPr>
          <w:rFonts w:asciiTheme="majorBidi" w:hAnsiTheme="majorBidi" w:cstheme="majorBidi"/>
          <w:sz w:val="21"/>
        </w:rPr>
        <w:t xml:space="preserve">In February 2024, the international rating agency, </w:t>
      </w:r>
      <w:proofErr w:type="spellStart"/>
      <w:r w:rsidRPr="00213131">
        <w:rPr>
          <w:rFonts w:asciiTheme="majorBidi" w:hAnsiTheme="majorBidi" w:cstheme="majorBidi"/>
          <w:sz w:val="21"/>
        </w:rPr>
        <w:t>Moodys</w:t>
      </w:r>
      <w:proofErr w:type="spellEnd"/>
      <w:r w:rsidRPr="00213131">
        <w:rPr>
          <w:rFonts w:asciiTheme="majorBidi" w:hAnsiTheme="majorBidi" w:cstheme="majorBidi"/>
          <w:sz w:val="21"/>
        </w:rPr>
        <w:t xml:space="preserve"> announced that it was downgrading the rating for the State of Israel (from A1 to A2) with negative outlook (which it ratified in May 2024). In April 2024, the international rating agency, S&amp;P Global Ratings announced that it was downgrading the rating for the State of Israel (from AA- to A+) with negative outlook. </w:t>
      </w:r>
      <w:r w:rsidR="00FA65FE">
        <w:rPr>
          <w:rFonts w:asciiTheme="majorBidi" w:hAnsiTheme="majorBidi" w:cstheme="majorBidi"/>
          <w:sz w:val="21"/>
        </w:rPr>
        <w:t>I</w:t>
      </w:r>
      <w:r w:rsidR="00D312F8" w:rsidRPr="00D312F8">
        <w:rPr>
          <w:rFonts w:asciiTheme="majorBidi" w:hAnsiTheme="majorBidi" w:cstheme="majorBidi"/>
          <w:sz w:val="21"/>
        </w:rPr>
        <w:t>n August 2024, the international rating agency Fitch announced the downgrading of Israel's credit rating (from A+ to A) with a negative outlook.</w:t>
      </w:r>
    </w:p>
    <w:p w14:paraId="32248512" w14:textId="77777777" w:rsidR="009C24EF" w:rsidRPr="00213131" w:rsidRDefault="009C24EF" w:rsidP="009C24EF">
      <w:pPr>
        <w:keepLines/>
        <w:tabs>
          <w:tab w:val="left" w:pos="425"/>
        </w:tabs>
        <w:spacing w:beforeLines="60" w:before="144" w:afterLines="60" w:after="144"/>
        <w:ind w:right="1134"/>
        <w:contextualSpacing/>
        <w:rPr>
          <w:rFonts w:asciiTheme="majorBidi" w:hAnsiTheme="majorBidi" w:cstheme="majorBidi"/>
          <w:b/>
          <w:bCs/>
          <w:sz w:val="21"/>
          <w:szCs w:val="21"/>
        </w:rPr>
      </w:pPr>
    </w:p>
    <w:p w14:paraId="3E11DC54" w14:textId="77777777" w:rsidR="009C24EF" w:rsidRPr="00213131" w:rsidRDefault="009C24EF" w:rsidP="0001497A">
      <w:pPr>
        <w:keepLines/>
        <w:numPr>
          <w:ilvl w:val="0"/>
          <w:numId w:val="51"/>
        </w:numPr>
        <w:spacing w:beforeLines="60" w:before="144" w:afterLines="60" w:after="144"/>
        <w:ind w:left="567" w:right="-1" w:hanging="414"/>
        <w:contextualSpacing/>
        <w:rPr>
          <w:rFonts w:asciiTheme="majorBidi" w:hAnsiTheme="majorBidi" w:cstheme="majorBidi"/>
          <w:sz w:val="21"/>
          <w:szCs w:val="21"/>
        </w:rPr>
      </w:pPr>
      <w:r w:rsidRPr="00213131">
        <w:rPr>
          <w:rFonts w:asciiTheme="majorBidi" w:hAnsiTheme="majorBidi" w:cstheme="majorBidi"/>
          <w:b/>
          <w:bCs/>
          <w:sz w:val="21"/>
        </w:rPr>
        <w:t>Swords of Iron War</w:t>
      </w:r>
      <w:r w:rsidRPr="00213131">
        <w:rPr>
          <w:rFonts w:asciiTheme="majorBidi" w:hAnsiTheme="majorBidi" w:cstheme="majorBidi"/>
          <w:sz w:val="21"/>
        </w:rPr>
        <w:t xml:space="preserve"> - in October 2023, the Hamas terror organization launched a murderous terrorist attack on the State of Israel, which led to the start of the Swords of Iron War. </w:t>
      </w:r>
    </w:p>
    <w:p w14:paraId="4E3E65B8" w14:textId="7DF14737" w:rsidR="009C24EF" w:rsidRPr="00213131" w:rsidRDefault="009C24EF" w:rsidP="009C24EF">
      <w:pPr>
        <w:keepLines/>
        <w:spacing w:beforeLines="60" w:before="144" w:afterLines="60" w:after="144"/>
        <w:ind w:left="567"/>
        <w:contextualSpacing/>
        <w:rPr>
          <w:rFonts w:asciiTheme="majorBidi" w:hAnsiTheme="majorBidi" w:cstheme="majorBidi"/>
          <w:sz w:val="21"/>
          <w:szCs w:val="21"/>
        </w:rPr>
      </w:pPr>
      <w:r w:rsidRPr="00213131">
        <w:rPr>
          <w:rFonts w:asciiTheme="majorBidi" w:hAnsiTheme="majorBidi" w:cstheme="majorBidi"/>
          <w:sz w:val="21"/>
        </w:rPr>
        <w:t xml:space="preserve">Since the beginning of 2024 through to reporting date the War is ongoing, including on the Northern front and in Judea and Samaria, </w:t>
      </w:r>
      <w:r w:rsidR="00C56200" w:rsidRPr="00213131">
        <w:rPr>
          <w:rFonts w:asciiTheme="majorBidi" w:hAnsiTheme="majorBidi" w:cstheme="majorBidi"/>
          <w:sz w:val="21"/>
        </w:rPr>
        <w:t>while dealing</w:t>
      </w:r>
      <w:r w:rsidRPr="00213131">
        <w:rPr>
          <w:rFonts w:asciiTheme="majorBidi" w:hAnsiTheme="majorBidi" w:cstheme="majorBidi"/>
          <w:sz w:val="21"/>
        </w:rPr>
        <w:t xml:space="preserve"> with threats from Iran and the Houthis as well. In addition, the War has led to igniting an unprecedented wave of antisemitism worldwide and, among other things, Turkey has imposed an embargo on exports to the State of Israel and there are concerns that other countries and/or business corporations (including international retail chains) will follow suit and impose restrictions on transactions with Israel. </w:t>
      </w:r>
    </w:p>
    <w:p w14:paraId="4AD13090" w14:textId="77777777" w:rsidR="009C24EF" w:rsidRPr="00213131" w:rsidRDefault="009C24EF" w:rsidP="009C24EF">
      <w:pPr>
        <w:keepLines/>
        <w:spacing w:beforeLines="60" w:before="144" w:afterLines="60" w:after="144"/>
        <w:ind w:left="567"/>
        <w:contextualSpacing/>
        <w:rPr>
          <w:rFonts w:asciiTheme="majorBidi" w:hAnsiTheme="majorBidi" w:cstheme="majorBidi"/>
          <w:sz w:val="21"/>
          <w:szCs w:val="21"/>
        </w:rPr>
      </w:pPr>
      <w:r w:rsidRPr="00213131">
        <w:rPr>
          <w:rFonts w:asciiTheme="majorBidi" w:hAnsiTheme="majorBidi" w:cstheme="majorBidi"/>
          <w:sz w:val="21"/>
        </w:rPr>
        <w:lastRenderedPageBreak/>
        <w:t>Upon the outbreak of the war there was a significant decrease in economic activity in Israel, including with regard to the company’s properties in Israel, however it is evident that as time goes by there has been an increase in the number of visitors and in the revenues of the company’s properties, and during and subsequent to the reporting period, these have returned to the usual pre-war scope.</w:t>
      </w:r>
    </w:p>
    <w:p w14:paraId="5640F3A8" w14:textId="77777777" w:rsidR="009C24EF" w:rsidRPr="00213131" w:rsidRDefault="009C24EF" w:rsidP="009C24EF">
      <w:pPr>
        <w:keepLines/>
        <w:tabs>
          <w:tab w:val="left" w:pos="425"/>
        </w:tabs>
        <w:spacing w:beforeLines="60" w:before="144" w:afterLines="60" w:after="144"/>
        <w:ind w:left="567"/>
        <w:contextualSpacing/>
        <w:rPr>
          <w:rFonts w:asciiTheme="majorBidi" w:hAnsiTheme="majorBidi" w:cstheme="majorBidi"/>
          <w:sz w:val="21"/>
          <w:szCs w:val="21"/>
        </w:rPr>
      </w:pPr>
      <w:r w:rsidRPr="00213131">
        <w:rPr>
          <w:rFonts w:asciiTheme="majorBidi" w:hAnsiTheme="majorBidi" w:cstheme="majorBidi"/>
          <w:sz w:val="21"/>
        </w:rPr>
        <w:t xml:space="preserve">To date, the declaration of war is still in effect and there is uncertainty regarding the duration, nature and scope of the war. Therefore the company is unable to assess the impact of the war on its businesses, however it estimates that the continuation of the war at its current intensity is not expected to have a material effect on the company’s businesses and on its financial results in the coming quarters, based on the foregoing. </w:t>
      </w:r>
    </w:p>
    <w:p w14:paraId="14D04ABA" w14:textId="77777777" w:rsidR="009C24EF" w:rsidRPr="00213131" w:rsidRDefault="009C24EF" w:rsidP="009C24EF">
      <w:pPr>
        <w:tabs>
          <w:tab w:val="right" w:pos="0"/>
        </w:tabs>
        <w:ind w:left="567"/>
        <w:rPr>
          <w:rFonts w:asciiTheme="majorBidi" w:hAnsiTheme="majorBidi" w:cstheme="majorBidi"/>
          <w:sz w:val="21"/>
          <w:szCs w:val="21"/>
        </w:rPr>
      </w:pPr>
      <w:r w:rsidRPr="00213131">
        <w:rPr>
          <w:rFonts w:asciiTheme="majorBidi" w:hAnsiTheme="majorBidi" w:cstheme="majorBidi"/>
          <w:sz w:val="21"/>
        </w:rPr>
        <w:t>For further information concerning macro-economic data in the primary countries in which the Group operates and regarding their impact on the Group, see section 3.3 to the board of directors report.</w:t>
      </w:r>
    </w:p>
    <w:p w14:paraId="15CF7B1E" w14:textId="77777777" w:rsidR="009C24EF" w:rsidRPr="00213131" w:rsidRDefault="009C24EF" w:rsidP="009C24EF">
      <w:pPr>
        <w:pStyle w:val="ListParagraph"/>
        <w:keepLines/>
        <w:ind w:left="0"/>
        <w:rPr>
          <w:rFonts w:asciiTheme="majorBidi" w:hAnsiTheme="majorBidi" w:cstheme="majorBidi"/>
          <w:b/>
          <w:bCs/>
          <w:sz w:val="21"/>
          <w:szCs w:val="21"/>
        </w:rPr>
      </w:pPr>
      <w:r w:rsidRPr="00213131">
        <w:rPr>
          <w:rFonts w:asciiTheme="majorBidi" w:hAnsiTheme="majorBidi" w:cstheme="majorBidi"/>
          <w:b/>
          <w:sz w:val="21"/>
        </w:rPr>
        <w:t>The Company's estimates regarding the impact of macroeconomic events, including the effects of the War in Israel, inflation rates, changes in exchange rates and interest rates in the various territories, as well as the effects of any other specific crisis in the country and/or certain countries in which the Company operates, on its operations, revenues, profits and financial status constitute forward-looking information as defined in the Securities Law, 1968. These estimates are based on assumptions and estimates of the company and the group companies as of the date of this report, but they are uncertain, may not materialize or may materialize significantly differently to that expected, among other things due to them being affected by factors outside of the control of the company. The continuation of the state of war, its expansion to other regions of the country and the involvement of other countries, the imposition of sanctions against Israel, changes in the directives issued by the State and the Home Front Command, the pace of the recovery of the Israeli economy, as well as growth trends in Israel and globally, and other macro-economic changes that may result from the foregoing, including continuing rise in inflation and market interest rates, continuation or deterioration of the global economic crisis, could impact the company's operations and its financial results in a manner different to the estimates set out above.</w:t>
      </w:r>
    </w:p>
    <w:p w14:paraId="53B2F48E" w14:textId="77777777" w:rsidR="009C24EF" w:rsidRPr="00213131" w:rsidRDefault="009C24EF" w:rsidP="009C24EF">
      <w:pPr>
        <w:pStyle w:val="ListParagraph"/>
        <w:keepLines/>
        <w:ind w:left="0"/>
        <w:rPr>
          <w:rFonts w:asciiTheme="majorBidi" w:hAnsiTheme="majorBidi" w:cstheme="majorBidi"/>
          <w:sz w:val="21"/>
          <w:szCs w:val="21"/>
        </w:rPr>
      </w:pPr>
    </w:p>
    <w:p w14:paraId="135CD071" w14:textId="77777777" w:rsidR="009C24EF" w:rsidRPr="00213131" w:rsidRDefault="009C24EF" w:rsidP="009C24EF">
      <w:pPr>
        <w:pStyle w:val="ListParagraph"/>
        <w:keepNext/>
        <w:keepLines/>
        <w:tabs>
          <w:tab w:val="left" w:pos="425"/>
        </w:tabs>
        <w:ind w:left="0"/>
        <w:rPr>
          <w:rFonts w:asciiTheme="majorBidi" w:hAnsiTheme="majorBidi" w:cstheme="majorBidi"/>
          <w:sz w:val="21"/>
          <w:szCs w:val="21"/>
          <w:u w:val="single"/>
        </w:rPr>
      </w:pPr>
      <w:r w:rsidRPr="00213131">
        <w:rPr>
          <w:rFonts w:asciiTheme="majorBidi" w:hAnsiTheme="majorBidi" w:cstheme="majorBidi"/>
          <w:sz w:val="21"/>
          <w:u w:val="single"/>
        </w:rPr>
        <w:t>Update to section 6 - Acquisition, development and operation of shopping centers in Northern Europe</w:t>
      </w:r>
    </w:p>
    <w:p w14:paraId="6AB54542" w14:textId="77777777" w:rsidR="009C24EF" w:rsidRPr="00213131" w:rsidRDefault="009C24EF" w:rsidP="004D7A72">
      <w:pPr>
        <w:keepLines/>
        <w:numPr>
          <w:ilvl w:val="0"/>
          <w:numId w:val="52"/>
        </w:numPr>
        <w:spacing w:beforeLines="60" w:before="144" w:afterLines="60" w:after="144"/>
        <w:ind w:left="567"/>
        <w:contextualSpacing/>
        <w:rPr>
          <w:rFonts w:asciiTheme="majorBidi" w:hAnsiTheme="majorBidi" w:cstheme="majorBidi"/>
          <w:sz w:val="21"/>
          <w:szCs w:val="21"/>
        </w:rPr>
      </w:pPr>
      <w:r w:rsidRPr="00213131">
        <w:rPr>
          <w:rFonts w:asciiTheme="majorBidi" w:hAnsiTheme="majorBidi" w:cstheme="majorBidi"/>
          <w:sz w:val="21"/>
        </w:rPr>
        <w:t>On May 16, 2024, CTY announced that it was exercising its option to extend the credit agreement that was due to be repaid in April 2026, by a further period of one year. The credit agreement was provided by a syndicate of banks for an amount of EUR 650 million. The credit agreement was made up of a revolving line of credit of EUR 250 million, the new repayment date of which is April 2027.</w:t>
      </w:r>
    </w:p>
    <w:p w14:paraId="472ED662" w14:textId="77777777" w:rsidR="009C24EF" w:rsidRPr="00213131" w:rsidRDefault="009C24EF" w:rsidP="0045047E">
      <w:pPr>
        <w:keepLines/>
        <w:spacing w:beforeLines="60" w:before="144" w:afterLines="60" w:after="144"/>
        <w:ind w:left="567"/>
        <w:contextualSpacing/>
        <w:rPr>
          <w:rFonts w:asciiTheme="majorBidi" w:hAnsiTheme="majorBidi" w:cstheme="majorBidi"/>
          <w:sz w:val="21"/>
          <w:szCs w:val="21"/>
        </w:rPr>
      </w:pPr>
      <w:r w:rsidRPr="00213131">
        <w:rPr>
          <w:rFonts w:asciiTheme="majorBidi" w:hAnsiTheme="majorBidi" w:cstheme="majorBidi"/>
          <w:sz w:val="21"/>
        </w:rPr>
        <w:t xml:space="preserve">Furthermore, CTY extended the loan of SEK 2,060 million acquired with the acquisition of the joint holdings (50%) in </w:t>
      </w:r>
      <w:proofErr w:type="spellStart"/>
      <w:r w:rsidRPr="00213131">
        <w:rPr>
          <w:rFonts w:asciiTheme="majorBidi" w:hAnsiTheme="majorBidi" w:cstheme="majorBidi"/>
          <w:sz w:val="21"/>
        </w:rPr>
        <w:t>Kista</w:t>
      </w:r>
      <w:proofErr w:type="spellEnd"/>
      <w:r w:rsidRPr="00213131">
        <w:rPr>
          <w:rFonts w:asciiTheme="majorBidi" w:hAnsiTheme="majorBidi" w:cstheme="majorBidi"/>
          <w:sz w:val="21"/>
        </w:rPr>
        <w:t xml:space="preserve"> Galleria, for a period of 5 years. The new revised repayment date of this loan is May 2029. </w:t>
      </w:r>
    </w:p>
    <w:p w14:paraId="6AE34C89" w14:textId="77777777" w:rsidR="009C24EF" w:rsidRPr="00213131" w:rsidRDefault="009C24EF" w:rsidP="004D7A72">
      <w:pPr>
        <w:keepLines/>
        <w:numPr>
          <w:ilvl w:val="0"/>
          <w:numId w:val="52"/>
        </w:numPr>
        <w:spacing w:beforeLines="60" w:before="144" w:afterLines="60" w:after="144"/>
        <w:ind w:left="567"/>
        <w:contextualSpacing/>
        <w:rPr>
          <w:rFonts w:asciiTheme="majorBidi" w:hAnsiTheme="majorBidi" w:cstheme="majorBidi"/>
          <w:sz w:val="21"/>
          <w:szCs w:val="21"/>
        </w:rPr>
      </w:pPr>
      <w:bookmarkStart w:id="124" w:name="_Hlk166841990"/>
      <w:r w:rsidRPr="00213131">
        <w:rPr>
          <w:rFonts w:asciiTheme="majorBidi" w:hAnsiTheme="majorBidi" w:cstheme="majorBidi"/>
          <w:sz w:val="21"/>
        </w:rPr>
        <w:t>In June 2024, CTY completed the proactive early redemption in full of Debentures (Series 2024) for an amount of EUR 97 million (NIS 390 million).</w:t>
      </w:r>
      <w:bookmarkEnd w:id="124"/>
    </w:p>
    <w:p w14:paraId="2CFC02EE" w14:textId="2DE09D93" w:rsidR="009C24EF" w:rsidRPr="00213131" w:rsidRDefault="009C24EF" w:rsidP="004D7A72">
      <w:pPr>
        <w:keepLines/>
        <w:numPr>
          <w:ilvl w:val="0"/>
          <w:numId w:val="52"/>
        </w:numPr>
        <w:spacing w:beforeLines="60" w:before="144" w:afterLines="60" w:after="144"/>
        <w:ind w:left="567"/>
        <w:contextualSpacing/>
        <w:rPr>
          <w:rFonts w:asciiTheme="majorBidi" w:hAnsiTheme="majorBidi" w:cstheme="majorBidi"/>
          <w:sz w:val="21"/>
          <w:szCs w:val="21"/>
        </w:rPr>
      </w:pPr>
      <w:r w:rsidRPr="00213131">
        <w:rPr>
          <w:rFonts w:asciiTheme="majorBidi" w:hAnsiTheme="majorBidi" w:cstheme="majorBidi"/>
          <w:sz w:val="21"/>
        </w:rPr>
        <w:t>For further information concerning the exchange of NIS 266 million par value hybrid debentures in return for a new series of hybrid debentures and additional cash payment that CTY completed in June 2024</w:t>
      </w:r>
      <w:r w:rsidR="00C56200">
        <w:rPr>
          <w:rFonts w:asciiTheme="majorBidi" w:hAnsiTheme="majorBidi" w:cstheme="majorBidi"/>
          <w:sz w:val="21"/>
        </w:rPr>
        <w:t>,</w:t>
      </w:r>
      <w:r w:rsidRPr="00213131">
        <w:rPr>
          <w:rFonts w:asciiTheme="majorBidi" w:hAnsiTheme="majorBidi" w:cstheme="majorBidi"/>
          <w:sz w:val="21"/>
        </w:rPr>
        <w:t xml:space="preserve"> </w:t>
      </w:r>
      <w:r w:rsidR="00C56200">
        <w:rPr>
          <w:rFonts w:asciiTheme="majorBidi" w:hAnsiTheme="majorBidi" w:cstheme="majorBidi"/>
          <w:sz w:val="21"/>
        </w:rPr>
        <w:t>see</w:t>
      </w:r>
      <w:r w:rsidRPr="00213131">
        <w:rPr>
          <w:rFonts w:asciiTheme="majorBidi" w:hAnsiTheme="majorBidi" w:cstheme="majorBidi"/>
          <w:sz w:val="21"/>
        </w:rPr>
        <w:t xml:space="preserve"> Note </w:t>
      </w:r>
      <w:r w:rsidR="00C56200">
        <w:rPr>
          <w:rFonts w:asciiTheme="majorBidi" w:hAnsiTheme="majorBidi" w:cstheme="majorBidi"/>
          <w:sz w:val="21"/>
        </w:rPr>
        <w:t>3A10</w:t>
      </w:r>
      <w:r w:rsidRPr="00213131">
        <w:rPr>
          <w:rFonts w:asciiTheme="majorBidi" w:hAnsiTheme="majorBidi" w:cstheme="majorBidi"/>
          <w:sz w:val="21"/>
        </w:rPr>
        <w:t xml:space="preserve"> to the financial statements.</w:t>
      </w:r>
    </w:p>
    <w:p w14:paraId="5B09324F" w14:textId="77777777" w:rsidR="009C24EF" w:rsidRPr="00213131" w:rsidRDefault="009C24EF" w:rsidP="009C24EF">
      <w:pPr>
        <w:keepLines/>
        <w:tabs>
          <w:tab w:val="left" w:pos="425"/>
        </w:tabs>
        <w:spacing w:beforeLines="60" w:before="144" w:afterLines="60" w:after="144"/>
        <w:contextualSpacing/>
        <w:rPr>
          <w:rFonts w:asciiTheme="majorBidi" w:hAnsiTheme="majorBidi" w:cstheme="majorBidi"/>
          <w:sz w:val="21"/>
          <w:szCs w:val="21"/>
        </w:rPr>
      </w:pPr>
    </w:p>
    <w:p w14:paraId="0ADBF657" w14:textId="77777777" w:rsidR="009C24EF" w:rsidRPr="00213131" w:rsidRDefault="009C24EF" w:rsidP="009C24EF">
      <w:pPr>
        <w:pStyle w:val="ListParagraph"/>
        <w:keepLines/>
        <w:ind w:left="0"/>
        <w:rPr>
          <w:rFonts w:asciiTheme="majorBidi" w:hAnsiTheme="majorBidi" w:cstheme="majorBidi"/>
          <w:sz w:val="21"/>
          <w:szCs w:val="21"/>
          <w:u w:val="single"/>
        </w:rPr>
      </w:pPr>
      <w:bookmarkStart w:id="125" w:name="_Hlk142831711"/>
      <w:bookmarkStart w:id="126" w:name="H3_גילוי_בדבר_נכסים_מהותיים_מאוד_בהתאם_ל"/>
      <w:r w:rsidRPr="00213131">
        <w:rPr>
          <w:rFonts w:asciiTheme="majorBidi" w:hAnsiTheme="majorBidi" w:cstheme="majorBidi"/>
          <w:sz w:val="21"/>
          <w:u w:val="single"/>
        </w:rPr>
        <w:t>Update to section 19 - Financing</w:t>
      </w:r>
    </w:p>
    <w:p w14:paraId="338621D3" w14:textId="4DFC12FA" w:rsidR="009C24EF" w:rsidRPr="00213131" w:rsidRDefault="009C24EF" w:rsidP="004D7A72">
      <w:pPr>
        <w:pStyle w:val="ListParagraph"/>
        <w:keepLines/>
        <w:numPr>
          <w:ilvl w:val="0"/>
          <w:numId w:val="53"/>
        </w:numPr>
        <w:spacing w:before="60" w:after="60" w:line="276" w:lineRule="auto"/>
        <w:ind w:left="567"/>
        <w:rPr>
          <w:rFonts w:asciiTheme="majorBidi" w:hAnsiTheme="majorBidi" w:cstheme="majorBidi"/>
          <w:sz w:val="21"/>
          <w:szCs w:val="21"/>
        </w:rPr>
      </w:pPr>
      <w:r w:rsidRPr="00213131">
        <w:rPr>
          <w:rFonts w:asciiTheme="majorBidi" w:hAnsiTheme="majorBidi" w:cstheme="majorBidi"/>
          <w:sz w:val="21"/>
        </w:rPr>
        <w:t xml:space="preserve">For information concerning the Company's debt raising by way of the expansion of debentures (Series P) in an amount of NIS 350 million par value, see Note </w:t>
      </w:r>
      <w:r w:rsidR="00C56200">
        <w:rPr>
          <w:rFonts w:asciiTheme="majorBidi" w:hAnsiTheme="majorBidi" w:cstheme="majorBidi"/>
          <w:sz w:val="21"/>
        </w:rPr>
        <w:t>3A8</w:t>
      </w:r>
      <w:r w:rsidRPr="00213131">
        <w:rPr>
          <w:rFonts w:asciiTheme="majorBidi" w:hAnsiTheme="majorBidi" w:cstheme="majorBidi"/>
          <w:sz w:val="21"/>
        </w:rPr>
        <w:t xml:space="preserve"> to the financial statements.</w:t>
      </w:r>
    </w:p>
    <w:p w14:paraId="3BCC7AA9" w14:textId="2F22E541" w:rsidR="009C24EF" w:rsidRPr="00213131" w:rsidRDefault="009C24EF" w:rsidP="004D7A72">
      <w:pPr>
        <w:pStyle w:val="ListParagraph"/>
        <w:keepLines/>
        <w:numPr>
          <w:ilvl w:val="0"/>
          <w:numId w:val="53"/>
        </w:numPr>
        <w:spacing w:before="60" w:after="60" w:line="276" w:lineRule="auto"/>
        <w:ind w:left="567"/>
        <w:rPr>
          <w:rFonts w:asciiTheme="majorBidi" w:hAnsiTheme="majorBidi" w:cstheme="majorBidi"/>
          <w:sz w:val="21"/>
          <w:szCs w:val="21"/>
        </w:rPr>
      </w:pPr>
      <w:r w:rsidRPr="00213131">
        <w:rPr>
          <w:rFonts w:asciiTheme="majorBidi" w:hAnsiTheme="majorBidi" w:cstheme="majorBidi"/>
          <w:sz w:val="21"/>
        </w:rPr>
        <w:t xml:space="preserve">For information concerning the Company's debt raising by way of the issue of debentures (Series S) secured by a second degree lien on a real estate property in Israel, in an amount of NIS 495 million par value, see Note </w:t>
      </w:r>
      <w:r w:rsidR="00C56200">
        <w:rPr>
          <w:rFonts w:asciiTheme="majorBidi" w:hAnsiTheme="majorBidi" w:cstheme="majorBidi"/>
          <w:sz w:val="21"/>
        </w:rPr>
        <w:t>3A7</w:t>
      </w:r>
      <w:r w:rsidRPr="00213131">
        <w:rPr>
          <w:rFonts w:asciiTheme="majorBidi" w:hAnsiTheme="majorBidi" w:cstheme="majorBidi"/>
          <w:sz w:val="21"/>
        </w:rPr>
        <w:t xml:space="preserve"> to the financial statements.</w:t>
      </w:r>
    </w:p>
    <w:p w14:paraId="2E8A8B86" w14:textId="77777777" w:rsidR="009C24EF" w:rsidRPr="00213131" w:rsidRDefault="009C24EF" w:rsidP="004D7A72">
      <w:pPr>
        <w:pStyle w:val="ListParagraph"/>
        <w:keepLines/>
        <w:numPr>
          <w:ilvl w:val="0"/>
          <w:numId w:val="53"/>
        </w:numPr>
        <w:spacing w:before="60" w:after="60" w:line="276" w:lineRule="auto"/>
        <w:ind w:left="567"/>
        <w:rPr>
          <w:rFonts w:asciiTheme="majorBidi" w:hAnsiTheme="majorBidi" w:cstheme="majorBidi"/>
          <w:sz w:val="21"/>
          <w:szCs w:val="21"/>
        </w:rPr>
      </w:pPr>
      <w:r w:rsidRPr="00213131">
        <w:rPr>
          <w:rFonts w:asciiTheme="majorBidi" w:hAnsiTheme="majorBidi" w:cstheme="majorBidi"/>
          <w:sz w:val="21"/>
        </w:rPr>
        <w:t>For information concerning the Company's debt raising by way of the issue of debentures secured by, among other things, a mortgage on a wholly owned (indirectly) income generating property of the Company in Poland (Series T), in an amount of NIS 645 million par value, see Note 5D to the financial statements.</w:t>
      </w:r>
    </w:p>
    <w:p w14:paraId="14175D43" w14:textId="77777777" w:rsidR="009C24EF" w:rsidRPr="00213131" w:rsidRDefault="009C24EF" w:rsidP="004D7A72">
      <w:pPr>
        <w:pStyle w:val="ListParagraph"/>
        <w:keepLines/>
        <w:numPr>
          <w:ilvl w:val="0"/>
          <w:numId w:val="53"/>
        </w:numPr>
        <w:spacing w:before="60" w:after="60" w:line="276" w:lineRule="auto"/>
        <w:ind w:left="567"/>
        <w:rPr>
          <w:rFonts w:asciiTheme="majorBidi" w:hAnsiTheme="majorBidi" w:cstheme="majorBidi"/>
          <w:sz w:val="21"/>
          <w:szCs w:val="21"/>
        </w:rPr>
      </w:pPr>
      <w:r w:rsidRPr="00213131">
        <w:rPr>
          <w:rFonts w:asciiTheme="majorBidi" w:hAnsiTheme="majorBidi" w:cstheme="majorBidi"/>
          <w:sz w:val="21"/>
          <w:bdr w:val="none" w:sz="0" w:space="0" w:color="auto" w:frame="1"/>
        </w:rPr>
        <w:t>In July 2024, the Company issued, under a private placement, by means of expansion of a marketable series, NIS 200 million par value unsecured Debentures (Series N) for a gross amount of NIS 191 million and at effective interest of 6.03% (linked to the CPI).</w:t>
      </w:r>
    </w:p>
    <w:p w14:paraId="5F61950D" w14:textId="47EEDCAE" w:rsidR="009C24EF" w:rsidRPr="00213131" w:rsidRDefault="009C24EF" w:rsidP="004D7A72">
      <w:pPr>
        <w:pStyle w:val="ListParagraph"/>
        <w:keepLines/>
        <w:numPr>
          <w:ilvl w:val="0"/>
          <w:numId w:val="53"/>
        </w:numPr>
        <w:spacing w:before="60" w:after="60" w:line="276" w:lineRule="auto"/>
        <w:ind w:left="567"/>
        <w:rPr>
          <w:rFonts w:asciiTheme="majorBidi" w:hAnsiTheme="majorBidi" w:cstheme="majorBidi"/>
          <w:sz w:val="21"/>
          <w:bdr w:val="none" w:sz="0" w:space="0" w:color="auto" w:frame="1"/>
        </w:rPr>
      </w:pPr>
      <w:r w:rsidRPr="00213131">
        <w:rPr>
          <w:rFonts w:asciiTheme="majorBidi" w:hAnsiTheme="majorBidi" w:cstheme="majorBidi"/>
          <w:sz w:val="21"/>
          <w:bdr w:val="none" w:sz="0" w:space="0" w:color="auto" w:frame="1"/>
        </w:rPr>
        <w:lastRenderedPageBreak/>
        <w:t xml:space="preserve">On April 30, 2024, the S&amp;P </w:t>
      </w:r>
      <w:proofErr w:type="spellStart"/>
      <w:r w:rsidRPr="00213131">
        <w:rPr>
          <w:rFonts w:asciiTheme="majorBidi" w:hAnsiTheme="majorBidi" w:cstheme="majorBidi"/>
          <w:sz w:val="21"/>
          <w:bdr w:val="none" w:sz="0" w:space="0" w:color="auto" w:frame="1"/>
        </w:rPr>
        <w:t>Maalot</w:t>
      </w:r>
      <w:proofErr w:type="spellEnd"/>
      <w:r w:rsidRPr="00213131">
        <w:rPr>
          <w:rFonts w:asciiTheme="majorBidi" w:hAnsiTheme="majorBidi" w:cstheme="majorBidi"/>
          <w:sz w:val="21"/>
          <w:bdr w:val="none" w:sz="0" w:space="0" w:color="auto" w:frame="1"/>
        </w:rPr>
        <w:t xml:space="preserve"> rating agency set the credit rating for the Company’s Debentures (Series P) as </w:t>
      </w:r>
      <w:r w:rsidR="0045047E">
        <w:rPr>
          <w:rFonts w:asciiTheme="majorBidi" w:hAnsiTheme="majorBidi" w:cstheme="majorBidi" w:hint="cs"/>
          <w:sz w:val="21"/>
          <w:bdr w:val="none" w:sz="0" w:space="0" w:color="auto" w:frame="1"/>
          <w:rtl/>
        </w:rPr>
        <w:t>'</w:t>
      </w:r>
      <w:proofErr w:type="spellStart"/>
      <w:r w:rsidRPr="00213131">
        <w:rPr>
          <w:rFonts w:asciiTheme="majorBidi" w:hAnsiTheme="majorBidi" w:cstheme="majorBidi"/>
          <w:sz w:val="21"/>
          <w:bdr w:val="none" w:sz="0" w:space="0" w:color="auto" w:frame="1"/>
        </w:rPr>
        <w:t>ilA</w:t>
      </w:r>
      <w:proofErr w:type="spellEnd"/>
      <w:r w:rsidR="0045047E">
        <w:rPr>
          <w:rFonts w:asciiTheme="majorBidi" w:hAnsiTheme="majorBidi" w:cstheme="majorBidi"/>
          <w:sz w:val="21"/>
          <w:bdr w:val="none" w:sz="0" w:space="0" w:color="auto" w:frame="1"/>
        </w:rPr>
        <w:t>-</w:t>
      </w:r>
      <w:r w:rsidR="0045047E">
        <w:rPr>
          <w:rFonts w:asciiTheme="majorBidi" w:hAnsiTheme="majorBidi" w:cstheme="majorBidi" w:hint="cs"/>
          <w:sz w:val="21"/>
          <w:bdr w:val="none" w:sz="0" w:space="0" w:color="auto" w:frame="1"/>
          <w:rtl/>
        </w:rPr>
        <w:t>'</w:t>
      </w:r>
      <w:r w:rsidRPr="00213131">
        <w:rPr>
          <w:rFonts w:asciiTheme="majorBidi" w:hAnsiTheme="majorBidi" w:cstheme="majorBidi"/>
          <w:sz w:val="21"/>
          <w:bdr w:val="none" w:sz="0" w:space="0" w:color="auto" w:frame="1"/>
        </w:rPr>
        <w:t>, with negative outlook.</w:t>
      </w:r>
    </w:p>
    <w:p w14:paraId="3D9FF907" w14:textId="77777777" w:rsidR="009C24EF" w:rsidRPr="00213131" w:rsidRDefault="009C24EF" w:rsidP="004D7A72">
      <w:pPr>
        <w:pStyle w:val="ListParagraph"/>
        <w:keepLines/>
        <w:numPr>
          <w:ilvl w:val="0"/>
          <w:numId w:val="53"/>
        </w:numPr>
        <w:spacing w:before="60" w:after="60" w:line="276" w:lineRule="auto"/>
        <w:ind w:left="567"/>
        <w:rPr>
          <w:rFonts w:asciiTheme="majorBidi" w:hAnsiTheme="majorBidi" w:cstheme="majorBidi"/>
          <w:sz w:val="21"/>
          <w:bdr w:val="none" w:sz="0" w:space="0" w:color="auto" w:frame="1"/>
        </w:rPr>
      </w:pPr>
      <w:r w:rsidRPr="00213131">
        <w:rPr>
          <w:rFonts w:asciiTheme="majorBidi" w:hAnsiTheme="majorBidi" w:cstheme="majorBidi"/>
          <w:sz w:val="21"/>
          <w:bdr w:val="none" w:sz="0" w:space="0" w:color="auto" w:frame="1"/>
        </w:rPr>
        <w:t xml:space="preserve">On April 30, 2024, </w:t>
      </w:r>
      <w:proofErr w:type="spellStart"/>
      <w:r w:rsidRPr="00213131">
        <w:rPr>
          <w:rFonts w:asciiTheme="majorBidi" w:hAnsiTheme="majorBidi" w:cstheme="majorBidi"/>
          <w:sz w:val="21"/>
          <w:bdr w:val="none" w:sz="0" w:space="0" w:color="auto" w:frame="1"/>
        </w:rPr>
        <w:t>Midroog</w:t>
      </w:r>
      <w:proofErr w:type="spellEnd"/>
      <w:r w:rsidRPr="00213131">
        <w:rPr>
          <w:rFonts w:asciiTheme="majorBidi" w:hAnsiTheme="majorBidi" w:cstheme="majorBidi"/>
          <w:sz w:val="21"/>
          <w:bdr w:val="none" w:sz="0" w:space="0" w:color="auto" w:frame="1"/>
        </w:rPr>
        <w:t xml:space="preserve"> rating agency set the credit rating for the Company’s Debentures (Series P) as A3.il, with negative outlook.</w:t>
      </w:r>
    </w:p>
    <w:p w14:paraId="3D214B33" w14:textId="541FF662" w:rsidR="009C24EF" w:rsidRPr="00213131" w:rsidRDefault="009C24EF" w:rsidP="004D7A72">
      <w:pPr>
        <w:pStyle w:val="ListParagraph"/>
        <w:keepLines/>
        <w:numPr>
          <w:ilvl w:val="0"/>
          <w:numId w:val="53"/>
        </w:numPr>
        <w:spacing w:before="60" w:after="60" w:line="276" w:lineRule="auto"/>
        <w:ind w:left="567"/>
        <w:rPr>
          <w:rFonts w:asciiTheme="majorBidi" w:hAnsiTheme="majorBidi" w:cstheme="majorBidi"/>
          <w:sz w:val="21"/>
          <w:bdr w:val="none" w:sz="0" w:space="0" w:color="auto" w:frame="1"/>
        </w:rPr>
      </w:pPr>
      <w:r w:rsidRPr="00213131">
        <w:rPr>
          <w:rFonts w:asciiTheme="majorBidi" w:hAnsiTheme="majorBidi" w:cstheme="majorBidi"/>
          <w:sz w:val="21"/>
          <w:bdr w:val="none" w:sz="0" w:space="0" w:color="auto" w:frame="1"/>
        </w:rPr>
        <w:t xml:space="preserve">On June 30, 2024, the S&amp;P </w:t>
      </w:r>
      <w:proofErr w:type="spellStart"/>
      <w:r w:rsidRPr="00213131">
        <w:rPr>
          <w:rFonts w:asciiTheme="majorBidi" w:hAnsiTheme="majorBidi" w:cstheme="majorBidi"/>
          <w:sz w:val="21"/>
          <w:bdr w:val="none" w:sz="0" w:space="0" w:color="auto" w:frame="1"/>
        </w:rPr>
        <w:t>Maalot</w:t>
      </w:r>
      <w:proofErr w:type="spellEnd"/>
      <w:r w:rsidRPr="00213131">
        <w:rPr>
          <w:rFonts w:asciiTheme="majorBidi" w:hAnsiTheme="majorBidi" w:cstheme="majorBidi"/>
          <w:sz w:val="21"/>
          <w:bdr w:val="none" w:sz="0" w:space="0" w:color="auto" w:frame="1"/>
        </w:rPr>
        <w:t xml:space="preserve"> rating agency set the credit rating for the Company’s Debentures (Series K, L, M, O, Q, R</w:t>
      </w:r>
      <w:r w:rsidR="008B1388">
        <w:rPr>
          <w:rFonts w:asciiTheme="majorBidi" w:hAnsiTheme="majorBidi" w:cstheme="majorBidi"/>
          <w:sz w:val="21"/>
          <w:bdr w:val="none" w:sz="0" w:space="0" w:color="auto" w:frame="1"/>
        </w:rPr>
        <w:t xml:space="preserve"> and S</w:t>
      </w:r>
      <w:r w:rsidRPr="00213131">
        <w:rPr>
          <w:rFonts w:asciiTheme="majorBidi" w:hAnsiTheme="majorBidi" w:cstheme="majorBidi"/>
          <w:sz w:val="21"/>
          <w:bdr w:val="none" w:sz="0" w:space="0" w:color="auto" w:frame="1"/>
        </w:rPr>
        <w:t xml:space="preserve">) as </w:t>
      </w:r>
      <w:proofErr w:type="spellStart"/>
      <w:r w:rsidRPr="00213131">
        <w:rPr>
          <w:rFonts w:asciiTheme="majorBidi" w:hAnsiTheme="majorBidi" w:cstheme="majorBidi"/>
          <w:sz w:val="21"/>
          <w:bdr w:val="none" w:sz="0" w:space="0" w:color="auto" w:frame="1"/>
        </w:rPr>
        <w:t>ilA</w:t>
      </w:r>
      <w:proofErr w:type="spellEnd"/>
      <w:r w:rsidRPr="00213131">
        <w:rPr>
          <w:rFonts w:asciiTheme="majorBidi" w:hAnsiTheme="majorBidi" w:cstheme="majorBidi"/>
          <w:sz w:val="21"/>
          <w:bdr w:val="none" w:sz="0" w:space="0" w:color="auto" w:frame="1"/>
        </w:rPr>
        <w:t>-,  and revised the rating outlook from negative to stable.</w:t>
      </w:r>
    </w:p>
    <w:p w14:paraId="414EAC35" w14:textId="77777777" w:rsidR="009C24EF" w:rsidRPr="00213131" w:rsidRDefault="009C24EF" w:rsidP="004D7A72">
      <w:pPr>
        <w:pStyle w:val="ListParagraph"/>
        <w:keepLines/>
        <w:numPr>
          <w:ilvl w:val="0"/>
          <w:numId w:val="53"/>
        </w:numPr>
        <w:spacing w:before="60" w:after="60" w:line="276" w:lineRule="auto"/>
        <w:ind w:left="567"/>
        <w:rPr>
          <w:rFonts w:asciiTheme="majorBidi" w:hAnsiTheme="majorBidi" w:cstheme="majorBidi"/>
          <w:sz w:val="21"/>
          <w:bdr w:val="none" w:sz="0" w:space="0" w:color="auto" w:frame="1"/>
        </w:rPr>
      </w:pPr>
      <w:r w:rsidRPr="00213131">
        <w:rPr>
          <w:rFonts w:asciiTheme="majorBidi" w:hAnsiTheme="majorBidi" w:cstheme="majorBidi"/>
          <w:sz w:val="21"/>
          <w:bdr w:val="none" w:sz="0" w:space="0" w:color="auto" w:frame="1"/>
        </w:rPr>
        <w:t xml:space="preserve">On June 30, 2024, the S&amp;P </w:t>
      </w:r>
      <w:proofErr w:type="spellStart"/>
      <w:r w:rsidRPr="00213131">
        <w:rPr>
          <w:rFonts w:asciiTheme="majorBidi" w:hAnsiTheme="majorBidi" w:cstheme="majorBidi"/>
          <w:sz w:val="21"/>
          <w:bdr w:val="none" w:sz="0" w:space="0" w:color="auto" w:frame="1"/>
        </w:rPr>
        <w:t>Maalot</w:t>
      </w:r>
      <w:proofErr w:type="spellEnd"/>
      <w:r w:rsidRPr="00213131">
        <w:rPr>
          <w:rFonts w:asciiTheme="majorBidi" w:hAnsiTheme="majorBidi" w:cstheme="majorBidi"/>
          <w:sz w:val="21"/>
          <w:bdr w:val="none" w:sz="0" w:space="0" w:color="auto" w:frame="1"/>
        </w:rPr>
        <w:t xml:space="preserve"> rating agency set the credit rating for the Company’s Debentures (Series O, R) as </w:t>
      </w:r>
      <w:proofErr w:type="spellStart"/>
      <w:r w:rsidRPr="00213131">
        <w:rPr>
          <w:rFonts w:asciiTheme="majorBidi" w:hAnsiTheme="majorBidi" w:cstheme="majorBidi"/>
          <w:sz w:val="21"/>
          <w:bdr w:val="none" w:sz="0" w:space="0" w:color="auto" w:frame="1"/>
        </w:rPr>
        <w:t>ilA</w:t>
      </w:r>
      <w:proofErr w:type="spellEnd"/>
      <w:r w:rsidRPr="00213131">
        <w:rPr>
          <w:rFonts w:asciiTheme="majorBidi" w:hAnsiTheme="majorBidi" w:cstheme="majorBidi"/>
          <w:sz w:val="21"/>
          <w:bdr w:val="none" w:sz="0" w:space="0" w:color="auto" w:frame="1"/>
        </w:rPr>
        <w:t>, and revised the rating outlook from negative to stable.</w:t>
      </w:r>
    </w:p>
    <w:p w14:paraId="02314E71" w14:textId="77777777" w:rsidR="009C24EF" w:rsidRPr="00213131" w:rsidRDefault="009C24EF" w:rsidP="004D7A72">
      <w:pPr>
        <w:pStyle w:val="ListParagraph"/>
        <w:keepLines/>
        <w:numPr>
          <w:ilvl w:val="0"/>
          <w:numId w:val="53"/>
        </w:numPr>
        <w:spacing w:before="60" w:after="60" w:line="276" w:lineRule="auto"/>
        <w:ind w:left="567"/>
        <w:rPr>
          <w:rFonts w:asciiTheme="majorBidi" w:hAnsiTheme="majorBidi" w:cstheme="majorBidi"/>
          <w:sz w:val="21"/>
          <w:bdr w:val="none" w:sz="0" w:space="0" w:color="auto" w:frame="1"/>
        </w:rPr>
      </w:pPr>
      <w:r w:rsidRPr="00213131">
        <w:rPr>
          <w:rFonts w:asciiTheme="majorBidi" w:hAnsiTheme="majorBidi" w:cstheme="majorBidi"/>
          <w:sz w:val="21"/>
          <w:bdr w:val="none" w:sz="0" w:space="0" w:color="auto" w:frame="1"/>
        </w:rPr>
        <w:t xml:space="preserve">On June 30, 2024, the S&amp;P </w:t>
      </w:r>
      <w:proofErr w:type="spellStart"/>
      <w:r w:rsidRPr="00213131">
        <w:rPr>
          <w:rFonts w:asciiTheme="majorBidi" w:hAnsiTheme="majorBidi" w:cstheme="majorBidi"/>
          <w:sz w:val="21"/>
          <w:bdr w:val="none" w:sz="0" w:space="0" w:color="auto" w:frame="1"/>
        </w:rPr>
        <w:t>Maalot</w:t>
      </w:r>
      <w:proofErr w:type="spellEnd"/>
      <w:r w:rsidRPr="00213131">
        <w:rPr>
          <w:rFonts w:asciiTheme="majorBidi" w:hAnsiTheme="majorBidi" w:cstheme="majorBidi"/>
          <w:sz w:val="21"/>
          <w:bdr w:val="none" w:sz="0" w:space="0" w:color="auto" w:frame="1"/>
        </w:rPr>
        <w:t xml:space="preserve"> rating agency set the credit rating for the Company’s Debentures (Series P) as </w:t>
      </w:r>
      <w:proofErr w:type="spellStart"/>
      <w:r w:rsidRPr="00213131">
        <w:rPr>
          <w:rFonts w:asciiTheme="majorBidi" w:hAnsiTheme="majorBidi" w:cstheme="majorBidi"/>
          <w:sz w:val="21"/>
          <w:bdr w:val="none" w:sz="0" w:space="0" w:color="auto" w:frame="1"/>
        </w:rPr>
        <w:t>ilA</w:t>
      </w:r>
      <w:proofErr w:type="spellEnd"/>
      <w:r w:rsidRPr="00213131">
        <w:rPr>
          <w:rFonts w:asciiTheme="majorBidi" w:hAnsiTheme="majorBidi" w:cstheme="majorBidi"/>
          <w:sz w:val="21"/>
          <w:bdr w:val="none" w:sz="0" w:space="0" w:color="auto" w:frame="1"/>
        </w:rPr>
        <w:t>, with stable outlook.</w:t>
      </w:r>
    </w:p>
    <w:p w14:paraId="389AE8B8" w14:textId="77777777" w:rsidR="009C24EF" w:rsidRPr="00213131" w:rsidRDefault="009C24EF" w:rsidP="004D7A72">
      <w:pPr>
        <w:pStyle w:val="ListParagraph"/>
        <w:keepLines/>
        <w:numPr>
          <w:ilvl w:val="0"/>
          <w:numId w:val="53"/>
        </w:numPr>
        <w:spacing w:before="60" w:after="60" w:line="276" w:lineRule="auto"/>
        <w:ind w:left="567"/>
        <w:rPr>
          <w:rFonts w:asciiTheme="majorBidi" w:hAnsiTheme="majorBidi" w:cstheme="majorBidi"/>
          <w:sz w:val="21"/>
          <w:bdr w:val="none" w:sz="0" w:space="0" w:color="auto" w:frame="1"/>
        </w:rPr>
      </w:pPr>
      <w:r w:rsidRPr="00213131">
        <w:rPr>
          <w:rFonts w:asciiTheme="majorBidi" w:hAnsiTheme="majorBidi" w:cstheme="majorBidi"/>
          <w:sz w:val="21"/>
          <w:bdr w:val="none" w:sz="0" w:space="0" w:color="auto" w:frame="1"/>
        </w:rPr>
        <w:t xml:space="preserve">On July 1, 2024, the </w:t>
      </w:r>
      <w:proofErr w:type="spellStart"/>
      <w:r w:rsidRPr="00213131">
        <w:rPr>
          <w:rFonts w:asciiTheme="majorBidi" w:hAnsiTheme="majorBidi" w:cstheme="majorBidi"/>
          <w:sz w:val="21"/>
          <w:bdr w:val="none" w:sz="0" w:space="0" w:color="auto" w:frame="1"/>
        </w:rPr>
        <w:t>Midroog</w:t>
      </w:r>
      <w:proofErr w:type="spellEnd"/>
      <w:r w:rsidRPr="00213131">
        <w:rPr>
          <w:rFonts w:asciiTheme="majorBidi" w:hAnsiTheme="majorBidi" w:cstheme="majorBidi"/>
          <w:sz w:val="21"/>
          <w:bdr w:val="none" w:sz="0" w:space="0" w:color="auto" w:frame="1"/>
        </w:rPr>
        <w:t xml:space="preserve"> rating agency ratified the credit rating for the Company's Debentures (Series T) as A2.il with stable outlook.</w:t>
      </w:r>
    </w:p>
    <w:p w14:paraId="29DEA002" w14:textId="77777777" w:rsidR="009C24EF" w:rsidRPr="00213131" w:rsidRDefault="009C24EF" w:rsidP="004D7A72">
      <w:pPr>
        <w:pStyle w:val="ListParagraph"/>
        <w:keepLines/>
        <w:numPr>
          <w:ilvl w:val="0"/>
          <w:numId w:val="53"/>
        </w:numPr>
        <w:spacing w:before="60" w:after="60" w:line="276" w:lineRule="auto"/>
        <w:ind w:left="567"/>
        <w:rPr>
          <w:rFonts w:asciiTheme="majorBidi" w:hAnsiTheme="majorBidi" w:cstheme="majorBidi"/>
          <w:sz w:val="21"/>
          <w:bdr w:val="none" w:sz="0" w:space="0" w:color="auto" w:frame="1"/>
        </w:rPr>
      </w:pPr>
      <w:r w:rsidRPr="00213131">
        <w:rPr>
          <w:rFonts w:asciiTheme="majorBidi" w:hAnsiTheme="majorBidi" w:cstheme="majorBidi"/>
          <w:sz w:val="21"/>
          <w:bdr w:val="none" w:sz="0" w:space="0" w:color="auto" w:frame="1"/>
        </w:rPr>
        <w:t xml:space="preserve">On July 1, 2024, the </w:t>
      </w:r>
      <w:proofErr w:type="spellStart"/>
      <w:r w:rsidRPr="00213131">
        <w:rPr>
          <w:rFonts w:asciiTheme="majorBidi" w:hAnsiTheme="majorBidi" w:cstheme="majorBidi"/>
          <w:sz w:val="21"/>
          <w:bdr w:val="none" w:sz="0" w:space="0" w:color="auto" w:frame="1"/>
        </w:rPr>
        <w:t>Midroog</w:t>
      </w:r>
      <w:proofErr w:type="spellEnd"/>
      <w:r w:rsidRPr="00213131">
        <w:rPr>
          <w:rFonts w:asciiTheme="majorBidi" w:hAnsiTheme="majorBidi" w:cstheme="majorBidi"/>
          <w:sz w:val="21"/>
          <w:bdr w:val="none" w:sz="0" w:space="0" w:color="auto" w:frame="1"/>
        </w:rPr>
        <w:t xml:space="preserve"> rating agency set the credit rating for the Company’s Debentures (Series K, L, M, N, P, Q, and S) as A3.il, and revised the rating outlook from negative to stable.</w:t>
      </w:r>
    </w:p>
    <w:p w14:paraId="5CAD29F1" w14:textId="77777777" w:rsidR="009C24EF" w:rsidRPr="00213131" w:rsidRDefault="009C24EF" w:rsidP="004D7A72">
      <w:pPr>
        <w:pStyle w:val="ListParagraph"/>
        <w:keepLines/>
        <w:numPr>
          <w:ilvl w:val="0"/>
          <w:numId w:val="53"/>
        </w:numPr>
        <w:spacing w:before="60" w:after="60" w:line="276" w:lineRule="auto"/>
        <w:ind w:left="567"/>
        <w:rPr>
          <w:rFonts w:asciiTheme="majorBidi" w:hAnsiTheme="majorBidi" w:cstheme="majorBidi"/>
          <w:sz w:val="21"/>
          <w:bdr w:val="none" w:sz="0" w:space="0" w:color="auto" w:frame="1"/>
        </w:rPr>
      </w:pPr>
      <w:r w:rsidRPr="00213131">
        <w:rPr>
          <w:rFonts w:asciiTheme="majorBidi" w:hAnsiTheme="majorBidi" w:cstheme="majorBidi"/>
          <w:sz w:val="21"/>
          <w:bdr w:val="none" w:sz="0" w:space="0" w:color="auto" w:frame="1"/>
        </w:rPr>
        <w:t xml:space="preserve">On July 1, 2024, the </w:t>
      </w:r>
      <w:proofErr w:type="spellStart"/>
      <w:r w:rsidRPr="00213131">
        <w:rPr>
          <w:rFonts w:asciiTheme="majorBidi" w:hAnsiTheme="majorBidi" w:cstheme="majorBidi"/>
          <w:sz w:val="21"/>
          <w:bdr w:val="none" w:sz="0" w:space="0" w:color="auto" w:frame="1"/>
        </w:rPr>
        <w:t>Midroog</w:t>
      </w:r>
      <w:proofErr w:type="spellEnd"/>
      <w:r w:rsidRPr="00213131">
        <w:rPr>
          <w:rFonts w:asciiTheme="majorBidi" w:hAnsiTheme="majorBidi" w:cstheme="majorBidi"/>
          <w:sz w:val="21"/>
          <w:bdr w:val="none" w:sz="0" w:space="0" w:color="auto" w:frame="1"/>
        </w:rPr>
        <w:t xml:space="preserve"> rating agency set the credit rating for the Company’s Debentures (Series O, R) as A2.il, and revised the rating outlook from negative to stable.</w:t>
      </w:r>
    </w:p>
    <w:p w14:paraId="7A2EEBBF" w14:textId="725F7ABF" w:rsidR="009C24EF" w:rsidRPr="00213131" w:rsidRDefault="009C24EF" w:rsidP="004D7A72">
      <w:pPr>
        <w:pStyle w:val="ListParagraph"/>
        <w:keepLines/>
        <w:numPr>
          <w:ilvl w:val="0"/>
          <w:numId w:val="53"/>
        </w:numPr>
        <w:spacing w:before="60" w:after="60" w:line="276" w:lineRule="auto"/>
        <w:ind w:left="567"/>
        <w:rPr>
          <w:rFonts w:asciiTheme="majorBidi" w:hAnsiTheme="majorBidi" w:cstheme="majorBidi"/>
          <w:sz w:val="21"/>
          <w:bdr w:val="none" w:sz="0" w:space="0" w:color="auto" w:frame="1"/>
        </w:rPr>
      </w:pPr>
      <w:r w:rsidRPr="00213131">
        <w:rPr>
          <w:rFonts w:asciiTheme="majorBidi" w:hAnsiTheme="majorBidi" w:cstheme="majorBidi"/>
          <w:sz w:val="21"/>
          <w:bdr w:val="none" w:sz="0" w:space="0" w:color="auto" w:frame="1"/>
        </w:rPr>
        <w:t xml:space="preserve">On July 11, 2024, the </w:t>
      </w:r>
      <w:proofErr w:type="spellStart"/>
      <w:r w:rsidRPr="00213131">
        <w:rPr>
          <w:rFonts w:asciiTheme="majorBidi" w:hAnsiTheme="majorBidi" w:cstheme="majorBidi"/>
          <w:sz w:val="21"/>
          <w:bdr w:val="none" w:sz="0" w:space="0" w:color="auto" w:frame="1"/>
        </w:rPr>
        <w:t>Midroog</w:t>
      </w:r>
      <w:proofErr w:type="spellEnd"/>
      <w:r w:rsidRPr="00213131">
        <w:rPr>
          <w:rFonts w:asciiTheme="majorBidi" w:hAnsiTheme="majorBidi" w:cstheme="majorBidi"/>
          <w:sz w:val="21"/>
          <w:bdr w:val="none" w:sz="0" w:space="0" w:color="auto" w:frame="1"/>
        </w:rPr>
        <w:t xml:space="preserve"> rating agency ratified the credit rating for the Company's Debentures (Series </w:t>
      </w:r>
      <w:r w:rsidR="0045047E">
        <w:rPr>
          <w:rFonts w:asciiTheme="majorBidi" w:hAnsiTheme="majorBidi" w:cstheme="majorBidi"/>
          <w:sz w:val="21"/>
          <w:bdr w:val="none" w:sz="0" w:space="0" w:color="auto" w:frame="1"/>
        </w:rPr>
        <w:t>N</w:t>
      </w:r>
      <w:r w:rsidRPr="00213131">
        <w:rPr>
          <w:rFonts w:asciiTheme="majorBidi" w:hAnsiTheme="majorBidi" w:cstheme="majorBidi"/>
          <w:sz w:val="21"/>
          <w:bdr w:val="none" w:sz="0" w:space="0" w:color="auto" w:frame="1"/>
        </w:rPr>
        <w:t>) as A3.il with stable outlook.</w:t>
      </w:r>
    </w:p>
    <w:p w14:paraId="7516FF7C" w14:textId="7B8BC4D5" w:rsidR="009C24EF" w:rsidRPr="00213131" w:rsidRDefault="009C24EF" w:rsidP="004D7A72">
      <w:pPr>
        <w:pStyle w:val="ListParagraph"/>
        <w:keepLines/>
        <w:numPr>
          <w:ilvl w:val="0"/>
          <w:numId w:val="53"/>
        </w:numPr>
        <w:spacing w:before="60" w:after="60" w:line="276" w:lineRule="auto"/>
        <w:ind w:left="567"/>
        <w:rPr>
          <w:rFonts w:asciiTheme="majorBidi" w:hAnsiTheme="majorBidi" w:cstheme="majorBidi"/>
          <w:sz w:val="21"/>
          <w:bdr w:val="none" w:sz="0" w:space="0" w:color="auto" w:frame="1"/>
        </w:rPr>
      </w:pPr>
      <w:r w:rsidRPr="00213131">
        <w:rPr>
          <w:rFonts w:asciiTheme="majorBidi" w:hAnsiTheme="majorBidi" w:cstheme="majorBidi"/>
          <w:sz w:val="21"/>
          <w:bdr w:val="none" w:sz="0" w:space="0" w:color="auto" w:frame="1"/>
        </w:rPr>
        <w:t xml:space="preserve">On July 11, 2024, the S&amp;P </w:t>
      </w:r>
      <w:proofErr w:type="spellStart"/>
      <w:r w:rsidRPr="00213131">
        <w:rPr>
          <w:rFonts w:asciiTheme="majorBidi" w:hAnsiTheme="majorBidi" w:cstheme="majorBidi"/>
          <w:sz w:val="21"/>
          <w:bdr w:val="none" w:sz="0" w:space="0" w:color="auto" w:frame="1"/>
        </w:rPr>
        <w:t>Maalot</w:t>
      </w:r>
      <w:proofErr w:type="spellEnd"/>
      <w:r w:rsidRPr="00213131">
        <w:rPr>
          <w:rFonts w:asciiTheme="majorBidi" w:hAnsiTheme="majorBidi" w:cstheme="majorBidi"/>
          <w:sz w:val="21"/>
          <w:bdr w:val="none" w:sz="0" w:space="0" w:color="auto" w:frame="1"/>
        </w:rPr>
        <w:t xml:space="preserve"> rating agency set the credit rating for the Company’s Debentures (Series N) </w:t>
      </w:r>
      <w:r w:rsidRPr="0045047E">
        <w:rPr>
          <w:rFonts w:asciiTheme="majorBidi" w:hAnsiTheme="majorBidi" w:cstheme="majorBidi"/>
          <w:sz w:val="21"/>
          <w:bdr w:val="none" w:sz="0" w:space="0" w:color="auto" w:frame="1"/>
        </w:rPr>
        <w:t xml:space="preserve">as </w:t>
      </w:r>
      <w:proofErr w:type="spellStart"/>
      <w:r w:rsidRPr="0045047E">
        <w:rPr>
          <w:rFonts w:asciiTheme="majorBidi" w:hAnsiTheme="majorBidi" w:cstheme="majorBidi"/>
          <w:sz w:val="21"/>
          <w:bdr w:val="none" w:sz="0" w:space="0" w:color="auto" w:frame="1"/>
        </w:rPr>
        <w:t>ilA</w:t>
      </w:r>
      <w:proofErr w:type="spellEnd"/>
      <w:r w:rsidR="0045047E" w:rsidRPr="0045047E">
        <w:rPr>
          <w:rFonts w:asciiTheme="majorBidi" w:hAnsiTheme="majorBidi" w:cstheme="majorBidi"/>
          <w:b/>
          <w:bCs/>
          <w:sz w:val="21"/>
          <w:bdr w:val="none" w:sz="0" w:space="0" w:color="auto" w:frame="1"/>
        </w:rPr>
        <w:t>-</w:t>
      </w:r>
      <w:r w:rsidRPr="0045047E">
        <w:rPr>
          <w:rFonts w:asciiTheme="majorBidi" w:hAnsiTheme="majorBidi" w:cstheme="majorBidi"/>
          <w:sz w:val="21"/>
          <w:bdr w:val="none" w:sz="0" w:space="0" w:color="auto" w:frame="1"/>
        </w:rPr>
        <w:t>,</w:t>
      </w:r>
      <w:r w:rsidRPr="00213131">
        <w:rPr>
          <w:rFonts w:asciiTheme="majorBidi" w:hAnsiTheme="majorBidi" w:cstheme="majorBidi"/>
          <w:sz w:val="21"/>
          <w:bdr w:val="none" w:sz="0" w:space="0" w:color="auto" w:frame="1"/>
        </w:rPr>
        <w:t xml:space="preserve"> with stable outlook.</w:t>
      </w:r>
    </w:p>
    <w:bookmarkEnd w:id="125"/>
    <w:p w14:paraId="0E54370E" w14:textId="77777777" w:rsidR="009C24EF" w:rsidRPr="00213131" w:rsidRDefault="009C24EF" w:rsidP="009C24EF">
      <w:pPr>
        <w:pStyle w:val="ListParagraph"/>
        <w:keepLines/>
        <w:ind w:left="0"/>
        <w:rPr>
          <w:rFonts w:asciiTheme="majorBidi" w:hAnsiTheme="majorBidi" w:cstheme="majorBidi"/>
          <w:sz w:val="21"/>
          <w:szCs w:val="21"/>
          <w:rtl/>
        </w:rPr>
      </w:pPr>
    </w:p>
    <w:p w14:paraId="4FD0C311" w14:textId="77777777" w:rsidR="009C24EF" w:rsidRPr="00213131" w:rsidRDefault="009C24EF" w:rsidP="009C24EF">
      <w:pPr>
        <w:pStyle w:val="ListParagraph"/>
        <w:keepLines/>
        <w:ind w:left="0"/>
        <w:rPr>
          <w:rFonts w:asciiTheme="majorBidi" w:hAnsiTheme="majorBidi" w:cstheme="majorBidi"/>
          <w:sz w:val="21"/>
          <w:szCs w:val="21"/>
          <w:rtl/>
        </w:rPr>
      </w:pPr>
    </w:p>
    <w:p w14:paraId="16D838BF" w14:textId="77777777" w:rsidR="009C24EF" w:rsidRPr="00213131" w:rsidRDefault="009C24EF" w:rsidP="009C24EF">
      <w:pPr>
        <w:pStyle w:val="ListParagraph"/>
        <w:keepLines/>
        <w:tabs>
          <w:tab w:val="left" w:pos="425"/>
        </w:tabs>
        <w:ind w:left="0"/>
        <w:rPr>
          <w:rFonts w:asciiTheme="majorBidi" w:eastAsia="Times New Roman" w:hAnsiTheme="majorBidi" w:cstheme="majorBidi"/>
          <w:sz w:val="21"/>
          <w:szCs w:val="21"/>
        </w:rPr>
      </w:pPr>
      <w:r w:rsidRPr="00213131">
        <w:rPr>
          <w:rFonts w:asciiTheme="majorBidi" w:hAnsiTheme="majorBidi" w:cstheme="majorBidi"/>
          <w:sz w:val="21"/>
        </w:rPr>
        <w:t xml:space="preserve"> </w:t>
      </w:r>
    </w:p>
    <w:p w14:paraId="0005BB80" w14:textId="77777777" w:rsidR="009C24EF" w:rsidRPr="00213131" w:rsidRDefault="009C24EF" w:rsidP="009C24EF">
      <w:pPr>
        <w:pStyle w:val="ListParagraph"/>
        <w:keepNext/>
        <w:tabs>
          <w:tab w:val="right" w:pos="7936"/>
          <w:tab w:val="right" w:pos="8220"/>
        </w:tabs>
        <w:ind w:left="0"/>
        <w:outlineLvl w:val="2"/>
        <w:rPr>
          <w:rFonts w:asciiTheme="majorBidi" w:eastAsia="Calibri" w:hAnsiTheme="majorBidi" w:cstheme="majorBidi"/>
          <w:sz w:val="21"/>
          <w:szCs w:val="21"/>
          <w:bdr w:val="none" w:sz="0" w:space="0" w:color="auto" w:frame="1"/>
        </w:rPr>
      </w:pPr>
      <w:r w:rsidRPr="00213131">
        <w:rPr>
          <w:rFonts w:asciiTheme="majorBidi" w:hAnsiTheme="majorBidi" w:cstheme="majorBidi"/>
        </w:rPr>
        <w:br w:type="page"/>
      </w:r>
    </w:p>
    <w:bookmarkEnd w:id="126"/>
    <w:p w14:paraId="76F6D53E" w14:textId="77777777" w:rsidR="009C24EF" w:rsidRPr="00213131" w:rsidRDefault="009C24EF" w:rsidP="009C24EF">
      <w:pPr>
        <w:pStyle w:val="ListParagraph"/>
        <w:keepNext/>
        <w:tabs>
          <w:tab w:val="right" w:pos="7936"/>
          <w:tab w:val="right" w:pos="8220"/>
        </w:tabs>
        <w:ind w:left="0"/>
        <w:outlineLvl w:val="2"/>
        <w:rPr>
          <w:rFonts w:asciiTheme="majorBidi" w:eastAsia="Calibri" w:hAnsiTheme="majorBidi" w:cstheme="majorBidi"/>
          <w:sz w:val="21"/>
          <w:szCs w:val="21"/>
          <w:bdr w:val="none" w:sz="0" w:space="0" w:color="auto" w:frame="1"/>
        </w:rPr>
      </w:pPr>
      <w:r w:rsidRPr="00213131">
        <w:rPr>
          <w:rFonts w:asciiTheme="majorBidi" w:hAnsiTheme="majorBidi" w:cstheme="majorBidi"/>
          <w:sz w:val="21"/>
          <w:bdr w:val="none" w:sz="0" w:space="0" w:color="auto" w:frame="1"/>
        </w:rPr>
        <w:lastRenderedPageBreak/>
        <w:t>Disclosure concerning very material assets pursuant to Chapter F of the disclosure directive regarding investment property operations.</w:t>
      </w:r>
    </w:p>
    <w:tbl>
      <w:tblPr>
        <w:tblW w:w="992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0"/>
        <w:gridCol w:w="1435"/>
        <w:gridCol w:w="1435"/>
        <w:gridCol w:w="1435"/>
        <w:gridCol w:w="1435"/>
      </w:tblGrid>
      <w:tr w:rsidR="009C24EF" w:rsidRPr="00213131" w14:paraId="52C14CEE" w14:textId="77777777" w:rsidTr="00A65A6F">
        <w:trPr>
          <w:cantSplit/>
          <w:trHeight w:hRule="exact" w:val="804"/>
          <w:tblHeader/>
        </w:trPr>
        <w:tc>
          <w:tcPr>
            <w:tcW w:w="4180" w:type="dxa"/>
            <w:tcBorders>
              <w:top w:val="nil"/>
              <w:left w:val="nil"/>
              <w:bottom w:val="nil"/>
              <w:right w:val="nil"/>
            </w:tcBorders>
            <w:shd w:val="clear" w:color="auto" w:fill="000031"/>
            <w:hideMark/>
          </w:tcPr>
          <w:p w14:paraId="765FB11E" w14:textId="77777777" w:rsidR="009C24EF" w:rsidRPr="00213131" w:rsidRDefault="009C24EF" w:rsidP="00A65A6F">
            <w:pPr>
              <w:keepNext/>
              <w:tabs>
                <w:tab w:val="num" w:pos="707"/>
              </w:tabs>
              <w:spacing w:before="144" w:after="144"/>
              <w:jc w:val="left"/>
              <w:rPr>
                <w:rFonts w:asciiTheme="majorBidi" w:eastAsia="Times New Roman" w:hAnsiTheme="majorBidi" w:cstheme="majorBidi"/>
                <w:b/>
                <w:bCs/>
                <w:color w:val="FFFFFF" w:themeColor="background1"/>
                <w:sz w:val="21"/>
                <w:szCs w:val="21"/>
                <w:u w:val="single"/>
              </w:rPr>
            </w:pPr>
            <w:r w:rsidRPr="00213131">
              <w:rPr>
                <w:rFonts w:asciiTheme="majorBidi" w:hAnsiTheme="majorBidi" w:cstheme="majorBidi"/>
                <w:b/>
                <w:color w:val="FFFFFF" w:themeColor="background1"/>
                <w:sz w:val="21"/>
                <w:u w:val="single"/>
              </w:rPr>
              <w:t xml:space="preserve">G </w:t>
            </w:r>
            <w:proofErr w:type="spellStart"/>
            <w:r w:rsidRPr="00213131">
              <w:rPr>
                <w:rFonts w:asciiTheme="majorBidi" w:hAnsiTheme="majorBidi" w:cstheme="majorBidi"/>
                <w:b/>
                <w:color w:val="FFFFFF" w:themeColor="background1"/>
                <w:sz w:val="21"/>
                <w:u w:val="single"/>
              </w:rPr>
              <w:t>Savyon</w:t>
            </w:r>
            <w:proofErr w:type="spellEnd"/>
          </w:p>
        </w:tc>
        <w:tc>
          <w:tcPr>
            <w:tcW w:w="1435" w:type="dxa"/>
            <w:tcBorders>
              <w:top w:val="nil"/>
              <w:left w:val="nil"/>
              <w:bottom w:val="nil"/>
              <w:right w:val="nil"/>
            </w:tcBorders>
            <w:shd w:val="clear" w:color="auto" w:fill="000031"/>
          </w:tcPr>
          <w:p w14:paraId="501AD4CB"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tl/>
              </w:rPr>
            </w:pPr>
          </w:p>
        </w:tc>
        <w:tc>
          <w:tcPr>
            <w:tcW w:w="1435" w:type="dxa"/>
            <w:tcBorders>
              <w:top w:val="nil"/>
              <w:left w:val="nil"/>
              <w:bottom w:val="nil"/>
              <w:right w:val="nil"/>
            </w:tcBorders>
            <w:shd w:val="clear" w:color="auto" w:fill="000031"/>
          </w:tcPr>
          <w:p w14:paraId="30624431"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Q2 2024</w:t>
            </w:r>
          </w:p>
        </w:tc>
        <w:tc>
          <w:tcPr>
            <w:tcW w:w="1435" w:type="dxa"/>
            <w:tcBorders>
              <w:top w:val="nil"/>
              <w:left w:val="nil"/>
              <w:bottom w:val="nil"/>
              <w:right w:val="nil"/>
            </w:tcBorders>
            <w:shd w:val="clear" w:color="auto" w:fill="000031"/>
            <w:hideMark/>
          </w:tcPr>
          <w:p w14:paraId="44DEDA7A"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Q1 2024</w:t>
            </w:r>
          </w:p>
        </w:tc>
        <w:tc>
          <w:tcPr>
            <w:tcW w:w="1435" w:type="dxa"/>
            <w:tcBorders>
              <w:top w:val="nil"/>
              <w:left w:val="nil"/>
              <w:bottom w:val="nil"/>
              <w:right w:val="nil"/>
            </w:tcBorders>
            <w:shd w:val="clear" w:color="auto" w:fill="000031"/>
            <w:hideMark/>
          </w:tcPr>
          <w:p w14:paraId="34704985"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Year 2023</w:t>
            </w:r>
          </w:p>
        </w:tc>
      </w:tr>
      <w:tr w:rsidR="009C24EF" w:rsidRPr="00213131" w14:paraId="53EDD0B0" w14:textId="77777777" w:rsidTr="00A65A6F">
        <w:trPr>
          <w:cantSplit/>
          <w:trHeight w:hRule="exact" w:val="308"/>
        </w:trPr>
        <w:tc>
          <w:tcPr>
            <w:tcW w:w="4180" w:type="dxa"/>
            <w:tcBorders>
              <w:top w:val="nil"/>
              <w:left w:val="nil"/>
              <w:bottom w:val="single" w:sz="4" w:space="0" w:color="auto"/>
              <w:right w:val="nil"/>
            </w:tcBorders>
            <w:hideMark/>
          </w:tcPr>
          <w:p w14:paraId="5CB12997"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Value of partially income generating property (NIS thousand)</w:t>
            </w:r>
          </w:p>
        </w:tc>
        <w:tc>
          <w:tcPr>
            <w:tcW w:w="1435" w:type="dxa"/>
            <w:tcBorders>
              <w:top w:val="nil"/>
              <w:left w:val="nil"/>
              <w:bottom w:val="single" w:sz="4" w:space="0" w:color="auto"/>
              <w:right w:val="nil"/>
            </w:tcBorders>
          </w:tcPr>
          <w:p w14:paraId="13956B9C"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5" w:type="dxa"/>
            <w:tcBorders>
              <w:top w:val="nil"/>
              <w:left w:val="nil"/>
              <w:bottom w:val="single" w:sz="4" w:space="0" w:color="auto"/>
              <w:right w:val="nil"/>
            </w:tcBorders>
          </w:tcPr>
          <w:p w14:paraId="664E0CC5"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247,200</w:t>
            </w:r>
          </w:p>
        </w:tc>
        <w:tc>
          <w:tcPr>
            <w:tcW w:w="1435" w:type="dxa"/>
            <w:tcBorders>
              <w:top w:val="nil"/>
              <w:left w:val="nil"/>
              <w:bottom w:val="single" w:sz="4" w:space="0" w:color="auto"/>
              <w:right w:val="nil"/>
            </w:tcBorders>
            <w:vAlign w:val="bottom"/>
          </w:tcPr>
          <w:p w14:paraId="5B4CDE3F"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218,840</w:t>
            </w:r>
          </w:p>
        </w:tc>
        <w:tc>
          <w:tcPr>
            <w:tcW w:w="1435" w:type="dxa"/>
            <w:tcBorders>
              <w:top w:val="nil"/>
              <w:left w:val="nil"/>
              <w:bottom w:val="single" w:sz="4" w:space="0" w:color="auto"/>
              <w:right w:val="nil"/>
            </w:tcBorders>
            <w:vAlign w:val="bottom"/>
            <w:hideMark/>
          </w:tcPr>
          <w:p w14:paraId="2EF6FA51"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rPr>
              <w:t>218,218</w:t>
            </w:r>
          </w:p>
        </w:tc>
      </w:tr>
      <w:tr w:rsidR="009C24EF" w:rsidRPr="00213131" w14:paraId="059832B7" w14:textId="77777777" w:rsidTr="00A65A6F">
        <w:trPr>
          <w:cantSplit/>
          <w:trHeight w:hRule="exact" w:val="308"/>
        </w:trPr>
        <w:tc>
          <w:tcPr>
            <w:tcW w:w="4180" w:type="dxa"/>
            <w:tcBorders>
              <w:top w:val="single" w:sz="4" w:space="0" w:color="auto"/>
              <w:left w:val="nil"/>
              <w:bottom w:val="single" w:sz="4" w:space="0" w:color="auto"/>
              <w:right w:val="nil"/>
            </w:tcBorders>
            <w:hideMark/>
          </w:tcPr>
          <w:p w14:paraId="656BD2EA"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Value of the lands reserves property (NIS thousand)</w:t>
            </w:r>
          </w:p>
        </w:tc>
        <w:tc>
          <w:tcPr>
            <w:tcW w:w="1435" w:type="dxa"/>
            <w:tcBorders>
              <w:top w:val="single" w:sz="4" w:space="0" w:color="auto"/>
              <w:left w:val="nil"/>
              <w:bottom w:val="single" w:sz="4" w:space="0" w:color="auto"/>
              <w:right w:val="nil"/>
            </w:tcBorders>
          </w:tcPr>
          <w:p w14:paraId="7487592F"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5" w:type="dxa"/>
            <w:tcBorders>
              <w:top w:val="single" w:sz="4" w:space="0" w:color="auto"/>
              <w:left w:val="nil"/>
              <w:bottom w:val="single" w:sz="4" w:space="0" w:color="auto"/>
              <w:right w:val="nil"/>
            </w:tcBorders>
          </w:tcPr>
          <w:p w14:paraId="07755BC9"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16,100</w:t>
            </w:r>
          </w:p>
        </w:tc>
        <w:tc>
          <w:tcPr>
            <w:tcW w:w="1435" w:type="dxa"/>
            <w:tcBorders>
              <w:top w:val="single" w:sz="4" w:space="0" w:color="auto"/>
              <w:left w:val="nil"/>
              <w:bottom w:val="single" w:sz="4" w:space="0" w:color="auto"/>
              <w:right w:val="nil"/>
            </w:tcBorders>
            <w:vAlign w:val="bottom"/>
          </w:tcPr>
          <w:p w14:paraId="3C4EDD4D"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15,700</w:t>
            </w:r>
          </w:p>
        </w:tc>
        <w:tc>
          <w:tcPr>
            <w:tcW w:w="1435" w:type="dxa"/>
            <w:tcBorders>
              <w:top w:val="single" w:sz="4" w:space="0" w:color="auto"/>
              <w:left w:val="nil"/>
              <w:bottom w:val="single" w:sz="4" w:space="0" w:color="auto"/>
              <w:right w:val="nil"/>
            </w:tcBorders>
            <w:vAlign w:val="bottom"/>
            <w:hideMark/>
          </w:tcPr>
          <w:p w14:paraId="388C9E0D"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rPr>
              <w:t>15,700</w:t>
            </w:r>
          </w:p>
        </w:tc>
      </w:tr>
      <w:tr w:rsidR="009C24EF" w:rsidRPr="00213131" w14:paraId="384B4C66" w14:textId="77777777" w:rsidTr="00A65A6F">
        <w:trPr>
          <w:cantSplit/>
          <w:trHeight w:hRule="exact" w:val="308"/>
        </w:trPr>
        <w:tc>
          <w:tcPr>
            <w:tcW w:w="4180" w:type="dxa"/>
            <w:tcBorders>
              <w:top w:val="single" w:sz="4" w:space="0" w:color="auto"/>
              <w:left w:val="nil"/>
              <w:bottom w:val="single" w:sz="4" w:space="0" w:color="auto"/>
              <w:right w:val="nil"/>
            </w:tcBorders>
            <w:hideMark/>
          </w:tcPr>
          <w:p w14:paraId="3ADE4FBA"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Total value of the property (NIS thousand)</w:t>
            </w:r>
          </w:p>
        </w:tc>
        <w:tc>
          <w:tcPr>
            <w:tcW w:w="1435" w:type="dxa"/>
            <w:tcBorders>
              <w:top w:val="single" w:sz="4" w:space="0" w:color="auto"/>
              <w:left w:val="nil"/>
              <w:bottom w:val="single" w:sz="4" w:space="0" w:color="auto"/>
              <w:right w:val="nil"/>
            </w:tcBorders>
          </w:tcPr>
          <w:p w14:paraId="7DA563B7"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5" w:type="dxa"/>
            <w:tcBorders>
              <w:top w:val="single" w:sz="4" w:space="0" w:color="auto"/>
              <w:left w:val="nil"/>
              <w:bottom w:val="single" w:sz="4" w:space="0" w:color="auto"/>
              <w:right w:val="nil"/>
            </w:tcBorders>
          </w:tcPr>
          <w:p w14:paraId="4CEF58D1"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263,300</w:t>
            </w:r>
          </w:p>
        </w:tc>
        <w:tc>
          <w:tcPr>
            <w:tcW w:w="1435" w:type="dxa"/>
            <w:tcBorders>
              <w:top w:val="single" w:sz="4" w:space="0" w:color="auto"/>
              <w:left w:val="nil"/>
              <w:bottom w:val="single" w:sz="4" w:space="0" w:color="auto"/>
              <w:right w:val="nil"/>
            </w:tcBorders>
            <w:vAlign w:val="bottom"/>
          </w:tcPr>
          <w:p w14:paraId="152F3527"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234,540</w:t>
            </w:r>
          </w:p>
        </w:tc>
        <w:tc>
          <w:tcPr>
            <w:tcW w:w="1435" w:type="dxa"/>
            <w:tcBorders>
              <w:top w:val="single" w:sz="4" w:space="0" w:color="auto"/>
              <w:left w:val="nil"/>
              <w:bottom w:val="single" w:sz="4" w:space="0" w:color="auto"/>
              <w:right w:val="nil"/>
            </w:tcBorders>
            <w:vAlign w:val="bottom"/>
            <w:hideMark/>
          </w:tcPr>
          <w:p w14:paraId="4F16C9DF"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rPr>
              <w:t>233,918</w:t>
            </w:r>
          </w:p>
        </w:tc>
      </w:tr>
      <w:tr w:rsidR="009C24EF" w:rsidRPr="00213131" w14:paraId="4631E3C9" w14:textId="77777777" w:rsidTr="00A65A6F">
        <w:trPr>
          <w:cantSplit/>
          <w:trHeight w:hRule="exact" w:val="308"/>
        </w:trPr>
        <w:tc>
          <w:tcPr>
            <w:tcW w:w="4180" w:type="dxa"/>
            <w:tcBorders>
              <w:top w:val="single" w:sz="4" w:space="0" w:color="auto"/>
              <w:left w:val="nil"/>
              <w:bottom w:val="single" w:sz="4" w:space="0" w:color="auto"/>
              <w:right w:val="nil"/>
            </w:tcBorders>
            <w:hideMark/>
          </w:tcPr>
          <w:p w14:paraId="3BBEBD78"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NOI for the period (NIS thousands)</w:t>
            </w:r>
          </w:p>
        </w:tc>
        <w:tc>
          <w:tcPr>
            <w:tcW w:w="1435" w:type="dxa"/>
            <w:tcBorders>
              <w:top w:val="single" w:sz="4" w:space="0" w:color="auto"/>
              <w:left w:val="nil"/>
              <w:bottom w:val="single" w:sz="4" w:space="0" w:color="auto"/>
              <w:right w:val="nil"/>
            </w:tcBorders>
          </w:tcPr>
          <w:p w14:paraId="1F778B53"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5" w:type="dxa"/>
            <w:tcBorders>
              <w:top w:val="single" w:sz="4" w:space="0" w:color="auto"/>
              <w:left w:val="nil"/>
              <w:bottom w:val="single" w:sz="4" w:space="0" w:color="auto"/>
              <w:right w:val="nil"/>
            </w:tcBorders>
          </w:tcPr>
          <w:p w14:paraId="4828A3C0"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3,128</w:t>
            </w:r>
          </w:p>
        </w:tc>
        <w:tc>
          <w:tcPr>
            <w:tcW w:w="1435" w:type="dxa"/>
            <w:tcBorders>
              <w:top w:val="single" w:sz="4" w:space="0" w:color="auto"/>
              <w:left w:val="nil"/>
              <w:bottom w:val="single" w:sz="4" w:space="0" w:color="auto"/>
              <w:right w:val="nil"/>
            </w:tcBorders>
            <w:vAlign w:val="bottom"/>
          </w:tcPr>
          <w:p w14:paraId="5A1EEA38"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2,443</w:t>
            </w:r>
          </w:p>
        </w:tc>
        <w:tc>
          <w:tcPr>
            <w:tcW w:w="1435" w:type="dxa"/>
            <w:tcBorders>
              <w:top w:val="single" w:sz="4" w:space="0" w:color="auto"/>
              <w:left w:val="nil"/>
              <w:bottom w:val="single" w:sz="4" w:space="0" w:color="auto"/>
              <w:right w:val="nil"/>
            </w:tcBorders>
            <w:vAlign w:val="bottom"/>
            <w:hideMark/>
          </w:tcPr>
          <w:p w14:paraId="6F0C4EA4"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5,202</w:t>
            </w:r>
          </w:p>
        </w:tc>
      </w:tr>
      <w:tr w:rsidR="009C24EF" w:rsidRPr="00213131" w14:paraId="79E88FC2" w14:textId="77777777" w:rsidTr="00A65A6F">
        <w:trPr>
          <w:cantSplit/>
          <w:trHeight w:hRule="exact" w:val="308"/>
        </w:trPr>
        <w:tc>
          <w:tcPr>
            <w:tcW w:w="4180" w:type="dxa"/>
            <w:tcBorders>
              <w:top w:val="single" w:sz="4" w:space="0" w:color="auto"/>
              <w:left w:val="nil"/>
              <w:bottom w:val="single" w:sz="4" w:space="0" w:color="auto"/>
              <w:right w:val="nil"/>
            </w:tcBorders>
            <w:hideMark/>
          </w:tcPr>
          <w:p w14:paraId="02FC79C1"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Revaluation (losses) profits for the period (EUR  thousands)</w:t>
            </w:r>
          </w:p>
        </w:tc>
        <w:tc>
          <w:tcPr>
            <w:tcW w:w="1435" w:type="dxa"/>
            <w:tcBorders>
              <w:top w:val="single" w:sz="4" w:space="0" w:color="auto"/>
              <w:left w:val="nil"/>
              <w:bottom w:val="single" w:sz="4" w:space="0" w:color="auto"/>
              <w:right w:val="nil"/>
            </w:tcBorders>
          </w:tcPr>
          <w:p w14:paraId="2AD78B86"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5" w:type="dxa"/>
            <w:tcBorders>
              <w:top w:val="single" w:sz="4" w:space="0" w:color="auto"/>
              <w:left w:val="nil"/>
              <w:bottom w:val="single" w:sz="4" w:space="0" w:color="auto"/>
              <w:right w:val="nil"/>
            </w:tcBorders>
          </w:tcPr>
          <w:p w14:paraId="2A10662E"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27,709</w:t>
            </w:r>
          </w:p>
        </w:tc>
        <w:tc>
          <w:tcPr>
            <w:tcW w:w="1435" w:type="dxa"/>
            <w:tcBorders>
              <w:top w:val="single" w:sz="4" w:space="0" w:color="auto"/>
              <w:left w:val="nil"/>
              <w:bottom w:val="single" w:sz="4" w:space="0" w:color="auto"/>
              <w:right w:val="nil"/>
            </w:tcBorders>
            <w:vAlign w:val="bottom"/>
          </w:tcPr>
          <w:p w14:paraId="522CBCAA"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w:t>
            </w:r>
          </w:p>
        </w:tc>
        <w:tc>
          <w:tcPr>
            <w:tcW w:w="1435" w:type="dxa"/>
            <w:tcBorders>
              <w:top w:val="single" w:sz="4" w:space="0" w:color="auto"/>
              <w:left w:val="nil"/>
              <w:bottom w:val="single" w:sz="4" w:space="0" w:color="auto"/>
              <w:right w:val="nil"/>
            </w:tcBorders>
            <w:vAlign w:val="bottom"/>
            <w:hideMark/>
          </w:tcPr>
          <w:p w14:paraId="194EAA50"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rPr>
              <w:t>18,719</w:t>
            </w:r>
          </w:p>
        </w:tc>
      </w:tr>
      <w:tr w:rsidR="009C24EF" w:rsidRPr="00213131" w14:paraId="6BE513F5" w14:textId="77777777" w:rsidTr="00A65A6F">
        <w:trPr>
          <w:cantSplit/>
          <w:trHeight w:hRule="exact" w:val="308"/>
        </w:trPr>
        <w:tc>
          <w:tcPr>
            <w:tcW w:w="4180" w:type="dxa"/>
            <w:tcBorders>
              <w:top w:val="single" w:sz="4" w:space="0" w:color="auto"/>
              <w:left w:val="nil"/>
              <w:bottom w:val="single" w:sz="4" w:space="0" w:color="auto"/>
              <w:right w:val="nil"/>
            </w:tcBorders>
            <w:hideMark/>
          </w:tcPr>
          <w:p w14:paraId="69DFF75E"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Average occupancy rate in the period</w:t>
            </w:r>
          </w:p>
        </w:tc>
        <w:tc>
          <w:tcPr>
            <w:tcW w:w="1435" w:type="dxa"/>
            <w:tcBorders>
              <w:top w:val="single" w:sz="4" w:space="0" w:color="auto"/>
              <w:left w:val="nil"/>
              <w:bottom w:val="single" w:sz="4" w:space="0" w:color="auto"/>
              <w:right w:val="nil"/>
            </w:tcBorders>
          </w:tcPr>
          <w:p w14:paraId="5021AE95"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5" w:type="dxa"/>
            <w:tcBorders>
              <w:top w:val="single" w:sz="4" w:space="0" w:color="auto"/>
              <w:left w:val="nil"/>
              <w:bottom w:val="single" w:sz="4" w:space="0" w:color="auto"/>
              <w:right w:val="nil"/>
            </w:tcBorders>
          </w:tcPr>
          <w:p w14:paraId="37337760"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94.9%</w:t>
            </w:r>
          </w:p>
        </w:tc>
        <w:tc>
          <w:tcPr>
            <w:tcW w:w="1435" w:type="dxa"/>
            <w:tcBorders>
              <w:top w:val="single" w:sz="4" w:space="0" w:color="auto"/>
              <w:left w:val="nil"/>
              <w:bottom w:val="single" w:sz="4" w:space="0" w:color="auto"/>
              <w:right w:val="nil"/>
            </w:tcBorders>
            <w:vAlign w:val="bottom"/>
          </w:tcPr>
          <w:p w14:paraId="4C777145"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97.3%</w:t>
            </w:r>
          </w:p>
        </w:tc>
        <w:tc>
          <w:tcPr>
            <w:tcW w:w="1435" w:type="dxa"/>
            <w:tcBorders>
              <w:top w:val="single" w:sz="4" w:space="0" w:color="auto"/>
              <w:left w:val="nil"/>
              <w:bottom w:val="single" w:sz="4" w:space="0" w:color="auto"/>
              <w:right w:val="nil"/>
            </w:tcBorders>
            <w:vAlign w:val="bottom"/>
            <w:hideMark/>
          </w:tcPr>
          <w:p w14:paraId="1D414447"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rPr>
              <w:t>92.4%</w:t>
            </w:r>
          </w:p>
        </w:tc>
      </w:tr>
      <w:tr w:rsidR="009C24EF" w:rsidRPr="00213131" w14:paraId="77DAF2A3" w14:textId="77777777" w:rsidTr="00A65A6F">
        <w:trPr>
          <w:cantSplit/>
          <w:trHeight w:hRule="exact" w:val="308"/>
        </w:trPr>
        <w:tc>
          <w:tcPr>
            <w:tcW w:w="4180" w:type="dxa"/>
            <w:tcBorders>
              <w:top w:val="single" w:sz="4" w:space="0" w:color="auto"/>
              <w:left w:val="nil"/>
              <w:bottom w:val="single" w:sz="4" w:space="0" w:color="auto"/>
              <w:right w:val="nil"/>
            </w:tcBorders>
            <w:hideMark/>
          </w:tcPr>
          <w:p w14:paraId="4E3B98BC"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Actual rate of return (%)</w:t>
            </w:r>
          </w:p>
        </w:tc>
        <w:tc>
          <w:tcPr>
            <w:tcW w:w="1435" w:type="dxa"/>
            <w:tcBorders>
              <w:top w:val="single" w:sz="4" w:space="0" w:color="auto"/>
              <w:left w:val="nil"/>
              <w:bottom w:val="single" w:sz="4" w:space="0" w:color="auto"/>
              <w:right w:val="nil"/>
            </w:tcBorders>
          </w:tcPr>
          <w:p w14:paraId="5F5F5284"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5" w:type="dxa"/>
            <w:tcBorders>
              <w:top w:val="single" w:sz="4" w:space="0" w:color="auto"/>
              <w:left w:val="nil"/>
              <w:bottom w:val="single" w:sz="4" w:space="0" w:color="auto"/>
              <w:right w:val="nil"/>
            </w:tcBorders>
          </w:tcPr>
          <w:p w14:paraId="66ED7335"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5.1%</w:t>
            </w:r>
          </w:p>
        </w:tc>
        <w:tc>
          <w:tcPr>
            <w:tcW w:w="1435" w:type="dxa"/>
            <w:tcBorders>
              <w:top w:val="single" w:sz="4" w:space="0" w:color="auto"/>
              <w:left w:val="nil"/>
              <w:bottom w:val="single" w:sz="4" w:space="0" w:color="auto"/>
              <w:right w:val="nil"/>
            </w:tcBorders>
            <w:vAlign w:val="bottom"/>
          </w:tcPr>
          <w:p w14:paraId="3E69AF9D"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4.5%</w:t>
            </w:r>
          </w:p>
        </w:tc>
        <w:tc>
          <w:tcPr>
            <w:tcW w:w="1435" w:type="dxa"/>
            <w:tcBorders>
              <w:top w:val="single" w:sz="4" w:space="0" w:color="auto"/>
              <w:left w:val="nil"/>
              <w:bottom w:val="single" w:sz="4" w:space="0" w:color="auto"/>
              <w:right w:val="nil"/>
            </w:tcBorders>
            <w:vAlign w:val="bottom"/>
            <w:hideMark/>
          </w:tcPr>
          <w:p w14:paraId="7783016F"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rPr>
              <w:t xml:space="preserve">6.3% </w:t>
            </w:r>
            <w:r w:rsidRPr="00213131">
              <w:rPr>
                <w:rFonts w:asciiTheme="majorBidi" w:hAnsiTheme="majorBidi" w:cstheme="majorBidi"/>
                <w:vertAlign w:val="superscript"/>
              </w:rPr>
              <w:t>1</w:t>
            </w:r>
          </w:p>
        </w:tc>
      </w:tr>
      <w:tr w:rsidR="009C24EF" w:rsidRPr="00213131" w14:paraId="420F8C15" w14:textId="77777777" w:rsidTr="00A65A6F">
        <w:trPr>
          <w:cantSplit/>
          <w:trHeight w:hRule="exact" w:val="308"/>
        </w:trPr>
        <w:tc>
          <w:tcPr>
            <w:tcW w:w="4180" w:type="dxa"/>
            <w:tcBorders>
              <w:top w:val="single" w:sz="4" w:space="0" w:color="auto"/>
              <w:left w:val="nil"/>
              <w:bottom w:val="single" w:sz="4" w:space="0" w:color="auto"/>
              <w:right w:val="nil"/>
            </w:tcBorders>
            <w:hideMark/>
          </w:tcPr>
          <w:p w14:paraId="259B4609"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Average rent per sq. m. (per month in NIS)</w:t>
            </w:r>
          </w:p>
        </w:tc>
        <w:tc>
          <w:tcPr>
            <w:tcW w:w="1435" w:type="dxa"/>
            <w:tcBorders>
              <w:top w:val="single" w:sz="4" w:space="0" w:color="auto"/>
              <w:left w:val="nil"/>
              <w:bottom w:val="single" w:sz="4" w:space="0" w:color="auto"/>
              <w:right w:val="nil"/>
            </w:tcBorders>
          </w:tcPr>
          <w:p w14:paraId="50DA939F"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5" w:type="dxa"/>
            <w:tcBorders>
              <w:top w:val="single" w:sz="4" w:space="0" w:color="auto"/>
              <w:left w:val="nil"/>
              <w:bottom w:val="single" w:sz="4" w:space="0" w:color="auto"/>
              <w:right w:val="nil"/>
            </w:tcBorders>
          </w:tcPr>
          <w:p w14:paraId="6C5E181F"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159.2</w:t>
            </w:r>
          </w:p>
        </w:tc>
        <w:tc>
          <w:tcPr>
            <w:tcW w:w="1435" w:type="dxa"/>
            <w:tcBorders>
              <w:top w:val="single" w:sz="4" w:space="0" w:color="auto"/>
              <w:left w:val="nil"/>
              <w:bottom w:val="single" w:sz="4" w:space="0" w:color="auto"/>
              <w:right w:val="nil"/>
            </w:tcBorders>
            <w:vAlign w:val="bottom"/>
          </w:tcPr>
          <w:p w14:paraId="70D04389"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155.9</w:t>
            </w:r>
          </w:p>
        </w:tc>
        <w:tc>
          <w:tcPr>
            <w:tcW w:w="1435" w:type="dxa"/>
            <w:tcBorders>
              <w:top w:val="single" w:sz="4" w:space="0" w:color="auto"/>
              <w:left w:val="nil"/>
              <w:bottom w:val="single" w:sz="4" w:space="0" w:color="auto"/>
              <w:right w:val="nil"/>
            </w:tcBorders>
            <w:vAlign w:val="bottom"/>
            <w:hideMark/>
          </w:tcPr>
          <w:p w14:paraId="00BBDCBA"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rPr>
              <w:t>154.5</w:t>
            </w:r>
          </w:p>
        </w:tc>
      </w:tr>
      <w:tr w:rsidR="009C24EF" w:rsidRPr="00213131" w14:paraId="660782BF" w14:textId="77777777" w:rsidTr="0045047E">
        <w:trPr>
          <w:cantSplit/>
          <w:trHeight w:hRule="exact" w:val="605"/>
        </w:trPr>
        <w:tc>
          <w:tcPr>
            <w:tcW w:w="4180" w:type="dxa"/>
            <w:tcBorders>
              <w:top w:val="single" w:sz="4" w:space="0" w:color="auto"/>
              <w:left w:val="nil"/>
              <w:bottom w:val="single" w:sz="4" w:space="0" w:color="auto"/>
              <w:right w:val="nil"/>
            </w:tcBorders>
            <w:hideMark/>
          </w:tcPr>
          <w:p w14:paraId="697DEA87" w14:textId="656260BE" w:rsidR="009C24EF" w:rsidRPr="00213131" w:rsidRDefault="009C24EF" w:rsidP="00A65A6F">
            <w:pPr>
              <w:tabs>
                <w:tab w:val="center" w:pos="4153"/>
                <w:tab w:val="right" w:pos="7936"/>
                <w:tab w:val="right" w:pos="8220"/>
                <w:tab w:val="right" w:pos="8306"/>
              </w:tabs>
              <w:spacing w:before="0" w:after="0"/>
              <w:contextualSpacing/>
              <w:jc w:val="left"/>
              <w:rPr>
                <w:rFonts w:asciiTheme="majorBidi" w:eastAsia="Times New Roman" w:hAnsiTheme="majorBidi" w:cstheme="majorBidi"/>
                <w:sz w:val="21"/>
                <w:szCs w:val="21"/>
              </w:rPr>
            </w:pPr>
            <w:r w:rsidRPr="00213131">
              <w:rPr>
                <w:rFonts w:asciiTheme="majorBidi" w:hAnsiTheme="majorBidi" w:cstheme="majorBidi"/>
              </w:rPr>
              <w:t xml:space="preserve">Average rent per </w:t>
            </w:r>
            <w:proofErr w:type="spellStart"/>
            <w:r w:rsidRPr="00213131">
              <w:rPr>
                <w:rFonts w:asciiTheme="majorBidi" w:hAnsiTheme="majorBidi" w:cstheme="majorBidi"/>
              </w:rPr>
              <w:t>sq.m</w:t>
            </w:r>
            <w:proofErr w:type="spellEnd"/>
            <w:r w:rsidRPr="00213131">
              <w:rPr>
                <w:rFonts w:asciiTheme="majorBidi" w:hAnsiTheme="majorBidi" w:cstheme="majorBidi"/>
              </w:rPr>
              <w:t>. in contracts signed in the period (per month in NIS)</w:t>
            </w:r>
            <w:r w:rsidR="0045047E" w:rsidRPr="00213131">
              <w:rPr>
                <w:rFonts w:asciiTheme="majorBidi" w:hAnsiTheme="majorBidi" w:cstheme="majorBidi"/>
                <w:vertAlign w:val="superscript"/>
              </w:rPr>
              <w:t>2</w:t>
            </w:r>
          </w:p>
        </w:tc>
        <w:tc>
          <w:tcPr>
            <w:tcW w:w="1435" w:type="dxa"/>
            <w:tcBorders>
              <w:top w:val="single" w:sz="4" w:space="0" w:color="auto"/>
              <w:left w:val="nil"/>
              <w:bottom w:val="single" w:sz="4" w:space="0" w:color="auto"/>
              <w:right w:val="nil"/>
            </w:tcBorders>
          </w:tcPr>
          <w:p w14:paraId="1E9B2DBD" w14:textId="77777777" w:rsidR="009C24EF" w:rsidRPr="00213131" w:rsidRDefault="009C24EF" w:rsidP="00A65A6F">
            <w:pPr>
              <w:spacing w:before="0" w:after="0"/>
              <w:contextualSpacing/>
              <w:jc w:val="center"/>
              <w:rPr>
                <w:rFonts w:asciiTheme="majorBidi" w:hAnsiTheme="majorBidi" w:cstheme="majorBidi"/>
                <w:sz w:val="21"/>
                <w:szCs w:val="21"/>
              </w:rPr>
            </w:pPr>
          </w:p>
        </w:tc>
        <w:tc>
          <w:tcPr>
            <w:tcW w:w="1435" w:type="dxa"/>
            <w:tcBorders>
              <w:top w:val="single" w:sz="4" w:space="0" w:color="auto"/>
              <w:left w:val="nil"/>
              <w:bottom w:val="single" w:sz="4" w:space="0" w:color="auto"/>
              <w:right w:val="nil"/>
            </w:tcBorders>
            <w:vAlign w:val="bottom"/>
          </w:tcPr>
          <w:p w14:paraId="42366654"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111</w:t>
            </w:r>
          </w:p>
        </w:tc>
        <w:tc>
          <w:tcPr>
            <w:tcW w:w="1435" w:type="dxa"/>
            <w:tcBorders>
              <w:top w:val="single" w:sz="4" w:space="0" w:color="auto"/>
              <w:left w:val="nil"/>
              <w:bottom w:val="single" w:sz="4" w:space="0" w:color="auto"/>
              <w:right w:val="nil"/>
            </w:tcBorders>
            <w:vAlign w:val="bottom"/>
          </w:tcPr>
          <w:p w14:paraId="3C0086F9"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129</w:t>
            </w:r>
          </w:p>
        </w:tc>
        <w:tc>
          <w:tcPr>
            <w:tcW w:w="1435" w:type="dxa"/>
            <w:tcBorders>
              <w:top w:val="single" w:sz="4" w:space="0" w:color="auto"/>
              <w:left w:val="nil"/>
              <w:bottom w:val="single" w:sz="4" w:space="0" w:color="auto"/>
              <w:right w:val="nil"/>
            </w:tcBorders>
            <w:vAlign w:val="bottom"/>
            <w:hideMark/>
          </w:tcPr>
          <w:p w14:paraId="7B46CBDB"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rPr>
              <w:t>151</w:t>
            </w:r>
          </w:p>
        </w:tc>
      </w:tr>
    </w:tbl>
    <w:p w14:paraId="492FD2B2" w14:textId="77777777" w:rsidR="009C24EF" w:rsidRPr="00213131" w:rsidRDefault="009C24EF" w:rsidP="009C24EF">
      <w:pPr>
        <w:keepNext/>
        <w:tabs>
          <w:tab w:val="num" w:pos="707"/>
        </w:tabs>
        <w:spacing w:before="0" w:after="0"/>
        <w:ind w:left="425" w:hanging="425"/>
        <w:contextualSpacing/>
        <w:outlineLvl w:val="3"/>
        <w:rPr>
          <w:rFonts w:asciiTheme="majorBidi" w:hAnsiTheme="majorBidi" w:cstheme="majorBidi"/>
          <w:sz w:val="16"/>
          <w:szCs w:val="16"/>
        </w:rPr>
      </w:pPr>
      <w:r w:rsidRPr="00213131">
        <w:rPr>
          <w:rFonts w:asciiTheme="majorBidi" w:hAnsiTheme="majorBidi" w:cstheme="majorBidi"/>
          <w:sz w:val="16"/>
          <w:szCs w:val="16"/>
          <w:vertAlign w:val="superscript"/>
        </w:rPr>
        <w:t>1</w:t>
      </w:r>
      <w:r w:rsidRPr="00213131">
        <w:rPr>
          <w:rFonts w:asciiTheme="majorBidi" w:hAnsiTheme="majorBidi" w:cstheme="majorBidi"/>
          <w:sz w:val="16"/>
          <w:szCs w:val="16"/>
        </w:rPr>
        <w:tab/>
        <w:t>In the fourth quarter of 2023, the property expansion construction was completed, the return on NOI and the value of the property before the expansion were calculated.</w:t>
      </w:r>
    </w:p>
    <w:p w14:paraId="4AB2D36D" w14:textId="77777777" w:rsidR="009C24EF" w:rsidRPr="00213131" w:rsidRDefault="009C24EF" w:rsidP="009C24EF">
      <w:pPr>
        <w:keepNext/>
        <w:tabs>
          <w:tab w:val="num" w:pos="707"/>
        </w:tabs>
        <w:spacing w:before="0" w:after="0"/>
        <w:ind w:left="425" w:hanging="425"/>
        <w:contextualSpacing/>
        <w:outlineLvl w:val="3"/>
        <w:rPr>
          <w:rFonts w:asciiTheme="majorBidi" w:hAnsiTheme="majorBidi" w:cstheme="majorBidi"/>
          <w:sz w:val="16"/>
          <w:szCs w:val="16"/>
        </w:rPr>
      </w:pPr>
      <w:r w:rsidRPr="00213131">
        <w:rPr>
          <w:rFonts w:asciiTheme="majorBidi" w:hAnsiTheme="majorBidi" w:cstheme="majorBidi"/>
          <w:sz w:val="16"/>
          <w:szCs w:val="16"/>
          <w:vertAlign w:val="superscript"/>
        </w:rPr>
        <w:t>2</w:t>
      </w:r>
      <w:r w:rsidRPr="00213131">
        <w:rPr>
          <w:rFonts w:asciiTheme="majorBidi" w:hAnsiTheme="majorBidi" w:cstheme="majorBidi"/>
          <w:sz w:val="16"/>
          <w:szCs w:val="16"/>
        </w:rPr>
        <w:tab/>
        <w:t>In Q2 2024, rental contracts that were signed were in the offices wing of the property.</w:t>
      </w:r>
    </w:p>
    <w:p w14:paraId="4965D17E" w14:textId="77777777" w:rsidR="009C24EF" w:rsidRPr="00213131" w:rsidRDefault="009C24EF" w:rsidP="009C24EF">
      <w:pPr>
        <w:keepNext/>
        <w:tabs>
          <w:tab w:val="num" w:pos="707"/>
        </w:tabs>
        <w:spacing w:before="0" w:after="0"/>
        <w:ind w:left="425" w:hanging="425"/>
        <w:contextualSpacing/>
        <w:outlineLvl w:val="3"/>
        <w:rPr>
          <w:rFonts w:asciiTheme="majorBidi" w:hAnsiTheme="majorBidi" w:cstheme="majorBidi"/>
          <w:sz w:val="9"/>
          <w:szCs w:val="9"/>
          <w:u w:val="single"/>
          <w:rtl/>
        </w:rPr>
      </w:pPr>
    </w:p>
    <w:tbl>
      <w:tblPr>
        <w:tblW w:w="9899" w:type="dxa"/>
        <w:tblInd w:w="104" w:type="dxa"/>
        <w:tblLayout w:type="fixed"/>
        <w:tblLook w:val="04A0" w:firstRow="1" w:lastRow="0" w:firstColumn="1" w:lastColumn="0" w:noHBand="0" w:noVBand="1"/>
      </w:tblPr>
      <w:tblGrid>
        <w:gridCol w:w="4171"/>
        <w:gridCol w:w="1432"/>
        <w:gridCol w:w="1432"/>
        <w:gridCol w:w="1432"/>
        <w:gridCol w:w="1432"/>
      </w:tblGrid>
      <w:tr w:rsidR="009C24EF" w:rsidRPr="00213131" w14:paraId="08B32990" w14:textId="77777777" w:rsidTr="00A65A6F">
        <w:trPr>
          <w:cantSplit/>
          <w:trHeight w:hRule="exact" w:val="805"/>
          <w:tblHeader/>
        </w:trPr>
        <w:tc>
          <w:tcPr>
            <w:tcW w:w="4171" w:type="dxa"/>
            <w:shd w:val="clear" w:color="auto" w:fill="000031"/>
          </w:tcPr>
          <w:p w14:paraId="6222A0E5" w14:textId="77777777" w:rsidR="009C24EF" w:rsidRPr="00213131" w:rsidRDefault="009C24EF" w:rsidP="00A65A6F">
            <w:pPr>
              <w:keepNext/>
              <w:tabs>
                <w:tab w:val="center" w:pos="599"/>
                <w:tab w:val="num" w:pos="707"/>
              </w:tabs>
              <w:spacing w:before="144" w:after="144"/>
              <w:jc w:val="left"/>
              <w:rPr>
                <w:rFonts w:asciiTheme="majorBidi" w:eastAsia="Times New Roman" w:hAnsiTheme="majorBidi" w:cstheme="majorBidi"/>
                <w:b/>
                <w:bCs/>
                <w:color w:val="FFFFFF" w:themeColor="background1"/>
                <w:sz w:val="21"/>
                <w:szCs w:val="21"/>
                <w:u w:val="single"/>
              </w:rPr>
            </w:pPr>
            <w:r w:rsidRPr="00213131">
              <w:rPr>
                <w:rFonts w:asciiTheme="majorBidi" w:hAnsiTheme="majorBidi" w:cstheme="majorBidi"/>
                <w:b/>
                <w:color w:val="FFFFFF" w:themeColor="background1"/>
                <w:sz w:val="21"/>
                <w:u w:val="single"/>
              </w:rPr>
              <w:t>G Rothschild (Company's share, 51%)</w:t>
            </w:r>
          </w:p>
          <w:p w14:paraId="65834E07" w14:textId="77777777" w:rsidR="009C24EF" w:rsidRPr="00213131" w:rsidRDefault="009C24EF" w:rsidP="00A65A6F">
            <w:pPr>
              <w:keepNext/>
              <w:tabs>
                <w:tab w:val="center" w:pos="599"/>
                <w:tab w:val="right" w:pos="7936"/>
                <w:tab w:val="right" w:pos="8220"/>
              </w:tabs>
              <w:spacing w:before="144" w:after="144" w:line="240" w:lineRule="auto"/>
              <w:jc w:val="center"/>
              <w:rPr>
                <w:rFonts w:asciiTheme="majorBidi" w:eastAsia="Times New Roman" w:hAnsiTheme="majorBidi" w:cstheme="majorBidi"/>
                <w:b/>
                <w:bCs/>
                <w:color w:val="FFFFFF" w:themeColor="background1"/>
                <w:sz w:val="21"/>
                <w:szCs w:val="21"/>
                <w:rtl/>
              </w:rPr>
            </w:pPr>
          </w:p>
        </w:tc>
        <w:tc>
          <w:tcPr>
            <w:tcW w:w="1432" w:type="dxa"/>
            <w:shd w:val="clear" w:color="auto" w:fill="000031"/>
          </w:tcPr>
          <w:p w14:paraId="79553E67" w14:textId="77777777" w:rsidR="009C24EF" w:rsidRPr="00213131" w:rsidRDefault="009C24EF" w:rsidP="00A65A6F">
            <w:pPr>
              <w:keepNext/>
              <w:tabs>
                <w:tab w:val="center" w:pos="599"/>
                <w:tab w:val="num" w:pos="707"/>
              </w:tabs>
              <w:spacing w:before="144" w:after="144"/>
              <w:jc w:val="center"/>
              <w:rPr>
                <w:rFonts w:asciiTheme="majorBidi" w:eastAsia="Times New Roman" w:hAnsiTheme="majorBidi" w:cstheme="majorBidi"/>
                <w:b/>
                <w:bCs/>
                <w:color w:val="FFFFFF" w:themeColor="background1"/>
                <w:sz w:val="21"/>
                <w:szCs w:val="21"/>
                <w:rtl/>
              </w:rPr>
            </w:pPr>
          </w:p>
        </w:tc>
        <w:tc>
          <w:tcPr>
            <w:tcW w:w="1432" w:type="dxa"/>
            <w:shd w:val="clear" w:color="auto" w:fill="000031"/>
          </w:tcPr>
          <w:p w14:paraId="5647E9C8" w14:textId="77777777" w:rsidR="009C24EF" w:rsidRPr="00213131" w:rsidRDefault="009C24EF" w:rsidP="00A65A6F">
            <w:pPr>
              <w:keepNext/>
              <w:tabs>
                <w:tab w:val="center" w:pos="599"/>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Q2 2024</w:t>
            </w:r>
          </w:p>
        </w:tc>
        <w:tc>
          <w:tcPr>
            <w:tcW w:w="1432" w:type="dxa"/>
            <w:shd w:val="clear" w:color="auto" w:fill="000031"/>
            <w:hideMark/>
          </w:tcPr>
          <w:p w14:paraId="1FE07AF2" w14:textId="77777777" w:rsidR="009C24EF" w:rsidRPr="00213131" w:rsidRDefault="009C24EF" w:rsidP="00A65A6F">
            <w:pPr>
              <w:keepNext/>
              <w:tabs>
                <w:tab w:val="center" w:pos="599"/>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Q1 2024</w:t>
            </w:r>
          </w:p>
        </w:tc>
        <w:tc>
          <w:tcPr>
            <w:tcW w:w="1432" w:type="dxa"/>
            <w:shd w:val="clear" w:color="auto" w:fill="000031"/>
            <w:hideMark/>
          </w:tcPr>
          <w:p w14:paraId="01D94EDD"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Year 2023</w:t>
            </w:r>
          </w:p>
        </w:tc>
      </w:tr>
      <w:tr w:rsidR="009C24EF" w:rsidRPr="00213131" w14:paraId="4CB2EB48" w14:textId="77777777" w:rsidTr="00A65A6F">
        <w:trPr>
          <w:cantSplit/>
          <w:trHeight w:hRule="exact" w:val="306"/>
        </w:trPr>
        <w:tc>
          <w:tcPr>
            <w:tcW w:w="4171" w:type="dxa"/>
            <w:tcBorders>
              <w:top w:val="nil"/>
              <w:left w:val="nil"/>
              <w:bottom w:val="single" w:sz="4" w:space="0" w:color="auto"/>
              <w:right w:val="nil"/>
            </w:tcBorders>
            <w:hideMark/>
          </w:tcPr>
          <w:p w14:paraId="5C4E3269"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Value of partially income generating property (NIS thousand)</w:t>
            </w:r>
          </w:p>
        </w:tc>
        <w:tc>
          <w:tcPr>
            <w:tcW w:w="1432" w:type="dxa"/>
            <w:tcBorders>
              <w:top w:val="nil"/>
              <w:left w:val="nil"/>
              <w:bottom w:val="single" w:sz="4" w:space="0" w:color="auto"/>
              <w:right w:val="nil"/>
            </w:tcBorders>
          </w:tcPr>
          <w:p w14:paraId="3EF0C059"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2" w:type="dxa"/>
            <w:tcBorders>
              <w:top w:val="nil"/>
              <w:left w:val="nil"/>
              <w:bottom w:val="single" w:sz="4" w:space="0" w:color="auto"/>
              <w:right w:val="nil"/>
            </w:tcBorders>
          </w:tcPr>
          <w:p w14:paraId="350FFB90"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118,913</w:t>
            </w:r>
          </w:p>
        </w:tc>
        <w:tc>
          <w:tcPr>
            <w:tcW w:w="1432" w:type="dxa"/>
            <w:tcBorders>
              <w:top w:val="nil"/>
              <w:left w:val="nil"/>
              <w:bottom w:val="single" w:sz="4" w:space="0" w:color="auto"/>
              <w:right w:val="nil"/>
            </w:tcBorders>
            <w:vAlign w:val="bottom"/>
          </w:tcPr>
          <w:p w14:paraId="41328600"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116,838</w:t>
            </w:r>
          </w:p>
        </w:tc>
        <w:tc>
          <w:tcPr>
            <w:tcW w:w="1432" w:type="dxa"/>
            <w:tcBorders>
              <w:top w:val="nil"/>
              <w:left w:val="nil"/>
              <w:bottom w:val="single" w:sz="4" w:space="0" w:color="auto"/>
              <w:right w:val="nil"/>
            </w:tcBorders>
            <w:vAlign w:val="bottom"/>
            <w:hideMark/>
          </w:tcPr>
          <w:p w14:paraId="4A4B7ACD"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116,797</w:t>
            </w:r>
          </w:p>
        </w:tc>
      </w:tr>
      <w:tr w:rsidR="009C24EF" w:rsidRPr="00213131" w14:paraId="16E6226D" w14:textId="77777777" w:rsidTr="00A65A6F">
        <w:trPr>
          <w:cantSplit/>
          <w:trHeight w:hRule="exact" w:val="306"/>
        </w:trPr>
        <w:tc>
          <w:tcPr>
            <w:tcW w:w="4171" w:type="dxa"/>
            <w:tcBorders>
              <w:top w:val="single" w:sz="4" w:space="0" w:color="auto"/>
              <w:left w:val="nil"/>
              <w:bottom w:val="single" w:sz="4" w:space="0" w:color="auto"/>
              <w:right w:val="nil"/>
            </w:tcBorders>
            <w:hideMark/>
          </w:tcPr>
          <w:p w14:paraId="06F8F6B6"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Value of the building rights in the property (NIS thousand)</w:t>
            </w:r>
          </w:p>
        </w:tc>
        <w:tc>
          <w:tcPr>
            <w:tcW w:w="1432" w:type="dxa"/>
            <w:tcBorders>
              <w:top w:val="single" w:sz="4" w:space="0" w:color="auto"/>
              <w:left w:val="nil"/>
              <w:bottom w:val="single" w:sz="4" w:space="0" w:color="auto"/>
              <w:right w:val="nil"/>
            </w:tcBorders>
          </w:tcPr>
          <w:p w14:paraId="181D5785"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2" w:type="dxa"/>
            <w:tcBorders>
              <w:top w:val="single" w:sz="4" w:space="0" w:color="auto"/>
              <w:left w:val="nil"/>
              <w:bottom w:val="single" w:sz="4" w:space="0" w:color="auto"/>
              <w:right w:val="nil"/>
            </w:tcBorders>
          </w:tcPr>
          <w:p w14:paraId="38B35405"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4,766</w:t>
            </w:r>
          </w:p>
        </w:tc>
        <w:tc>
          <w:tcPr>
            <w:tcW w:w="1432" w:type="dxa"/>
            <w:tcBorders>
              <w:top w:val="single" w:sz="4" w:space="0" w:color="auto"/>
              <w:left w:val="nil"/>
              <w:bottom w:val="single" w:sz="4" w:space="0" w:color="auto"/>
              <w:right w:val="nil"/>
            </w:tcBorders>
            <w:vAlign w:val="bottom"/>
          </w:tcPr>
          <w:p w14:paraId="52AB2153"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4,766</w:t>
            </w:r>
          </w:p>
        </w:tc>
        <w:tc>
          <w:tcPr>
            <w:tcW w:w="1432" w:type="dxa"/>
            <w:tcBorders>
              <w:top w:val="single" w:sz="4" w:space="0" w:color="auto"/>
              <w:left w:val="nil"/>
              <w:bottom w:val="single" w:sz="4" w:space="0" w:color="auto"/>
              <w:right w:val="nil"/>
            </w:tcBorders>
            <w:vAlign w:val="bottom"/>
            <w:hideMark/>
          </w:tcPr>
          <w:p w14:paraId="0A2A615F"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4,766</w:t>
            </w:r>
          </w:p>
        </w:tc>
      </w:tr>
      <w:tr w:rsidR="009C24EF" w:rsidRPr="00213131" w14:paraId="1DDE272D" w14:textId="77777777" w:rsidTr="00A65A6F">
        <w:trPr>
          <w:cantSplit/>
          <w:trHeight w:hRule="exact" w:val="306"/>
        </w:trPr>
        <w:tc>
          <w:tcPr>
            <w:tcW w:w="4171" w:type="dxa"/>
            <w:tcBorders>
              <w:top w:val="single" w:sz="4" w:space="0" w:color="auto"/>
              <w:left w:val="nil"/>
              <w:bottom w:val="single" w:sz="4" w:space="0" w:color="auto"/>
              <w:right w:val="nil"/>
            </w:tcBorders>
            <w:hideMark/>
          </w:tcPr>
          <w:p w14:paraId="15C369D2"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Total value of the property (NIS thousand)</w:t>
            </w:r>
          </w:p>
        </w:tc>
        <w:tc>
          <w:tcPr>
            <w:tcW w:w="1432" w:type="dxa"/>
            <w:tcBorders>
              <w:top w:val="single" w:sz="4" w:space="0" w:color="auto"/>
              <w:left w:val="nil"/>
              <w:bottom w:val="single" w:sz="4" w:space="0" w:color="auto"/>
              <w:right w:val="nil"/>
            </w:tcBorders>
          </w:tcPr>
          <w:p w14:paraId="04BF55F0"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2" w:type="dxa"/>
            <w:tcBorders>
              <w:top w:val="single" w:sz="4" w:space="0" w:color="auto"/>
              <w:left w:val="nil"/>
              <w:bottom w:val="single" w:sz="4" w:space="0" w:color="auto"/>
              <w:right w:val="nil"/>
            </w:tcBorders>
          </w:tcPr>
          <w:p w14:paraId="3B5097F4"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123,679</w:t>
            </w:r>
          </w:p>
        </w:tc>
        <w:tc>
          <w:tcPr>
            <w:tcW w:w="1432" w:type="dxa"/>
            <w:tcBorders>
              <w:top w:val="single" w:sz="4" w:space="0" w:color="auto"/>
              <w:left w:val="nil"/>
              <w:bottom w:val="single" w:sz="4" w:space="0" w:color="auto"/>
              <w:right w:val="nil"/>
            </w:tcBorders>
            <w:vAlign w:val="bottom"/>
          </w:tcPr>
          <w:p w14:paraId="1DE23539"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121,604</w:t>
            </w:r>
          </w:p>
        </w:tc>
        <w:tc>
          <w:tcPr>
            <w:tcW w:w="1432" w:type="dxa"/>
            <w:tcBorders>
              <w:top w:val="single" w:sz="4" w:space="0" w:color="auto"/>
              <w:left w:val="nil"/>
              <w:bottom w:val="single" w:sz="4" w:space="0" w:color="auto"/>
              <w:right w:val="nil"/>
            </w:tcBorders>
            <w:vAlign w:val="bottom"/>
            <w:hideMark/>
          </w:tcPr>
          <w:p w14:paraId="0A208D6C"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121,563</w:t>
            </w:r>
          </w:p>
        </w:tc>
      </w:tr>
      <w:tr w:rsidR="009C24EF" w:rsidRPr="00213131" w14:paraId="1095150F" w14:textId="77777777" w:rsidTr="00A65A6F">
        <w:trPr>
          <w:cantSplit/>
          <w:trHeight w:hRule="exact" w:val="306"/>
        </w:trPr>
        <w:tc>
          <w:tcPr>
            <w:tcW w:w="4171" w:type="dxa"/>
            <w:tcBorders>
              <w:top w:val="single" w:sz="4" w:space="0" w:color="auto"/>
              <w:left w:val="nil"/>
              <w:bottom w:val="single" w:sz="4" w:space="0" w:color="auto"/>
              <w:right w:val="nil"/>
            </w:tcBorders>
            <w:hideMark/>
          </w:tcPr>
          <w:p w14:paraId="6E91B300"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NOI for the period (NIS thousands)</w:t>
            </w:r>
          </w:p>
        </w:tc>
        <w:tc>
          <w:tcPr>
            <w:tcW w:w="1432" w:type="dxa"/>
            <w:tcBorders>
              <w:top w:val="single" w:sz="4" w:space="0" w:color="auto"/>
              <w:left w:val="nil"/>
              <w:bottom w:val="single" w:sz="4" w:space="0" w:color="auto"/>
              <w:right w:val="nil"/>
            </w:tcBorders>
          </w:tcPr>
          <w:p w14:paraId="668CF60B"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2" w:type="dxa"/>
            <w:tcBorders>
              <w:top w:val="single" w:sz="4" w:space="0" w:color="auto"/>
              <w:left w:val="nil"/>
              <w:bottom w:val="single" w:sz="4" w:space="0" w:color="auto"/>
              <w:right w:val="nil"/>
            </w:tcBorders>
          </w:tcPr>
          <w:p w14:paraId="48C7E554"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1,933</w:t>
            </w:r>
          </w:p>
        </w:tc>
        <w:tc>
          <w:tcPr>
            <w:tcW w:w="1432" w:type="dxa"/>
            <w:tcBorders>
              <w:top w:val="single" w:sz="4" w:space="0" w:color="auto"/>
              <w:left w:val="nil"/>
              <w:bottom w:val="single" w:sz="4" w:space="0" w:color="auto"/>
              <w:right w:val="nil"/>
            </w:tcBorders>
            <w:vAlign w:val="bottom"/>
          </w:tcPr>
          <w:p w14:paraId="37B59F7B"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1,829</w:t>
            </w:r>
          </w:p>
        </w:tc>
        <w:tc>
          <w:tcPr>
            <w:tcW w:w="1432" w:type="dxa"/>
            <w:tcBorders>
              <w:top w:val="single" w:sz="4" w:space="0" w:color="auto"/>
              <w:left w:val="nil"/>
              <w:bottom w:val="single" w:sz="4" w:space="0" w:color="auto"/>
              <w:right w:val="nil"/>
            </w:tcBorders>
            <w:vAlign w:val="bottom"/>
            <w:hideMark/>
          </w:tcPr>
          <w:p w14:paraId="4DB414F7"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6,881</w:t>
            </w:r>
          </w:p>
        </w:tc>
      </w:tr>
      <w:tr w:rsidR="009C24EF" w:rsidRPr="00213131" w14:paraId="73FA95B5" w14:textId="77777777" w:rsidTr="00A65A6F">
        <w:trPr>
          <w:cantSplit/>
          <w:trHeight w:hRule="exact" w:val="306"/>
        </w:trPr>
        <w:tc>
          <w:tcPr>
            <w:tcW w:w="4171" w:type="dxa"/>
            <w:tcBorders>
              <w:top w:val="single" w:sz="4" w:space="0" w:color="auto"/>
              <w:left w:val="nil"/>
              <w:bottom w:val="single" w:sz="4" w:space="0" w:color="auto"/>
              <w:right w:val="nil"/>
            </w:tcBorders>
            <w:hideMark/>
          </w:tcPr>
          <w:p w14:paraId="4255A54F"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Revaluation (losses) profits for the period (EUR  thousands)</w:t>
            </w:r>
          </w:p>
        </w:tc>
        <w:tc>
          <w:tcPr>
            <w:tcW w:w="1432" w:type="dxa"/>
            <w:tcBorders>
              <w:top w:val="single" w:sz="4" w:space="0" w:color="auto"/>
              <w:left w:val="nil"/>
              <w:bottom w:val="single" w:sz="4" w:space="0" w:color="auto"/>
              <w:right w:val="nil"/>
            </w:tcBorders>
          </w:tcPr>
          <w:p w14:paraId="6AB39EC3"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2" w:type="dxa"/>
            <w:tcBorders>
              <w:top w:val="single" w:sz="4" w:space="0" w:color="auto"/>
              <w:left w:val="nil"/>
              <w:bottom w:val="single" w:sz="4" w:space="0" w:color="auto"/>
              <w:right w:val="nil"/>
            </w:tcBorders>
          </w:tcPr>
          <w:p w14:paraId="07DEA198"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2,076</w:t>
            </w:r>
          </w:p>
        </w:tc>
        <w:tc>
          <w:tcPr>
            <w:tcW w:w="1432" w:type="dxa"/>
            <w:tcBorders>
              <w:top w:val="single" w:sz="4" w:space="0" w:color="auto"/>
              <w:left w:val="nil"/>
              <w:bottom w:val="single" w:sz="4" w:space="0" w:color="auto"/>
              <w:right w:val="nil"/>
            </w:tcBorders>
            <w:vAlign w:val="bottom"/>
          </w:tcPr>
          <w:p w14:paraId="02E9F646"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w:t>
            </w:r>
          </w:p>
        </w:tc>
        <w:tc>
          <w:tcPr>
            <w:tcW w:w="1432" w:type="dxa"/>
            <w:tcBorders>
              <w:top w:val="single" w:sz="4" w:space="0" w:color="auto"/>
              <w:left w:val="nil"/>
              <w:bottom w:val="single" w:sz="4" w:space="0" w:color="auto"/>
              <w:right w:val="nil"/>
            </w:tcBorders>
            <w:vAlign w:val="bottom"/>
            <w:hideMark/>
          </w:tcPr>
          <w:p w14:paraId="64999BCB"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(646)</w:t>
            </w:r>
          </w:p>
        </w:tc>
      </w:tr>
      <w:tr w:rsidR="009C24EF" w:rsidRPr="00213131" w14:paraId="5E1939B0" w14:textId="77777777" w:rsidTr="00A65A6F">
        <w:trPr>
          <w:cantSplit/>
          <w:trHeight w:hRule="exact" w:val="306"/>
        </w:trPr>
        <w:tc>
          <w:tcPr>
            <w:tcW w:w="4171" w:type="dxa"/>
            <w:tcBorders>
              <w:top w:val="single" w:sz="4" w:space="0" w:color="auto"/>
              <w:left w:val="nil"/>
              <w:bottom w:val="single" w:sz="4" w:space="0" w:color="auto"/>
              <w:right w:val="nil"/>
            </w:tcBorders>
            <w:hideMark/>
          </w:tcPr>
          <w:p w14:paraId="6F4E4539"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Average occupancy rate in the period</w:t>
            </w:r>
          </w:p>
        </w:tc>
        <w:tc>
          <w:tcPr>
            <w:tcW w:w="1432" w:type="dxa"/>
            <w:tcBorders>
              <w:top w:val="single" w:sz="4" w:space="0" w:color="auto"/>
              <w:left w:val="nil"/>
              <w:bottom w:val="single" w:sz="4" w:space="0" w:color="auto"/>
              <w:right w:val="nil"/>
            </w:tcBorders>
          </w:tcPr>
          <w:p w14:paraId="28C2A14E"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2" w:type="dxa"/>
            <w:tcBorders>
              <w:top w:val="single" w:sz="4" w:space="0" w:color="auto"/>
              <w:left w:val="nil"/>
              <w:bottom w:val="single" w:sz="4" w:space="0" w:color="auto"/>
              <w:right w:val="nil"/>
            </w:tcBorders>
          </w:tcPr>
          <w:p w14:paraId="4DB30214"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96.4%</w:t>
            </w:r>
          </w:p>
        </w:tc>
        <w:tc>
          <w:tcPr>
            <w:tcW w:w="1432" w:type="dxa"/>
            <w:tcBorders>
              <w:top w:val="single" w:sz="4" w:space="0" w:color="auto"/>
              <w:left w:val="nil"/>
              <w:bottom w:val="single" w:sz="4" w:space="0" w:color="auto"/>
              <w:right w:val="nil"/>
            </w:tcBorders>
            <w:vAlign w:val="bottom"/>
          </w:tcPr>
          <w:p w14:paraId="6763A3D0"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96.2%</w:t>
            </w:r>
          </w:p>
        </w:tc>
        <w:tc>
          <w:tcPr>
            <w:tcW w:w="1432" w:type="dxa"/>
            <w:tcBorders>
              <w:top w:val="single" w:sz="4" w:space="0" w:color="auto"/>
              <w:left w:val="nil"/>
              <w:bottom w:val="single" w:sz="4" w:space="0" w:color="auto"/>
              <w:right w:val="nil"/>
            </w:tcBorders>
            <w:vAlign w:val="bottom"/>
            <w:hideMark/>
          </w:tcPr>
          <w:p w14:paraId="749047A3"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96.4%</w:t>
            </w:r>
          </w:p>
        </w:tc>
      </w:tr>
      <w:tr w:rsidR="009C24EF" w:rsidRPr="00213131" w14:paraId="1A183D53" w14:textId="77777777" w:rsidTr="00A65A6F">
        <w:trPr>
          <w:cantSplit/>
          <w:trHeight w:hRule="exact" w:val="306"/>
        </w:trPr>
        <w:tc>
          <w:tcPr>
            <w:tcW w:w="4171" w:type="dxa"/>
            <w:tcBorders>
              <w:top w:val="single" w:sz="4" w:space="0" w:color="auto"/>
              <w:left w:val="nil"/>
              <w:bottom w:val="single" w:sz="4" w:space="0" w:color="auto"/>
              <w:right w:val="nil"/>
            </w:tcBorders>
            <w:hideMark/>
          </w:tcPr>
          <w:p w14:paraId="08C71059"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Actual rate of return (%)</w:t>
            </w:r>
          </w:p>
        </w:tc>
        <w:tc>
          <w:tcPr>
            <w:tcW w:w="1432" w:type="dxa"/>
            <w:tcBorders>
              <w:top w:val="single" w:sz="4" w:space="0" w:color="auto"/>
              <w:left w:val="nil"/>
              <w:bottom w:val="single" w:sz="4" w:space="0" w:color="auto"/>
              <w:right w:val="nil"/>
            </w:tcBorders>
          </w:tcPr>
          <w:p w14:paraId="57CAE007"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2" w:type="dxa"/>
            <w:tcBorders>
              <w:top w:val="single" w:sz="4" w:space="0" w:color="auto"/>
              <w:left w:val="nil"/>
              <w:bottom w:val="single" w:sz="4" w:space="0" w:color="auto"/>
              <w:right w:val="nil"/>
            </w:tcBorders>
          </w:tcPr>
          <w:p w14:paraId="1D014124"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6.5%</w:t>
            </w:r>
          </w:p>
        </w:tc>
        <w:tc>
          <w:tcPr>
            <w:tcW w:w="1432" w:type="dxa"/>
            <w:tcBorders>
              <w:top w:val="single" w:sz="4" w:space="0" w:color="auto"/>
              <w:left w:val="nil"/>
              <w:bottom w:val="single" w:sz="4" w:space="0" w:color="auto"/>
              <w:right w:val="nil"/>
            </w:tcBorders>
            <w:vAlign w:val="bottom"/>
          </w:tcPr>
          <w:p w14:paraId="542CB853"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6.3%</w:t>
            </w:r>
          </w:p>
        </w:tc>
        <w:tc>
          <w:tcPr>
            <w:tcW w:w="1432" w:type="dxa"/>
            <w:tcBorders>
              <w:top w:val="single" w:sz="4" w:space="0" w:color="auto"/>
              <w:left w:val="nil"/>
              <w:bottom w:val="single" w:sz="4" w:space="0" w:color="auto"/>
              <w:right w:val="nil"/>
            </w:tcBorders>
            <w:vAlign w:val="bottom"/>
            <w:hideMark/>
          </w:tcPr>
          <w:p w14:paraId="52A83579"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5.9%</w:t>
            </w:r>
          </w:p>
        </w:tc>
      </w:tr>
      <w:tr w:rsidR="009C24EF" w:rsidRPr="00213131" w14:paraId="6D23F952" w14:textId="77777777" w:rsidTr="00A65A6F">
        <w:trPr>
          <w:cantSplit/>
          <w:trHeight w:hRule="exact" w:val="306"/>
        </w:trPr>
        <w:tc>
          <w:tcPr>
            <w:tcW w:w="4171" w:type="dxa"/>
            <w:tcBorders>
              <w:top w:val="single" w:sz="4" w:space="0" w:color="auto"/>
              <w:left w:val="nil"/>
              <w:bottom w:val="single" w:sz="4" w:space="0" w:color="auto"/>
              <w:right w:val="nil"/>
            </w:tcBorders>
            <w:hideMark/>
          </w:tcPr>
          <w:p w14:paraId="2EF54EE1"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Average rent per sq. m. (per month in NIS)</w:t>
            </w:r>
          </w:p>
        </w:tc>
        <w:tc>
          <w:tcPr>
            <w:tcW w:w="1432" w:type="dxa"/>
            <w:tcBorders>
              <w:top w:val="single" w:sz="4" w:space="0" w:color="auto"/>
              <w:left w:val="nil"/>
              <w:bottom w:val="single" w:sz="4" w:space="0" w:color="auto"/>
              <w:right w:val="nil"/>
            </w:tcBorders>
          </w:tcPr>
          <w:p w14:paraId="13DFCA49"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2" w:type="dxa"/>
            <w:tcBorders>
              <w:top w:val="single" w:sz="4" w:space="0" w:color="auto"/>
              <w:left w:val="nil"/>
              <w:bottom w:val="single" w:sz="4" w:space="0" w:color="auto"/>
              <w:right w:val="nil"/>
            </w:tcBorders>
          </w:tcPr>
          <w:p w14:paraId="0B5FFD02"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105.2</w:t>
            </w:r>
          </w:p>
        </w:tc>
        <w:tc>
          <w:tcPr>
            <w:tcW w:w="1432" w:type="dxa"/>
            <w:tcBorders>
              <w:top w:val="single" w:sz="4" w:space="0" w:color="auto"/>
              <w:left w:val="nil"/>
              <w:bottom w:val="single" w:sz="4" w:space="0" w:color="auto"/>
              <w:right w:val="nil"/>
            </w:tcBorders>
            <w:vAlign w:val="bottom"/>
          </w:tcPr>
          <w:p w14:paraId="7C79E8D3"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102.5</w:t>
            </w:r>
          </w:p>
        </w:tc>
        <w:tc>
          <w:tcPr>
            <w:tcW w:w="1432" w:type="dxa"/>
            <w:tcBorders>
              <w:top w:val="single" w:sz="4" w:space="0" w:color="auto"/>
              <w:left w:val="nil"/>
              <w:bottom w:val="single" w:sz="4" w:space="0" w:color="auto"/>
              <w:right w:val="nil"/>
            </w:tcBorders>
            <w:vAlign w:val="bottom"/>
            <w:hideMark/>
          </w:tcPr>
          <w:p w14:paraId="6BE5E235"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101.5</w:t>
            </w:r>
          </w:p>
        </w:tc>
      </w:tr>
      <w:tr w:rsidR="009C24EF" w:rsidRPr="00213131" w14:paraId="42D9AB91" w14:textId="77777777" w:rsidTr="00A65A6F">
        <w:trPr>
          <w:cantSplit/>
          <w:trHeight w:hRule="exact" w:val="306"/>
        </w:trPr>
        <w:tc>
          <w:tcPr>
            <w:tcW w:w="4171" w:type="dxa"/>
            <w:tcBorders>
              <w:top w:val="single" w:sz="4" w:space="0" w:color="auto"/>
              <w:left w:val="nil"/>
              <w:bottom w:val="single" w:sz="4" w:space="0" w:color="auto"/>
              <w:right w:val="nil"/>
            </w:tcBorders>
            <w:hideMark/>
          </w:tcPr>
          <w:p w14:paraId="1820B88D" w14:textId="77777777" w:rsidR="009C24EF" w:rsidRPr="00213131" w:rsidRDefault="009C24EF" w:rsidP="00A65A6F">
            <w:pPr>
              <w:tabs>
                <w:tab w:val="center" w:pos="4153"/>
                <w:tab w:val="right" w:pos="7936"/>
                <w:tab w:val="right" w:pos="8220"/>
                <w:tab w:val="right" w:pos="8306"/>
              </w:tabs>
              <w:spacing w:before="0" w:after="0"/>
              <w:contextualSpacing/>
              <w:jc w:val="left"/>
              <w:rPr>
                <w:rFonts w:asciiTheme="majorBidi" w:eastAsia="Times New Roman" w:hAnsiTheme="majorBidi" w:cstheme="majorBidi"/>
                <w:sz w:val="21"/>
                <w:szCs w:val="21"/>
              </w:rPr>
            </w:pPr>
            <w:r w:rsidRPr="00213131">
              <w:rPr>
                <w:rFonts w:asciiTheme="majorBidi" w:hAnsiTheme="majorBidi" w:cstheme="majorBidi"/>
                <w:sz w:val="21"/>
              </w:rPr>
              <w:t xml:space="preserve">Average rent per </w:t>
            </w:r>
            <w:proofErr w:type="spellStart"/>
            <w:r w:rsidRPr="00213131">
              <w:rPr>
                <w:rFonts w:asciiTheme="majorBidi" w:hAnsiTheme="majorBidi" w:cstheme="majorBidi"/>
                <w:sz w:val="21"/>
              </w:rPr>
              <w:t>sq.m</w:t>
            </w:r>
            <w:proofErr w:type="spellEnd"/>
            <w:r w:rsidRPr="00213131">
              <w:rPr>
                <w:rFonts w:asciiTheme="majorBidi" w:hAnsiTheme="majorBidi" w:cstheme="majorBidi"/>
                <w:sz w:val="21"/>
              </w:rPr>
              <w:t>. in contracts signed</w:t>
            </w:r>
            <w:r w:rsidRPr="00213131">
              <w:rPr>
                <w:rFonts w:asciiTheme="majorBidi" w:hAnsiTheme="majorBidi" w:cstheme="majorBidi"/>
                <w:sz w:val="21"/>
                <w:vertAlign w:val="superscript"/>
              </w:rPr>
              <w:t>1</w:t>
            </w:r>
            <w:r w:rsidRPr="00213131">
              <w:rPr>
                <w:rFonts w:asciiTheme="majorBidi" w:hAnsiTheme="majorBidi" w:cstheme="majorBidi"/>
                <w:sz w:val="21"/>
              </w:rPr>
              <w:t xml:space="preserve"> in the period (per month in NIS) </w:t>
            </w:r>
          </w:p>
        </w:tc>
        <w:tc>
          <w:tcPr>
            <w:tcW w:w="1432" w:type="dxa"/>
            <w:tcBorders>
              <w:top w:val="single" w:sz="4" w:space="0" w:color="auto"/>
              <w:left w:val="nil"/>
              <w:bottom w:val="single" w:sz="4" w:space="0" w:color="auto"/>
              <w:right w:val="nil"/>
            </w:tcBorders>
          </w:tcPr>
          <w:p w14:paraId="3A54B325" w14:textId="77777777" w:rsidR="009C24EF" w:rsidRPr="00213131" w:rsidRDefault="009C24EF" w:rsidP="00A65A6F">
            <w:pPr>
              <w:spacing w:before="0" w:after="0"/>
              <w:contextualSpacing/>
              <w:jc w:val="center"/>
              <w:rPr>
                <w:rFonts w:asciiTheme="majorBidi" w:hAnsiTheme="majorBidi" w:cstheme="majorBidi"/>
                <w:sz w:val="21"/>
                <w:szCs w:val="21"/>
              </w:rPr>
            </w:pPr>
          </w:p>
        </w:tc>
        <w:tc>
          <w:tcPr>
            <w:tcW w:w="1432" w:type="dxa"/>
            <w:tcBorders>
              <w:top w:val="single" w:sz="4" w:space="0" w:color="auto"/>
              <w:left w:val="nil"/>
              <w:bottom w:val="single" w:sz="4" w:space="0" w:color="auto"/>
              <w:right w:val="nil"/>
            </w:tcBorders>
          </w:tcPr>
          <w:p w14:paraId="5E695593"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327</w:t>
            </w:r>
          </w:p>
        </w:tc>
        <w:tc>
          <w:tcPr>
            <w:tcW w:w="1432" w:type="dxa"/>
            <w:tcBorders>
              <w:top w:val="single" w:sz="4" w:space="0" w:color="auto"/>
              <w:left w:val="nil"/>
              <w:bottom w:val="single" w:sz="4" w:space="0" w:color="auto"/>
              <w:right w:val="nil"/>
            </w:tcBorders>
            <w:vAlign w:val="bottom"/>
          </w:tcPr>
          <w:p w14:paraId="0A04DF04"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45</w:t>
            </w:r>
          </w:p>
        </w:tc>
        <w:tc>
          <w:tcPr>
            <w:tcW w:w="1432" w:type="dxa"/>
            <w:tcBorders>
              <w:top w:val="single" w:sz="4" w:space="0" w:color="auto"/>
              <w:left w:val="nil"/>
              <w:bottom w:val="single" w:sz="4" w:space="0" w:color="auto"/>
              <w:right w:val="nil"/>
            </w:tcBorders>
            <w:vAlign w:val="bottom"/>
            <w:hideMark/>
          </w:tcPr>
          <w:p w14:paraId="77EC6488"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86</w:t>
            </w:r>
          </w:p>
        </w:tc>
      </w:tr>
    </w:tbl>
    <w:p w14:paraId="3397C4C0" w14:textId="77777777" w:rsidR="009C24EF" w:rsidRPr="00213131" w:rsidRDefault="009C24EF" w:rsidP="009C24EF">
      <w:pPr>
        <w:keepNext/>
        <w:tabs>
          <w:tab w:val="num" w:pos="707"/>
        </w:tabs>
        <w:spacing w:before="0" w:after="0"/>
        <w:ind w:left="425" w:hanging="425"/>
        <w:contextualSpacing/>
        <w:outlineLvl w:val="3"/>
        <w:rPr>
          <w:rFonts w:asciiTheme="majorBidi" w:hAnsiTheme="majorBidi" w:cstheme="majorBidi"/>
          <w:sz w:val="16"/>
          <w:szCs w:val="16"/>
        </w:rPr>
      </w:pPr>
      <w:r w:rsidRPr="00213131">
        <w:rPr>
          <w:rFonts w:asciiTheme="majorBidi" w:hAnsiTheme="majorBidi" w:cstheme="majorBidi"/>
          <w:sz w:val="16"/>
          <w:szCs w:val="16"/>
          <w:vertAlign w:val="superscript"/>
        </w:rPr>
        <w:t>1</w:t>
      </w:r>
      <w:r w:rsidRPr="00213131">
        <w:rPr>
          <w:rFonts w:asciiTheme="majorBidi" w:hAnsiTheme="majorBidi" w:cstheme="majorBidi"/>
          <w:sz w:val="16"/>
          <w:szCs w:val="16"/>
        </w:rPr>
        <w:tab/>
        <w:t>In the previous quarter most rental contracts that were signed are in the offices wing of the property.</w:t>
      </w:r>
    </w:p>
    <w:p w14:paraId="6063C2E1" w14:textId="77777777" w:rsidR="009C24EF" w:rsidRPr="00213131" w:rsidRDefault="009C24EF" w:rsidP="009C24EF">
      <w:pPr>
        <w:keepNext/>
        <w:tabs>
          <w:tab w:val="num" w:pos="707"/>
        </w:tabs>
        <w:spacing w:before="0" w:after="0"/>
        <w:ind w:left="425" w:hanging="425"/>
        <w:contextualSpacing/>
        <w:outlineLvl w:val="3"/>
        <w:rPr>
          <w:rFonts w:asciiTheme="majorBidi" w:hAnsiTheme="majorBidi" w:cstheme="majorBidi"/>
          <w:sz w:val="12"/>
          <w:szCs w:val="12"/>
          <w:rtl/>
        </w:rPr>
      </w:pPr>
    </w:p>
    <w:tbl>
      <w:tblPr>
        <w:tblW w:w="9910" w:type="dxa"/>
        <w:tblInd w:w="104" w:type="dxa"/>
        <w:tblLayout w:type="fixed"/>
        <w:tblLook w:val="04A0" w:firstRow="1" w:lastRow="0" w:firstColumn="1" w:lastColumn="0" w:noHBand="0" w:noVBand="1"/>
      </w:tblPr>
      <w:tblGrid>
        <w:gridCol w:w="4174"/>
        <w:gridCol w:w="1434"/>
        <w:gridCol w:w="1434"/>
        <w:gridCol w:w="1434"/>
        <w:gridCol w:w="1434"/>
      </w:tblGrid>
      <w:tr w:rsidR="009C24EF" w:rsidRPr="00213131" w14:paraId="38D27EE2" w14:textId="77777777" w:rsidTr="00A65A6F">
        <w:trPr>
          <w:cantSplit/>
          <w:trHeight w:hRule="exact" w:val="794"/>
          <w:tblHeader/>
        </w:trPr>
        <w:tc>
          <w:tcPr>
            <w:tcW w:w="4174" w:type="dxa"/>
            <w:shd w:val="clear" w:color="auto" w:fill="000031"/>
          </w:tcPr>
          <w:p w14:paraId="6E38165D" w14:textId="77777777" w:rsidR="009C24EF" w:rsidRPr="00213131" w:rsidRDefault="009C24EF" w:rsidP="00A65A6F">
            <w:pPr>
              <w:keepNext/>
              <w:tabs>
                <w:tab w:val="center" w:pos="599"/>
                <w:tab w:val="num" w:pos="707"/>
              </w:tabs>
              <w:spacing w:before="144" w:after="144"/>
              <w:jc w:val="left"/>
              <w:rPr>
                <w:rFonts w:asciiTheme="majorBidi" w:eastAsia="Times New Roman" w:hAnsiTheme="majorBidi" w:cstheme="majorBidi"/>
                <w:b/>
                <w:bCs/>
                <w:color w:val="FFFFFF" w:themeColor="background1"/>
                <w:sz w:val="21"/>
                <w:szCs w:val="21"/>
                <w:u w:val="single"/>
              </w:rPr>
            </w:pPr>
            <w:r w:rsidRPr="00213131">
              <w:rPr>
                <w:rFonts w:asciiTheme="majorBidi" w:hAnsiTheme="majorBidi" w:cstheme="majorBidi"/>
                <w:b/>
                <w:color w:val="FFFFFF" w:themeColor="background1"/>
                <w:sz w:val="21"/>
                <w:u w:val="single"/>
              </w:rPr>
              <w:t xml:space="preserve">G Kochav </w:t>
            </w:r>
            <w:proofErr w:type="spellStart"/>
            <w:r w:rsidRPr="00213131">
              <w:rPr>
                <w:rFonts w:asciiTheme="majorBidi" w:hAnsiTheme="majorBidi" w:cstheme="majorBidi"/>
                <w:b/>
                <w:color w:val="FFFFFF" w:themeColor="background1"/>
                <w:sz w:val="21"/>
                <w:u w:val="single"/>
              </w:rPr>
              <w:t>Hatzafon</w:t>
            </w:r>
            <w:proofErr w:type="spellEnd"/>
          </w:p>
          <w:p w14:paraId="78BEEBD0"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u w:val="single"/>
                <w:rtl/>
              </w:rPr>
            </w:pPr>
          </w:p>
        </w:tc>
        <w:tc>
          <w:tcPr>
            <w:tcW w:w="1434" w:type="dxa"/>
            <w:shd w:val="clear" w:color="auto" w:fill="000031"/>
          </w:tcPr>
          <w:p w14:paraId="4F69787B"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tl/>
              </w:rPr>
            </w:pPr>
          </w:p>
        </w:tc>
        <w:tc>
          <w:tcPr>
            <w:tcW w:w="1434" w:type="dxa"/>
            <w:shd w:val="clear" w:color="auto" w:fill="000031"/>
          </w:tcPr>
          <w:p w14:paraId="1C3FF282"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Q2 2024</w:t>
            </w:r>
          </w:p>
        </w:tc>
        <w:tc>
          <w:tcPr>
            <w:tcW w:w="1434" w:type="dxa"/>
            <w:shd w:val="clear" w:color="auto" w:fill="000031"/>
            <w:hideMark/>
          </w:tcPr>
          <w:p w14:paraId="5C472750"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Q1 2024</w:t>
            </w:r>
          </w:p>
        </w:tc>
        <w:tc>
          <w:tcPr>
            <w:tcW w:w="1434" w:type="dxa"/>
            <w:shd w:val="clear" w:color="auto" w:fill="000031"/>
            <w:hideMark/>
          </w:tcPr>
          <w:p w14:paraId="30BC09D8"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Year 2023</w:t>
            </w:r>
          </w:p>
        </w:tc>
      </w:tr>
      <w:tr w:rsidR="009C24EF" w:rsidRPr="00213131" w14:paraId="59CF42A6" w14:textId="77777777" w:rsidTr="00A65A6F">
        <w:trPr>
          <w:cantSplit/>
          <w:trHeight w:hRule="exact" w:val="306"/>
        </w:trPr>
        <w:tc>
          <w:tcPr>
            <w:tcW w:w="4174" w:type="dxa"/>
            <w:tcBorders>
              <w:top w:val="nil"/>
              <w:left w:val="nil"/>
              <w:bottom w:val="single" w:sz="4" w:space="0" w:color="auto"/>
              <w:right w:val="nil"/>
            </w:tcBorders>
            <w:hideMark/>
          </w:tcPr>
          <w:p w14:paraId="7E5A6EA7"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Total value of the property (NIS thousand)</w:t>
            </w:r>
          </w:p>
        </w:tc>
        <w:tc>
          <w:tcPr>
            <w:tcW w:w="1434" w:type="dxa"/>
            <w:tcBorders>
              <w:top w:val="nil"/>
              <w:left w:val="nil"/>
              <w:bottom w:val="single" w:sz="4" w:space="0" w:color="auto"/>
              <w:right w:val="nil"/>
            </w:tcBorders>
          </w:tcPr>
          <w:p w14:paraId="6E53F29A"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4" w:type="dxa"/>
            <w:tcBorders>
              <w:top w:val="nil"/>
              <w:left w:val="nil"/>
              <w:bottom w:val="single" w:sz="4" w:space="0" w:color="auto"/>
              <w:right w:val="nil"/>
            </w:tcBorders>
          </w:tcPr>
          <w:p w14:paraId="258EFA8E"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110,598</w:t>
            </w:r>
          </w:p>
        </w:tc>
        <w:tc>
          <w:tcPr>
            <w:tcW w:w="1434" w:type="dxa"/>
            <w:tcBorders>
              <w:top w:val="nil"/>
              <w:left w:val="nil"/>
              <w:bottom w:val="single" w:sz="4" w:space="0" w:color="auto"/>
              <w:right w:val="nil"/>
            </w:tcBorders>
            <w:vAlign w:val="bottom"/>
          </w:tcPr>
          <w:p w14:paraId="792ECFC2"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108,411</w:t>
            </w:r>
          </w:p>
        </w:tc>
        <w:tc>
          <w:tcPr>
            <w:tcW w:w="1434" w:type="dxa"/>
            <w:tcBorders>
              <w:top w:val="nil"/>
              <w:left w:val="nil"/>
              <w:bottom w:val="single" w:sz="4" w:space="0" w:color="auto"/>
              <w:right w:val="nil"/>
            </w:tcBorders>
            <w:vAlign w:val="bottom"/>
            <w:hideMark/>
          </w:tcPr>
          <w:p w14:paraId="13E52BD5"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108,411</w:t>
            </w:r>
          </w:p>
        </w:tc>
      </w:tr>
      <w:tr w:rsidR="009C24EF" w:rsidRPr="00213131" w14:paraId="42955CB8" w14:textId="77777777" w:rsidTr="00A65A6F">
        <w:trPr>
          <w:cantSplit/>
          <w:trHeight w:hRule="exact" w:val="306"/>
        </w:trPr>
        <w:tc>
          <w:tcPr>
            <w:tcW w:w="4174" w:type="dxa"/>
            <w:tcBorders>
              <w:top w:val="single" w:sz="4" w:space="0" w:color="auto"/>
              <w:left w:val="nil"/>
              <w:bottom w:val="single" w:sz="4" w:space="0" w:color="auto"/>
              <w:right w:val="nil"/>
            </w:tcBorders>
            <w:hideMark/>
          </w:tcPr>
          <w:p w14:paraId="7F3CC3F3"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NOI for the period (NIS thousands)</w:t>
            </w:r>
          </w:p>
        </w:tc>
        <w:tc>
          <w:tcPr>
            <w:tcW w:w="1434" w:type="dxa"/>
            <w:tcBorders>
              <w:top w:val="single" w:sz="4" w:space="0" w:color="auto"/>
              <w:left w:val="nil"/>
              <w:bottom w:val="single" w:sz="4" w:space="0" w:color="auto"/>
              <w:right w:val="nil"/>
            </w:tcBorders>
          </w:tcPr>
          <w:p w14:paraId="593645D3"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4" w:type="dxa"/>
            <w:tcBorders>
              <w:top w:val="single" w:sz="4" w:space="0" w:color="auto"/>
              <w:left w:val="nil"/>
              <w:bottom w:val="single" w:sz="4" w:space="0" w:color="auto"/>
              <w:right w:val="nil"/>
            </w:tcBorders>
          </w:tcPr>
          <w:p w14:paraId="122195EF"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1,349</w:t>
            </w:r>
          </w:p>
        </w:tc>
        <w:tc>
          <w:tcPr>
            <w:tcW w:w="1434" w:type="dxa"/>
            <w:tcBorders>
              <w:top w:val="single" w:sz="4" w:space="0" w:color="auto"/>
              <w:left w:val="nil"/>
              <w:bottom w:val="single" w:sz="4" w:space="0" w:color="auto"/>
              <w:right w:val="nil"/>
            </w:tcBorders>
            <w:vAlign w:val="bottom"/>
          </w:tcPr>
          <w:p w14:paraId="2D81A2FB"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1,566</w:t>
            </w:r>
          </w:p>
        </w:tc>
        <w:tc>
          <w:tcPr>
            <w:tcW w:w="1434" w:type="dxa"/>
            <w:tcBorders>
              <w:top w:val="single" w:sz="4" w:space="0" w:color="auto"/>
              <w:left w:val="nil"/>
              <w:bottom w:val="single" w:sz="4" w:space="0" w:color="auto"/>
              <w:right w:val="nil"/>
            </w:tcBorders>
            <w:vAlign w:val="bottom"/>
            <w:hideMark/>
          </w:tcPr>
          <w:p w14:paraId="615630A7"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5,474</w:t>
            </w:r>
          </w:p>
        </w:tc>
      </w:tr>
      <w:tr w:rsidR="009C24EF" w:rsidRPr="00213131" w14:paraId="4791DE1E" w14:textId="77777777" w:rsidTr="00A65A6F">
        <w:trPr>
          <w:cantSplit/>
          <w:trHeight w:hRule="exact" w:val="306"/>
        </w:trPr>
        <w:tc>
          <w:tcPr>
            <w:tcW w:w="4174" w:type="dxa"/>
            <w:tcBorders>
              <w:top w:val="single" w:sz="4" w:space="0" w:color="auto"/>
              <w:left w:val="nil"/>
              <w:bottom w:val="single" w:sz="4" w:space="0" w:color="auto"/>
              <w:right w:val="nil"/>
            </w:tcBorders>
            <w:hideMark/>
          </w:tcPr>
          <w:p w14:paraId="7712E7D1"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Revaluation (losses) profits for the period (EUR  thousands)</w:t>
            </w:r>
          </w:p>
        </w:tc>
        <w:tc>
          <w:tcPr>
            <w:tcW w:w="1434" w:type="dxa"/>
            <w:tcBorders>
              <w:top w:val="single" w:sz="4" w:space="0" w:color="auto"/>
              <w:left w:val="nil"/>
              <w:bottom w:val="single" w:sz="4" w:space="0" w:color="auto"/>
              <w:right w:val="nil"/>
            </w:tcBorders>
          </w:tcPr>
          <w:p w14:paraId="2B542920"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4" w:type="dxa"/>
            <w:tcBorders>
              <w:top w:val="single" w:sz="4" w:space="0" w:color="auto"/>
              <w:left w:val="nil"/>
              <w:bottom w:val="single" w:sz="4" w:space="0" w:color="auto"/>
              <w:right w:val="nil"/>
            </w:tcBorders>
          </w:tcPr>
          <w:p w14:paraId="56BA6F30"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2,187</w:t>
            </w:r>
          </w:p>
        </w:tc>
        <w:tc>
          <w:tcPr>
            <w:tcW w:w="1434" w:type="dxa"/>
            <w:tcBorders>
              <w:top w:val="single" w:sz="4" w:space="0" w:color="auto"/>
              <w:left w:val="nil"/>
              <w:bottom w:val="single" w:sz="4" w:space="0" w:color="auto"/>
              <w:right w:val="nil"/>
            </w:tcBorders>
            <w:vAlign w:val="bottom"/>
          </w:tcPr>
          <w:p w14:paraId="494877FA"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w:t>
            </w:r>
          </w:p>
        </w:tc>
        <w:tc>
          <w:tcPr>
            <w:tcW w:w="1434" w:type="dxa"/>
            <w:tcBorders>
              <w:top w:val="single" w:sz="4" w:space="0" w:color="auto"/>
              <w:left w:val="nil"/>
              <w:bottom w:val="single" w:sz="4" w:space="0" w:color="auto"/>
              <w:right w:val="nil"/>
            </w:tcBorders>
            <w:vAlign w:val="bottom"/>
            <w:hideMark/>
          </w:tcPr>
          <w:p w14:paraId="7C2F8F1A"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3,218</w:t>
            </w:r>
          </w:p>
        </w:tc>
      </w:tr>
      <w:tr w:rsidR="009C24EF" w:rsidRPr="00213131" w14:paraId="1840DBBC" w14:textId="77777777" w:rsidTr="00A65A6F">
        <w:trPr>
          <w:cantSplit/>
          <w:trHeight w:hRule="exact" w:val="306"/>
        </w:trPr>
        <w:tc>
          <w:tcPr>
            <w:tcW w:w="4174" w:type="dxa"/>
            <w:tcBorders>
              <w:top w:val="single" w:sz="4" w:space="0" w:color="auto"/>
              <w:left w:val="nil"/>
              <w:bottom w:val="single" w:sz="4" w:space="0" w:color="auto"/>
              <w:right w:val="nil"/>
            </w:tcBorders>
            <w:hideMark/>
          </w:tcPr>
          <w:p w14:paraId="42030089"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Average occupancy rate in the period</w:t>
            </w:r>
          </w:p>
        </w:tc>
        <w:tc>
          <w:tcPr>
            <w:tcW w:w="1434" w:type="dxa"/>
            <w:tcBorders>
              <w:top w:val="single" w:sz="4" w:space="0" w:color="auto"/>
              <w:left w:val="nil"/>
              <w:bottom w:val="single" w:sz="4" w:space="0" w:color="auto"/>
              <w:right w:val="nil"/>
            </w:tcBorders>
          </w:tcPr>
          <w:p w14:paraId="0838673B"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4" w:type="dxa"/>
            <w:tcBorders>
              <w:top w:val="single" w:sz="4" w:space="0" w:color="auto"/>
              <w:left w:val="nil"/>
              <w:bottom w:val="single" w:sz="4" w:space="0" w:color="auto"/>
              <w:right w:val="nil"/>
            </w:tcBorders>
          </w:tcPr>
          <w:p w14:paraId="76DD05A4"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100%</w:t>
            </w:r>
          </w:p>
        </w:tc>
        <w:tc>
          <w:tcPr>
            <w:tcW w:w="1434" w:type="dxa"/>
            <w:tcBorders>
              <w:top w:val="single" w:sz="4" w:space="0" w:color="auto"/>
              <w:left w:val="nil"/>
              <w:bottom w:val="single" w:sz="4" w:space="0" w:color="auto"/>
              <w:right w:val="nil"/>
            </w:tcBorders>
            <w:vAlign w:val="bottom"/>
          </w:tcPr>
          <w:p w14:paraId="182E6229"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100%</w:t>
            </w:r>
          </w:p>
        </w:tc>
        <w:tc>
          <w:tcPr>
            <w:tcW w:w="1434" w:type="dxa"/>
            <w:tcBorders>
              <w:top w:val="single" w:sz="4" w:space="0" w:color="auto"/>
              <w:left w:val="nil"/>
              <w:bottom w:val="single" w:sz="4" w:space="0" w:color="auto"/>
              <w:right w:val="nil"/>
            </w:tcBorders>
            <w:vAlign w:val="bottom"/>
            <w:hideMark/>
          </w:tcPr>
          <w:p w14:paraId="467882DB"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90.2%</w:t>
            </w:r>
          </w:p>
        </w:tc>
      </w:tr>
      <w:tr w:rsidR="009C24EF" w:rsidRPr="00213131" w14:paraId="35157B48" w14:textId="77777777" w:rsidTr="00A65A6F">
        <w:trPr>
          <w:cantSplit/>
          <w:trHeight w:hRule="exact" w:val="306"/>
        </w:trPr>
        <w:tc>
          <w:tcPr>
            <w:tcW w:w="4174" w:type="dxa"/>
            <w:tcBorders>
              <w:top w:val="single" w:sz="4" w:space="0" w:color="auto"/>
              <w:left w:val="nil"/>
              <w:bottom w:val="single" w:sz="4" w:space="0" w:color="auto"/>
              <w:right w:val="nil"/>
            </w:tcBorders>
            <w:hideMark/>
          </w:tcPr>
          <w:p w14:paraId="0B3A7C6A"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Actual rate of return (%)</w:t>
            </w:r>
          </w:p>
        </w:tc>
        <w:tc>
          <w:tcPr>
            <w:tcW w:w="1434" w:type="dxa"/>
            <w:tcBorders>
              <w:top w:val="single" w:sz="4" w:space="0" w:color="auto"/>
              <w:left w:val="nil"/>
              <w:bottom w:val="single" w:sz="4" w:space="0" w:color="auto"/>
              <w:right w:val="nil"/>
            </w:tcBorders>
          </w:tcPr>
          <w:p w14:paraId="5DC39C10"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4" w:type="dxa"/>
            <w:tcBorders>
              <w:top w:val="single" w:sz="4" w:space="0" w:color="auto"/>
              <w:left w:val="nil"/>
              <w:bottom w:val="single" w:sz="4" w:space="0" w:color="auto"/>
              <w:right w:val="nil"/>
            </w:tcBorders>
          </w:tcPr>
          <w:p w14:paraId="3446FC70"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4.9%</w:t>
            </w:r>
          </w:p>
        </w:tc>
        <w:tc>
          <w:tcPr>
            <w:tcW w:w="1434" w:type="dxa"/>
            <w:tcBorders>
              <w:top w:val="single" w:sz="4" w:space="0" w:color="auto"/>
              <w:left w:val="nil"/>
              <w:bottom w:val="single" w:sz="4" w:space="0" w:color="auto"/>
              <w:right w:val="nil"/>
            </w:tcBorders>
            <w:vAlign w:val="bottom"/>
          </w:tcPr>
          <w:p w14:paraId="224F1A5F"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5.8%</w:t>
            </w:r>
          </w:p>
        </w:tc>
        <w:tc>
          <w:tcPr>
            <w:tcW w:w="1434" w:type="dxa"/>
            <w:tcBorders>
              <w:top w:val="single" w:sz="4" w:space="0" w:color="auto"/>
              <w:left w:val="nil"/>
              <w:bottom w:val="single" w:sz="4" w:space="0" w:color="auto"/>
              <w:right w:val="nil"/>
            </w:tcBorders>
            <w:vAlign w:val="bottom"/>
            <w:hideMark/>
          </w:tcPr>
          <w:p w14:paraId="4FB38581"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5.0%</w:t>
            </w:r>
          </w:p>
        </w:tc>
      </w:tr>
      <w:tr w:rsidR="009C24EF" w:rsidRPr="00213131" w14:paraId="3D6A77B6" w14:textId="77777777" w:rsidTr="00A65A6F">
        <w:trPr>
          <w:cantSplit/>
          <w:trHeight w:hRule="exact" w:val="306"/>
        </w:trPr>
        <w:tc>
          <w:tcPr>
            <w:tcW w:w="4174" w:type="dxa"/>
            <w:tcBorders>
              <w:top w:val="single" w:sz="4" w:space="0" w:color="auto"/>
              <w:left w:val="nil"/>
              <w:bottom w:val="single" w:sz="4" w:space="0" w:color="auto"/>
              <w:right w:val="nil"/>
            </w:tcBorders>
            <w:hideMark/>
          </w:tcPr>
          <w:p w14:paraId="142755B2"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Average rent per sq. m. (per month in NIS)</w:t>
            </w:r>
          </w:p>
        </w:tc>
        <w:tc>
          <w:tcPr>
            <w:tcW w:w="1434" w:type="dxa"/>
            <w:tcBorders>
              <w:top w:val="single" w:sz="4" w:space="0" w:color="auto"/>
              <w:left w:val="nil"/>
              <w:bottom w:val="single" w:sz="4" w:space="0" w:color="auto"/>
              <w:right w:val="nil"/>
            </w:tcBorders>
          </w:tcPr>
          <w:p w14:paraId="440F4DA7"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4" w:type="dxa"/>
            <w:tcBorders>
              <w:top w:val="single" w:sz="4" w:space="0" w:color="auto"/>
              <w:left w:val="nil"/>
              <w:bottom w:val="single" w:sz="4" w:space="0" w:color="auto"/>
              <w:right w:val="nil"/>
            </w:tcBorders>
          </w:tcPr>
          <w:p w14:paraId="1A22DE28"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282.6</w:t>
            </w:r>
          </w:p>
        </w:tc>
        <w:tc>
          <w:tcPr>
            <w:tcW w:w="1434" w:type="dxa"/>
            <w:tcBorders>
              <w:top w:val="single" w:sz="4" w:space="0" w:color="auto"/>
              <w:left w:val="nil"/>
              <w:bottom w:val="single" w:sz="4" w:space="0" w:color="auto"/>
              <w:right w:val="nil"/>
            </w:tcBorders>
            <w:vAlign w:val="bottom"/>
          </w:tcPr>
          <w:p w14:paraId="46B159E1"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278.5</w:t>
            </w:r>
          </w:p>
        </w:tc>
        <w:tc>
          <w:tcPr>
            <w:tcW w:w="1434" w:type="dxa"/>
            <w:tcBorders>
              <w:top w:val="single" w:sz="4" w:space="0" w:color="auto"/>
              <w:left w:val="nil"/>
              <w:bottom w:val="single" w:sz="4" w:space="0" w:color="auto"/>
              <w:right w:val="nil"/>
            </w:tcBorders>
            <w:vAlign w:val="bottom"/>
            <w:hideMark/>
          </w:tcPr>
          <w:p w14:paraId="1CD1F32B"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277.5</w:t>
            </w:r>
          </w:p>
        </w:tc>
      </w:tr>
      <w:tr w:rsidR="009C24EF" w:rsidRPr="00213131" w14:paraId="3D9EFE5F" w14:textId="77777777" w:rsidTr="00A65A6F">
        <w:trPr>
          <w:cantSplit/>
          <w:trHeight w:hRule="exact" w:val="306"/>
        </w:trPr>
        <w:tc>
          <w:tcPr>
            <w:tcW w:w="4174" w:type="dxa"/>
            <w:tcBorders>
              <w:top w:val="single" w:sz="4" w:space="0" w:color="auto"/>
              <w:left w:val="nil"/>
              <w:bottom w:val="single" w:sz="4" w:space="0" w:color="auto"/>
              <w:right w:val="nil"/>
            </w:tcBorders>
            <w:hideMark/>
          </w:tcPr>
          <w:p w14:paraId="387F58B6" w14:textId="77777777" w:rsidR="009C24EF" w:rsidRPr="00213131" w:rsidRDefault="009C24EF" w:rsidP="00A65A6F">
            <w:pPr>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 xml:space="preserve">Average rent per </w:t>
            </w:r>
            <w:proofErr w:type="spellStart"/>
            <w:r w:rsidRPr="00213131">
              <w:rPr>
                <w:rFonts w:asciiTheme="majorBidi" w:hAnsiTheme="majorBidi" w:cstheme="majorBidi"/>
                <w:sz w:val="21"/>
              </w:rPr>
              <w:t>sq.m</w:t>
            </w:r>
            <w:proofErr w:type="spellEnd"/>
            <w:r w:rsidRPr="00213131">
              <w:rPr>
                <w:rFonts w:asciiTheme="majorBidi" w:hAnsiTheme="majorBidi" w:cstheme="majorBidi"/>
                <w:sz w:val="21"/>
              </w:rPr>
              <w:t>. in contracts signed in the period (per month in NIS)</w:t>
            </w:r>
          </w:p>
        </w:tc>
        <w:tc>
          <w:tcPr>
            <w:tcW w:w="1434" w:type="dxa"/>
            <w:tcBorders>
              <w:top w:val="single" w:sz="4" w:space="0" w:color="auto"/>
              <w:left w:val="nil"/>
              <w:bottom w:val="single" w:sz="4" w:space="0" w:color="auto"/>
              <w:right w:val="nil"/>
            </w:tcBorders>
          </w:tcPr>
          <w:p w14:paraId="087AFE8F" w14:textId="77777777" w:rsidR="009C24EF" w:rsidRPr="00213131" w:rsidRDefault="009C24EF" w:rsidP="00A65A6F">
            <w:pPr>
              <w:spacing w:before="0" w:after="0"/>
              <w:contextualSpacing/>
              <w:jc w:val="center"/>
              <w:rPr>
                <w:rFonts w:asciiTheme="majorBidi" w:hAnsiTheme="majorBidi" w:cstheme="majorBidi"/>
                <w:sz w:val="21"/>
                <w:szCs w:val="21"/>
              </w:rPr>
            </w:pPr>
          </w:p>
        </w:tc>
        <w:tc>
          <w:tcPr>
            <w:tcW w:w="1434" w:type="dxa"/>
            <w:tcBorders>
              <w:top w:val="single" w:sz="4" w:space="0" w:color="auto"/>
              <w:left w:val="nil"/>
              <w:bottom w:val="single" w:sz="4" w:space="0" w:color="auto"/>
              <w:right w:val="nil"/>
            </w:tcBorders>
          </w:tcPr>
          <w:p w14:paraId="71846F84"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w:t>
            </w:r>
          </w:p>
        </w:tc>
        <w:tc>
          <w:tcPr>
            <w:tcW w:w="1434" w:type="dxa"/>
            <w:tcBorders>
              <w:top w:val="single" w:sz="4" w:space="0" w:color="auto"/>
              <w:left w:val="nil"/>
              <w:bottom w:val="single" w:sz="4" w:space="0" w:color="auto"/>
              <w:right w:val="nil"/>
            </w:tcBorders>
            <w:vAlign w:val="bottom"/>
          </w:tcPr>
          <w:p w14:paraId="00B7044E"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w:t>
            </w:r>
          </w:p>
        </w:tc>
        <w:tc>
          <w:tcPr>
            <w:tcW w:w="1434" w:type="dxa"/>
            <w:tcBorders>
              <w:top w:val="single" w:sz="4" w:space="0" w:color="auto"/>
              <w:left w:val="nil"/>
              <w:bottom w:val="single" w:sz="4" w:space="0" w:color="auto"/>
              <w:right w:val="nil"/>
            </w:tcBorders>
            <w:vAlign w:val="bottom"/>
            <w:hideMark/>
          </w:tcPr>
          <w:p w14:paraId="082CE6CD"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324</w:t>
            </w:r>
          </w:p>
        </w:tc>
      </w:tr>
    </w:tbl>
    <w:p w14:paraId="179154D3" w14:textId="77777777" w:rsidR="009C24EF" w:rsidRPr="00213131" w:rsidRDefault="009C24EF" w:rsidP="009C24EF">
      <w:pPr>
        <w:keepNext/>
        <w:tabs>
          <w:tab w:val="num" w:pos="707"/>
        </w:tabs>
        <w:spacing w:before="0" w:after="0"/>
        <w:ind w:left="425" w:hanging="425"/>
        <w:contextualSpacing/>
        <w:outlineLvl w:val="3"/>
        <w:rPr>
          <w:rFonts w:asciiTheme="majorBidi" w:hAnsiTheme="majorBidi" w:cstheme="majorBidi"/>
          <w:sz w:val="11"/>
          <w:szCs w:val="11"/>
          <w:u w:val="single"/>
        </w:rPr>
      </w:pPr>
    </w:p>
    <w:tbl>
      <w:tblPr>
        <w:tblW w:w="9878" w:type="dxa"/>
        <w:tblInd w:w="110" w:type="dxa"/>
        <w:tblLayout w:type="fixed"/>
        <w:tblLook w:val="04A0" w:firstRow="1" w:lastRow="0" w:firstColumn="1" w:lastColumn="0" w:noHBand="0" w:noVBand="1"/>
      </w:tblPr>
      <w:tblGrid>
        <w:gridCol w:w="4134"/>
        <w:gridCol w:w="1436"/>
        <w:gridCol w:w="1436"/>
        <w:gridCol w:w="1436"/>
        <w:gridCol w:w="1436"/>
      </w:tblGrid>
      <w:tr w:rsidR="009C24EF" w:rsidRPr="00213131" w14:paraId="413F8418" w14:textId="77777777" w:rsidTr="00A65A6F">
        <w:trPr>
          <w:cantSplit/>
          <w:trHeight w:hRule="exact" w:val="794"/>
          <w:tblHeader/>
        </w:trPr>
        <w:tc>
          <w:tcPr>
            <w:tcW w:w="4134" w:type="dxa"/>
            <w:shd w:val="clear" w:color="auto" w:fill="000031"/>
          </w:tcPr>
          <w:p w14:paraId="3D6FD767" w14:textId="77777777" w:rsidR="009C24EF" w:rsidRPr="00213131" w:rsidRDefault="009C24EF" w:rsidP="00A65A6F">
            <w:pPr>
              <w:keepNext/>
              <w:tabs>
                <w:tab w:val="center" w:pos="599"/>
                <w:tab w:val="num" w:pos="707"/>
              </w:tabs>
              <w:spacing w:before="144" w:after="144"/>
              <w:jc w:val="left"/>
              <w:rPr>
                <w:rFonts w:asciiTheme="majorBidi" w:eastAsia="Times New Roman" w:hAnsiTheme="majorBidi" w:cstheme="majorBidi"/>
                <w:b/>
                <w:bCs/>
                <w:color w:val="FFFFFF" w:themeColor="background1"/>
                <w:sz w:val="21"/>
                <w:szCs w:val="21"/>
                <w:u w:val="single"/>
              </w:rPr>
            </w:pPr>
            <w:r w:rsidRPr="00213131">
              <w:rPr>
                <w:rFonts w:asciiTheme="majorBidi" w:hAnsiTheme="majorBidi" w:cstheme="majorBidi"/>
                <w:b/>
                <w:color w:val="FFFFFF" w:themeColor="background1"/>
                <w:sz w:val="21"/>
                <w:u w:val="single"/>
              </w:rPr>
              <w:t xml:space="preserve">G </w:t>
            </w:r>
            <w:proofErr w:type="spellStart"/>
            <w:r w:rsidRPr="00213131">
              <w:rPr>
                <w:rFonts w:asciiTheme="majorBidi" w:hAnsiTheme="majorBidi" w:cstheme="majorBidi"/>
                <w:b/>
                <w:color w:val="FFFFFF" w:themeColor="background1"/>
                <w:sz w:val="21"/>
                <w:u w:val="single"/>
              </w:rPr>
              <w:t>Horev</w:t>
            </w:r>
            <w:proofErr w:type="spellEnd"/>
            <w:r w:rsidRPr="00213131">
              <w:rPr>
                <w:rFonts w:asciiTheme="majorBidi" w:hAnsiTheme="majorBidi" w:cstheme="majorBidi"/>
                <w:b/>
                <w:color w:val="FFFFFF" w:themeColor="background1"/>
                <w:sz w:val="21"/>
                <w:u w:val="single"/>
              </w:rPr>
              <w:t xml:space="preserve"> (Company's share, 50%)</w:t>
            </w:r>
          </w:p>
          <w:p w14:paraId="06A75F77" w14:textId="77777777" w:rsidR="009C24EF" w:rsidRPr="00213131" w:rsidRDefault="009C24EF" w:rsidP="00A65A6F">
            <w:pPr>
              <w:keepNext/>
              <w:tabs>
                <w:tab w:val="right" w:pos="7936"/>
                <w:tab w:val="right" w:pos="8220"/>
              </w:tabs>
              <w:spacing w:line="240" w:lineRule="auto"/>
              <w:jc w:val="center"/>
              <w:rPr>
                <w:rFonts w:asciiTheme="majorBidi" w:eastAsia="Times New Roman" w:hAnsiTheme="majorBidi" w:cstheme="majorBidi"/>
                <w:b/>
                <w:bCs/>
                <w:color w:val="FFFFFF" w:themeColor="background1"/>
                <w:sz w:val="21"/>
                <w:szCs w:val="21"/>
                <w:rtl/>
              </w:rPr>
            </w:pPr>
          </w:p>
        </w:tc>
        <w:tc>
          <w:tcPr>
            <w:tcW w:w="1436" w:type="dxa"/>
            <w:shd w:val="clear" w:color="auto" w:fill="000031"/>
          </w:tcPr>
          <w:p w14:paraId="5E0611EC"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p>
        </w:tc>
        <w:tc>
          <w:tcPr>
            <w:tcW w:w="1436" w:type="dxa"/>
            <w:shd w:val="clear" w:color="auto" w:fill="000031"/>
          </w:tcPr>
          <w:p w14:paraId="29EA85B2"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Q2 2024</w:t>
            </w:r>
          </w:p>
        </w:tc>
        <w:tc>
          <w:tcPr>
            <w:tcW w:w="1436" w:type="dxa"/>
            <w:shd w:val="clear" w:color="auto" w:fill="000031"/>
            <w:hideMark/>
          </w:tcPr>
          <w:p w14:paraId="2517B3EA"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Q1 2024</w:t>
            </w:r>
          </w:p>
        </w:tc>
        <w:tc>
          <w:tcPr>
            <w:tcW w:w="1436" w:type="dxa"/>
            <w:shd w:val="clear" w:color="auto" w:fill="000031"/>
            <w:hideMark/>
          </w:tcPr>
          <w:p w14:paraId="195DDEF8"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Year 2023</w:t>
            </w:r>
          </w:p>
        </w:tc>
      </w:tr>
      <w:tr w:rsidR="009C24EF" w:rsidRPr="00213131" w14:paraId="249F2C7A" w14:textId="77777777" w:rsidTr="00A65A6F">
        <w:trPr>
          <w:cantSplit/>
          <w:trHeight w:hRule="exact" w:val="306"/>
        </w:trPr>
        <w:tc>
          <w:tcPr>
            <w:tcW w:w="4134" w:type="dxa"/>
            <w:tcBorders>
              <w:top w:val="nil"/>
              <w:left w:val="nil"/>
              <w:bottom w:val="single" w:sz="4" w:space="0" w:color="auto"/>
              <w:right w:val="nil"/>
            </w:tcBorders>
            <w:hideMark/>
          </w:tcPr>
          <w:p w14:paraId="3CBB68CE"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Value of partially income generating property (NIS thousand)</w:t>
            </w:r>
          </w:p>
        </w:tc>
        <w:tc>
          <w:tcPr>
            <w:tcW w:w="1436" w:type="dxa"/>
            <w:tcBorders>
              <w:top w:val="nil"/>
              <w:left w:val="nil"/>
              <w:bottom w:val="single" w:sz="4" w:space="0" w:color="auto"/>
              <w:right w:val="nil"/>
            </w:tcBorders>
          </w:tcPr>
          <w:p w14:paraId="7CB089BD"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6" w:type="dxa"/>
            <w:tcBorders>
              <w:top w:val="nil"/>
              <w:left w:val="nil"/>
              <w:bottom w:val="single" w:sz="4" w:space="0" w:color="auto"/>
              <w:right w:val="nil"/>
            </w:tcBorders>
          </w:tcPr>
          <w:p w14:paraId="1BA10EE0"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119,795</w:t>
            </w:r>
          </w:p>
        </w:tc>
        <w:tc>
          <w:tcPr>
            <w:tcW w:w="1436" w:type="dxa"/>
            <w:tcBorders>
              <w:top w:val="nil"/>
              <w:left w:val="nil"/>
              <w:bottom w:val="single" w:sz="4" w:space="0" w:color="auto"/>
              <w:right w:val="nil"/>
            </w:tcBorders>
            <w:vAlign w:val="bottom"/>
          </w:tcPr>
          <w:p w14:paraId="0CC45A8E"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119,790</w:t>
            </w:r>
          </w:p>
        </w:tc>
        <w:tc>
          <w:tcPr>
            <w:tcW w:w="1436" w:type="dxa"/>
            <w:tcBorders>
              <w:top w:val="nil"/>
              <w:left w:val="nil"/>
              <w:bottom w:val="single" w:sz="4" w:space="0" w:color="auto"/>
              <w:right w:val="nil"/>
            </w:tcBorders>
            <w:vAlign w:val="bottom"/>
            <w:hideMark/>
          </w:tcPr>
          <w:p w14:paraId="63D2AF62"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118,141</w:t>
            </w:r>
          </w:p>
        </w:tc>
      </w:tr>
      <w:tr w:rsidR="009C24EF" w:rsidRPr="00213131" w14:paraId="3C864056" w14:textId="77777777" w:rsidTr="00A65A6F">
        <w:trPr>
          <w:cantSplit/>
          <w:trHeight w:hRule="exact" w:val="306"/>
        </w:trPr>
        <w:tc>
          <w:tcPr>
            <w:tcW w:w="4134" w:type="dxa"/>
            <w:tcBorders>
              <w:top w:val="single" w:sz="4" w:space="0" w:color="auto"/>
              <w:left w:val="nil"/>
              <w:bottom w:val="single" w:sz="4" w:space="0" w:color="auto"/>
              <w:right w:val="nil"/>
            </w:tcBorders>
            <w:hideMark/>
          </w:tcPr>
          <w:p w14:paraId="097A110D"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Value of the lands reserves property (NIS thousand)</w:t>
            </w:r>
          </w:p>
        </w:tc>
        <w:tc>
          <w:tcPr>
            <w:tcW w:w="1436" w:type="dxa"/>
            <w:tcBorders>
              <w:top w:val="single" w:sz="4" w:space="0" w:color="auto"/>
              <w:left w:val="nil"/>
              <w:bottom w:val="single" w:sz="4" w:space="0" w:color="auto"/>
              <w:right w:val="nil"/>
            </w:tcBorders>
          </w:tcPr>
          <w:p w14:paraId="2AECD333"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6" w:type="dxa"/>
            <w:tcBorders>
              <w:top w:val="single" w:sz="4" w:space="0" w:color="auto"/>
              <w:left w:val="nil"/>
              <w:bottom w:val="single" w:sz="4" w:space="0" w:color="auto"/>
              <w:right w:val="nil"/>
            </w:tcBorders>
          </w:tcPr>
          <w:p w14:paraId="5A6F1D33"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12,750</w:t>
            </w:r>
          </w:p>
        </w:tc>
        <w:tc>
          <w:tcPr>
            <w:tcW w:w="1436" w:type="dxa"/>
            <w:tcBorders>
              <w:top w:val="single" w:sz="4" w:space="0" w:color="auto"/>
              <w:left w:val="nil"/>
              <w:bottom w:val="single" w:sz="4" w:space="0" w:color="auto"/>
              <w:right w:val="nil"/>
            </w:tcBorders>
            <w:vAlign w:val="bottom"/>
          </w:tcPr>
          <w:p w14:paraId="73C006EA"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12,750</w:t>
            </w:r>
          </w:p>
        </w:tc>
        <w:tc>
          <w:tcPr>
            <w:tcW w:w="1436" w:type="dxa"/>
            <w:tcBorders>
              <w:top w:val="single" w:sz="4" w:space="0" w:color="auto"/>
              <w:left w:val="nil"/>
              <w:bottom w:val="single" w:sz="4" w:space="0" w:color="auto"/>
              <w:right w:val="nil"/>
            </w:tcBorders>
            <w:vAlign w:val="bottom"/>
            <w:hideMark/>
          </w:tcPr>
          <w:p w14:paraId="28D63399"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12,750</w:t>
            </w:r>
          </w:p>
        </w:tc>
      </w:tr>
      <w:tr w:rsidR="009C24EF" w:rsidRPr="00213131" w14:paraId="1F8753C2" w14:textId="77777777" w:rsidTr="00A65A6F">
        <w:trPr>
          <w:cantSplit/>
          <w:trHeight w:hRule="exact" w:val="306"/>
        </w:trPr>
        <w:tc>
          <w:tcPr>
            <w:tcW w:w="4134" w:type="dxa"/>
            <w:tcBorders>
              <w:top w:val="single" w:sz="4" w:space="0" w:color="auto"/>
              <w:left w:val="nil"/>
              <w:bottom w:val="single" w:sz="4" w:space="0" w:color="auto"/>
              <w:right w:val="nil"/>
            </w:tcBorders>
            <w:hideMark/>
          </w:tcPr>
          <w:p w14:paraId="055EEF39"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Total value of the property (NIS thousand)</w:t>
            </w:r>
          </w:p>
        </w:tc>
        <w:tc>
          <w:tcPr>
            <w:tcW w:w="1436" w:type="dxa"/>
            <w:tcBorders>
              <w:top w:val="single" w:sz="4" w:space="0" w:color="auto"/>
              <w:left w:val="nil"/>
              <w:bottom w:val="single" w:sz="4" w:space="0" w:color="auto"/>
              <w:right w:val="nil"/>
            </w:tcBorders>
          </w:tcPr>
          <w:p w14:paraId="260C183A"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6" w:type="dxa"/>
            <w:tcBorders>
              <w:top w:val="single" w:sz="4" w:space="0" w:color="auto"/>
              <w:left w:val="nil"/>
              <w:bottom w:val="single" w:sz="4" w:space="0" w:color="auto"/>
              <w:right w:val="nil"/>
            </w:tcBorders>
          </w:tcPr>
          <w:p w14:paraId="390A3D97"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132,545</w:t>
            </w:r>
          </w:p>
        </w:tc>
        <w:tc>
          <w:tcPr>
            <w:tcW w:w="1436" w:type="dxa"/>
            <w:tcBorders>
              <w:top w:val="single" w:sz="4" w:space="0" w:color="auto"/>
              <w:left w:val="nil"/>
              <w:bottom w:val="single" w:sz="4" w:space="0" w:color="auto"/>
              <w:right w:val="nil"/>
            </w:tcBorders>
            <w:vAlign w:val="bottom"/>
          </w:tcPr>
          <w:p w14:paraId="58E99F7F"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132,540</w:t>
            </w:r>
          </w:p>
        </w:tc>
        <w:tc>
          <w:tcPr>
            <w:tcW w:w="1436" w:type="dxa"/>
            <w:tcBorders>
              <w:top w:val="single" w:sz="4" w:space="0" w:color="auto"/>
              <w:left w:val="nil"/>
              <w:bottom w:val="single" w:sz="4" w:space="0" w:color="auto"/>
              <w:right w:val="nil"/>
            </w:tcBorders>
            <w:vAlign w:val="bottom"/>
            <w:hideMark/>
          </w:tcPr>
          <w:p w14:paraId="1598BC95"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130,891</w:t>
            </w:r>
          </w:p>
        </w:tc>
      </w:tr>
      <w:tr w:rsidR="009C24EF" w:rsidRPr="00213131" w14:paraId="1DA8A2B2" w14:textId="77777777" w:rsidTr="00A65A6F">
        <w:trPr>
          <w:cantSplit/>
          <w:trHeight w:hRule="exact" w:val="306"/>
        </w:trPr>
        <w:tc>
          <w:tcPr>
            <w:tcW w:w="4134" w:type="dxa"/>
            <w:tcBorders>
              <w:top w:val="single" w:sz="4" w:space="0" w:color="auto"/>
              <w:left w:val="nil"/>
              <w:bottom w:val="single" w:sz="4" w:space="0" w:color="auto"/>
              <w:right w:val="nil"/>
            </w:tcBorders>
            <w:hideMark/>
          </w:tcPr>
          <w:p w14:paraId="25A4F2B9"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NOI for the period (NIS thousands)</w:t>
            </w:r>
          </w:p>
        </w:tc>
        <w:tc>
          <w:tcPr>
            <w:tcW w:w="1436" w:type="dxa"/>
            <w:tcBorders>
              <w:top w:val="single" w:sz="4" w:space="0" w:color="auto"/>
              <w:left w:val="nil"/>
              <w:bottom w:val="single" w:sz="4" w:space="0" w:color="auto"/>
              <w:right w:val="nil"/>
            </w:tcBorders>
          </w:tcPr>
          <w:p w14:paraId="4400745B"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6" w:type="dxa"/>
            <w:tcBorders>
              <w:top w:val="single" w:sz="4" w:space="0" w:color="auto"/>
              <w:left w:val="nil"/>
              <w:bottom w:val="single" w:sz="4" w:space="0" w:color="auto"/>
              <w:right w:val="nil"/>
            </w:tcBorders>
          </w:tcPr>
          <w:p w14:paraId="607C9608"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2,145</w:t>
            </w:r>
          </w:p>
        </w:tc>
        <w:tc>
          <w:tcPr>
            <w:tcW w:w="1436" w:type="dxa"/>
            <w:tcBorders>
              <w:top w:val="single" w:sz="4" w:space="0" w:color="auto"/>
              <w:left w:val="nil"/>
              <w:bottom w:val="single" w:sz="4" w:space="0" w:color="auto"/>
              <w:right w:val="nil"/>
            </w:tcBorders>
            <w:vAlign w:val="bottom"/>
          </w:tcPr>
          <w:p w14:paraId="26949BFB"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1,958</w:t>
            </w:r>
          </w:p>
        </w:tc>
        <w:tc>
          <w:tcPr>
            <w:tcW w:w="1436" w:type="dxa"/>
            <w:tcBorders>
              <w:top w:val="single" w:sz="4" w:space="0" w:color="auto"/>
              <w:left w:val="nil"/>
              <w:bottom w:val="single" w:sz="4" w:space="0" w:color="auto"/>
              <w:right w:val="nil"/>
            </w:tcBorders>
            <w:vAlign w:val="bottom"/>
            <w:hideMark/>
          </w:tcPr>
          <w:p w14:paraId="2E30B551"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7,084</w:t>
            </w:r>
          </w:p>
        </w:tc>
      </w:tr>
      <w:tr w:rsidR="009C24EF" w:rsidRPr="00213131" w14:paraId="4764A432" w14:textId="77777777" w:rsidTr="00A65A6F">
        <w:trPr>
          <w:cantSplit/>
          <w:trHeight w:hRule="exact" w:val="306"/>
        </w:trPr>
        <w:tc>
          <w:tcPr>
            <w:tcW w:w="4134" w:type="dxa"/>
            <w:tcBorders>
              <w:top w:val="single" w:sz="4" w:space="0" w:color="auto"/>
              <w:left w:val="nil"/>
              <w:bottom w:val="single" w:sz="4" w:space="0" w:color="auto"/>
              <w:right w:val="nil"/>
            </w:tcBorders>
            <w:hideMark/>
          </w:tcPr>
          <w:p w14:paraId="697637F7"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Revaluation (losses) profits for the period (EUR  thousands)</w:t>
            </w:r>
          </w:p>
        </w:tc>
        <w:tc>
          <w:tcPr>
            <w:tcW w:w="1436" w:type="dxa"/>
            <w:tcBorders>
              <w:top w:val="single" w:sz="4" w:space="0" w:color="auto"/>
              <w:left w:val="nil"/>
              <w:bottom w:val="single" w:sz="4" w:space="0" w:color="auto"/>
              <w:right w:val="nil"/>
            </w:tcBorders>
          </w:tcPr>
          <w:p w14:paraId="774DEC7F"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6" w:type="dxa"/>
            <w:tcBorders>
              <w:top w:val="single" w:sz="4" w:space="0" w:color="auto"/>
              <w:left w:val="nil"/>
              <w:bottom w:val="single" w:sz="4" w:space="0" w:color="auto"/>
              <w:right w:val="nil"/>
            </w:tcBorders>
          </w:tcPr>
          <w:p w14:paraId="0376C850"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w:t>
            </w:r>
          </w:p>
        </w:tc>
        <w:tc>
          <w:tcPr>
            <w:tcW w:w="1436" w:type="dxa"/>
            <w:tcBorders>
              <w:top w:val="single" w:sz="4" w:space="0" w:color="auto"/>
              <w:left w:val="nil"/>
              <w:bottom w:val="single" w:sz="4" w:space="0" w:color="auto"/>
              <w:right w:val="nil"/>
            </w:tcBorders>
            <w:vAlign w:val="bottom"/>
          </w:tcPr>
          <w:p w14:paraId="7EEF686B"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w:t>
            </w:r>
          </w:p>
        </w:tc>
        <w:tc>
          <w:tcPr>
            <w:tcW w:w="1436" w:type="dxa"/>
            <w:tcBorders>
              <w:top w:val="single" w:sz="4" w:space="0" w:color="auto"/>
              <w:left w:val="nil"/>
              <w:bottom w:val="single" w:sz="4" w:space="0" w:color="auto"/>
              <w:right w:val="nil"/>
            </w:tcBorders>
            <w:vAlign w:val="bottom"/>
            <w:hideMark/>
          </w:tcPr>
          <w:p w14:paraId="4185DC63"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(69)</w:t>
            </w:r>
          </w:p>
        </w:tc>
      </w:tr>
      <w:tr w:rsidR="009C24EF" w:rsidRPr="00213131" w14:paraId="59A400F0" w14:textId="77777777" w:rsidTr="00A65A6F">
        <w:trPr>
          <w:cantSplit/>
          <w:trHeight w:hRule="exact" w:val="306"/>
        </w:trPr>
        <w:tc>
          <w:tcPr>
            <w:tcW w:w="4134" w:type="dxa"/>
            <w:tcBorders>
              <w:top w:val="single" w:sz="4" w:space="0" w:color="auto"/>
              <w:left w:val="nil"/>
              <w:bottom w:val="single" w:sz="4" w:space="0" w:color="auto"/>
              <w:right w:val="nil"/>
            </w:tcBorders>
            <w:hideMark/>
          </w:tcPr>
          <w:p w14:paraId="7AFBF105"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Average occupancy rate in the period</w:t>
            </w:r>
          </w:p>
        </w:tc>
        <w:tc>
          <w:tcPr>
            <w:tcW w:w="1436" w:type="dxa"/>
            <w:tcBorders>
              <w:top w:val="single" w:sz="4" w:space="0" w:color="auto"/>
              <w:left w:val="nil"/>
              <w:bottom w:val="single" w:sz="4" w:space="0" w:color="auto"/>
              <w:right w:val="nil"/>
            </w:tcBorders>
          </w:tcPr>
          <w:p w14:paraId="2E5A4B5F"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6" w:type="dxa"/>
            <w:tcBorders>
              <w:top w:val="single" w:sz="4" w:space="0" w:color="auto"/>
              <w:left w:val="nil"/>
              <w:bottom w:val="single" w:sz="4" w:space="0" w:color="auto"/>
              <w:right w:val="nil"/>
            </w:tcBorders>
          </w:tcPr>
          <w:p w14:paraId="590A4D68"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93.7%</w:t>
            </w:r>
          </w:p>
        </w:tc>
        <w:tc>
          <w:tcPr>
            <w:tcW w:w="1436" w:type="dxa"/>
            <w:tcBorders>
              <w:top w:val="single" w:sz="4" w:space="0" w:color="auto"/>
              <w:left w:val="nil"/>
              <w:bottom w:val="single" w:sz="4" w:space="0" w:color="auto"/>
              <w:right w:val="nil"/>
            </w:tcBorders>
            <w:vAlign w:val="bottom"/>
          </w:tcPr>
          <w:p w14:paraId="7B487D13"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92.6%</w:t>
            </w:r>
          </w:p>
        </w:tc>
        <w:tc>
          <w:tcPr>
            <w:tcW w:w="1436" w:type="dxa"/>
            <w:tcBorders>
              <w:top w:val="single" w:sz="4" w:space="0" w:color="auto"/>
              <w:left w:val="nil"/>
              <w:bottom w:val="single" w:sz="4" w:space="0" w:color="auto"/>
              <w:right w:val="nil"/>
            </w:tcBorders>
            <w:vAlign w:val="bottom"/>
            <w:hideMark/>
          </w:tcPr>
          <w:p w14:paraId="26F32A21"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92.6%</w:t>
            </w:r>
          </w:p>
        </w:tc>
      </w:tr>
      <w:tr w:rsidR="009C24EF" w:rsidRPr="00213131" w14:paraId="25478762" w14:textId="77777777" w:rsidTr="00A65A6F">
        <w:trPr>
          <w:cantSplit/>
          <w:trHeight w:hRule="exact" w:val="306"/>
        </w:trPr>
        <w:tc>
          <w:tcPr>
            <w:tcW w:w="4134" w:type="dxa"/>
            <w:tcBorders>
              <w:top w:val="single" w:sz="4" w:space="0" w:color="auto"/>
              <w:left w:val="nil"/>
              <w:bottom w:val="single" w:sz="4" w:space="0" w:color="auto"/>
              <w:right w:val="nil"/>
            </w:tcBorders>
            <w:hideMark/>
          </w:tcPr>
          <w:p w14:paraId="03C4E5EF"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Actual rate of return (%)</w:t>
            </w:r>
          </w:p>
        </w:tc>
        <w:tc>
          <w:tcPr>
            <w:tcW w:w="1436" w:type="dxa"/>
            <w:tcBorders>
              <w:top w:val="single" w:sz="4" w:space="0" w:color="auto"/>
              <w:left w:val="nil"/>
              <w:bottom w:val="single" w:sz="4" w:space="0" w:color="auto"/>
              <w:right w:val="nil"/>
            </w:tcBorders>
          </w:tcPr>
          <w:p w14:paraId="33B5C722"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6" w:type="dxa"/>
            <w:tcBorders>
              <w:top w:val="single" w:sz="4" w:space="0" w:color="auto"/>
              <w:left w:val="nil"/>
              <w:bottom w:val="single" w:sz="4" w:space="0" w:color="auto"/>
              <w:right w:val="nil"/>
            </w:tcBorders>
          </w:tcPr>
          <w:p w14:paraId="5FA53DDD"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7.2%</w:t>
            </w:r>
          </w:p>
        </w:tc>
        <w:tc>
          <w:tcPr>
            <w:tcW w:w="1436" w:type="dxa"/>
            <w:tcBorders>
              <w:top w:val="single" w:sz="4" w:space="0" w:color="auto"/>
              <w:left w:val="nil"/>
              <w:bottom w:val="single" w:sz="4" w:space="0" w:color="auto"/>
              <w:right w:val="nil"/>
            </w:tcBorders>
            <w:vAlign w:val="bottom"/>
          </w:tcPr>
          <w:p w14:paraId="6143314F"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6.6%</w:t>
            </w:r>
          </w:p>
        </w:tc>
        <w:tc>
          <w:tcPr>
            <w:tcW w:w="1436" w:type="dxa"/>
            <w:tcBorders>
              <w:top w:val="single" w:sz="4" w:space="0" w:color="auto"/>
              <w:left w:val="nil"/>
              <w:bottom w:val="single" w:sz="4" w:space="0" w:color="auto"/>
              <w:right w:val="nil"/>
            </w:tcBorders>
            <w:vAlign w:val="bottom"/>
            <w:hideMark/>
          </w:tcPr>
          <w:p w14:paraId="69C77E5C"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6.0%</w:t>
            </w:r>
          </w:p>
        </w:tc>
      </w:tr>
      <w:tr w:rsidR="009C24EF" w:rsidRPr="00213131" w14:paraId="2FBA5DC1" w14:textId="77777777" w:rsidTr="00A65A6F">
        <w:trPr>
          <w:cantSplit/>
          <w:trHeight w:hRule="exact" w:val="306"/>
        </w:trPr>
        <w:tc>
          <w:tcPr>
            <w:tcW w:w="4134" w:type="dxa"/>
            <w:tcBorders>
              <w:top w:val="single" w:sz="4" w:space="0" w:color="auto"/>
              <w:left w:val="nil"/>
              <w:bottom w:val="single" w:sz="4" w:space="0" w:color="auto"/>
              <w:right w:val="nil"/>
            </w:tcBorders>
            <w:hideMark/>
          </w:tcPr>
          <w:p w14:paraId="44218D06" w14:textId="77777777" w:rsidR="009C24EF" w:rsidRPr="00213131" w:rsidRDefault="009C24EF" w:rsidP="00A65A6F">
            <w:pPr>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 xml:space="preserve">Average rent per sq. m. (per month in NIS) </w:t>
            </w:r>
          </w:p>
        </w:tc>
        <w:tc>
          <w:tcPr>
            <w:tcW w:w="1436" w:type="dxa"/>
            <w:tcBorders>
              <w:top w:val="single" w:sz="4" w:space="0" w:color="auto"/>
              <w:left w:val="nil"/>
              <w:bottom w:val="single" w:sz="4" w:space="0" w:color="auto"/>
              <w:right w:val="nil"/>
            </w:tcBorders>
          </w:tcPr>
          <w:p w14:paraId="562BF186" w14:textId="77777777" w:rsidR="009C24EF" w:rsidRPr="00213131" w:rsidRDefault="009C24EF" w:rsidP="00A65A6F">
            <w:pPr>
              <w:spacing w:before="0" w:after="0"/>
              <w:contextualSpacing/>
              <w:jc w:val="center"/>
              <w:rPr>
                <w:rFonts w:asciiTheme="majorBidi" w:hAnsiTheme="majorBidi" w:cstheme="majorBidi"/>
                <w:sz w:val="21"/>
                <w:szCs w:val="21"/>
              </w:rPr>
            </w:pPr>
          </w:p>
        </w:tc>
        <w:tc>
          <w:tcPr>
            <w:tcW w:w="1436" w:type="dxa"/>
            <w:tcBorders>
              <w:top w:val="single" w:sz="4" w:space="0" w:color="auto"/>
              <w:left w:val="nil"/>
              <w:bottom w:val="single" w:sz="4" w:space="0" w:color="auto"/>
              <w:right w:val="nil"/>
            </w:tcBorders>
          </w:tcPr>
          <w:p w14:paraId="6EDD936B"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124.6</w:t>
            </w:r>
          </w:p>
        </w:tc>
        <w:tc>
          <w:tcPr>
            <w:tcW w:w="1436" w:type="dxa"/>
            <w:tcBorders>
              <w:top w:val="single" w:sz="4" w:space="0" w:color="auto"/>
              <w:left w:val="nil"/>
              <w:bottom w:val="single" w:sz="4" w:space="0" w:color="auto"/>
              <w:right w:val="nil"/>
            </w:tcBorders>
            <w:vAlign w:val="bottom"/>
          </w:tcPr>
          <w:p w14:paraId="456D65BC"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122.7</w:t>
            </w:r>
          </w:p>
        </w:tc>
        <w:tc>
          <w:tcPr>
            <w:tcW w:w="1436" w:type="dxa"/>
            <w:tcBorders>
              <w:top w:val="single" w:sz="4" w:space="0" w:color="auto"/>
              <w:left w:val="nil"/>
              <w:bottom w:val="single" w:sz="4" w:space="0" w:color="auto"/>
              <w:right w:val="nil"/>
            </w:tcBorders>
            <w:vAlign w:val="bottom"/>
            <w:hideMark/>
          </w:tcPr>
          <w:p w14:paraId="10E4AC80"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122.2</w:t>
            </w:r>
          </w:p>
        </w:tc>
      </w:tr>
      <w:tr w:rsidR="009C24EF" w:rsidRPr="00213131" w14:paraId="5B0520B2" w14:textId="77777777" w:rsidTr="00A65A6F">
        <w:trPr>
          <w:cantSplit/>
          <w:trHeight w:hRule="exact" w:val="306"/>
        </w:trPr>
        <w:tc>
          <w:tcPr>
            <w:tcW w:w="4134" w:type="dxa"/>
            <w:tcBorders>
              <w:top w:val="single" w:sz="4" w:space="0" w:color="auto"/>
              <w:left w:val="nil"/>
              <w:bottom w:val="single" w:sz="4" w:space="0" w:color="auto"/>
              <w:right w:val="nil"/>
            </w:tcBorders>
            <w:hideMark/>
          </w:tcPr>
          <w:p w14:paraId="1BAB71E2" w14:textId="77777777" w:rsidR="009C24EF" w:rsidRPr="00213131" w:rsidRDefault="009C24EF" w:rsidP="00A65A6F">
            <w:pPr>
              <w:tabs>
                <w:tab w:val="center" w:pos="4153"/>
                <w:tab w:val="right" w:pos="7936"/>
                <w:tab w:val="right" w:pos="8220"/>
                <w:tab w:val="right" w:pos="8306"/>
              </w:tabs>
              <w:spacing w:before="0" w:after="0"/>
              <w:contextualSpacing/>
              <w:jc w:val="left"/>
              <w:rPr>
                <w:rFonts w:asciiTheme="majorBidi" w:eastAsia="Times New Roman" w:hAnsiTheme="majorBidi" w:cstheme="majorBidi"/>
                <w:sz w:val="21"/>
                <w:szCs w:val="21"/>
              </w:rPr>
            </w:pPr>
            <w:r w:rsidRPr="00213131">
              <w:rPr>
                <w:rFonts w:asciiTheme="majorBidi" w:hAnsiTheme="majorBidi" w:cstheme="majorBidi"/>
                <w:sz w:val="21"/>
              </w:rPr>
              <w:t xml:space="preserve">Average rent per </w:t>
            </w:r>
            <w:proofErr w:type="spellStart"/>
            <w:r w:rsidRPr="00213131">
              <w:rPr>
                <w:rFonts w:asciiTheme="majorBidi" w:hAnsiTheme="majorBidi" w:cstheme="majorBidi"/>
                <w:sz w:val="21"/>
              </w:rPr>
              <w:t>sq.m</w:t>
            </w:r>
            <w:proofErr w:type="spellEnd"/>
            <w:r w:rsidRPr="00213131">
              <w:rPr>
                <w:rFonts w:asciiTheme="majorBidi" w:hAnsiTheme="majorBidi" w:cstheme="majorBidi"/>
                <w:sz w:val="21"/>
              </w:rPr>
              <w:t>. in contracts signed in the period (per month in NIS)</w:t>
            </w:r>
          </w:p>
        </w:tc>
        <w:tc>
          <w:tcPr>
            <w:tcW w:w="1436" w:type="dxa"/>
            <w:tcBorders>
              <w:top w:val="single" w:sz="4" w:space="0" w:color="auto"/>
              <w:left w:val="nil"/>
              <w:bottom w:val="single" w:sz="4" w:space="0" w:color="auto"/>
              <w:right w:val="nil"/>
            </w:tcBorders>
          </w:tcPr>
          <w:p w14:paraId="1B3CAA7E" w14:textId="77777777" w:rsidR="009C24EF" w:rsidRPr="00213131" w:rsidRDefault="009C24EF" w:rsidP="00A65A6F">
            <w:pPr>
              <w:spacing w:before="0" w:after="0"/>
              <w:contextualSpacing/>
              <w:jc w:val="center"/>
              <w:rPr>
                <w:rFonts w:asciiTheme="majorBidi" w:hAnsiTheme="majorBidi" w:cstheme="majorBidi"/>
                <w:sz w:val="21"/>
                <w:szCs w:val="21"/>
              </w:rPr>
            </w:pPr>
          </w:p>
        </w:tc>
        <w:tc>
          <w:tcPr>
            <w:tcW w:w="1436" w:type="dxa"/>
            <w:tcBorders>
              <w:top w:val="single" w:sz="4" w:space="0" w:color="auto"/>
              <w:left w:val="nil"/>
              <w:bottom w:val="single" w:sz="4" w:space="0" w:color="auto"/>
              <w:right w:val="nil"/>
            </w:tcBorders>
          </w:tcPr>
          <w:p w14:paraId="016570E1"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94</w:t>
            </w:r>
          </w:p>
        </w:tc>
        <w:tc>
          <w:tcPr>
            <w:tcW w:w="1436" w:type="dxa"/>
            <w:tcBorders>
              <w:top w:val="single" w:sz="4" w:space="0" w:color="auto"/>
              <w:left w:val="nil"/>
              <w:bottom w:val="single" w:sz="4" w:space="0" w:color="auto"/>
              <w:right w:val="nil"/>
            </w:tcBorders>
            <w:vAlign w:val="bottom"/>
          </w:tcPr>
          <w:p w14:paraId="2BA817B2"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w:t>
            </w:r>
          </w:p>
        </w:tc>
        <w:tc>
          <w:tcPr>
            <w:tcW w:w="1436" w:type="dxa"/>
            <w:tcBorders>
              <w:top w:val="single" w:sz="4" w:space="0" w:color="auto"/>
              <w:left w:val="nil"/>
              <w:bottom w:val="single" w:sz="4" w:space="0" w:color="auto"/>
              <w:right w:val="nil"/>
            </w:tcBorders>
            <w:vAlign w:val="bottom"/>
            <w:hideMark/>
          </w:tcPr>
          <w:p w14:paraId="6AA1C4BB"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82</w:t>
            </w:r>
          </w:p>
        </w:tc>
      </w:tr>
    </w:tbl>
    <w:p w14:paraId="6EC43E41" w14:textId="77777777" w:rsidR="009C24EF" w:rsidRPr="00213131" w:rsidRDefault="009C24EF" w:rsidP="009C24EF">
      <w:pPr>
        <w:tabs>
          <w:tab w:val="right" w:pos="7936"/>
          <w:tab w:val="right" w:pos="8220"/>
        </w:tabs>
        <w:spacing w:before="0" w:after="200" w:line="240" w:lineRule="auto"/>
        <w:rPr>
          <w:rFonts w:asciiTheme="majorBidi" w:hAnsiTheme="majorBidi" w:cstheme="majorBidi"/>
          <w:sz w:val="21"/>
          <w:szCs w:val="21"/>
          <w:vertAlign w:val="subscript"/>
          <w:rtl/>
        </w:rPr>
      </w:pPr>
    </w:p>
    <w:tbl>
      <w:tblPr>
        <w:tblW w:w="9885" w:type="dxa"/>
        <w:tblInd w:w="110" w:type="dxa"/>
        <w:tblLayout w:type="fixed"/>
        <w:tblLook w:val="04A0" w:firstRow="1" w:lastRow="0" w:firstColumn="1" w:lastColumn="0" w:noHBand="0" w:noVBand="1"/>
      </w:tblPr>
      <w:tblGrid>
        <w:gridCol w:w="4137"/>
        <w:gridCol w:w="1437"/>
        <w:gridCol w:w="1437"/>
        <w:gridCol w:w="1437"/>
        <w:gridCol w:w="1437"/>
      </w:tblGrid>
      <w:tr w:rsidR="009C24EF" w:rsidRPr="00213131" w14:paraId="22D95FE4" w14:textId="77777777" w:rsidTr="00A65A6F">
        <w:trPr>
          <w:cantSplit/>
          <w:trHeight w:hRule="exact" w:val="794"/>
          <w:tblHeader/>
        </w:trPr>
        <w:tc>
          <w:tcPr>
            <w:tcW w:w="4137" w:type="dxa"/>
            <w:shd w:val="clear" w:color="auto" w:fill="000031"/>
          </w:tcPr>
          <w:p w14:paraId="79952B89" w14:textId="77777777" w:rsidR="009C24EF" w:rsidRPr="00213131" w:rsidRDefault="009C24EF" w:rsidP="00A65A6F">
            <w:pPr>
              <w:keepNext/>
              <w:tabs>
                <w:tab w:val="center" w:pos="599"/>
                <w:tab w:val="num" w:pos="707"/>
              </w:tabs>
              <w:spacing w:before="144" w:after="144"/>
              <w:jc w:val="left"/>
              <w:rPr>
                <w:rFonts w:asciiTheme="majorBidi" w:eastAsia="Times New Roman" w:hAnsiTheme="majorBidi" w:cstheme="majorBidi"/>
                <w:b/>
                <w:bCs/>
                <w:color w:val="FFFFFF" w:themeColor="background1"/>
                <w:sz w:val="21"/>
                <w:szCs w:val="21"/>
                <w:u w:val="single"/>
              </w:rPr>
            </w:pPr>
            <w:r w:rsidRPr="00213131">
              <w:rPr>
                <w:rFonts w:asciiTheme="majorBidi" w:hAnsiTheme="majorBidi" w:cstheme="majorBidi"/>
                <w:b/>
                <w:color w:val="FFFFFF" w:themeColor="background1"/>
                <w:sz w:val="21"/>
                <w:u w:val="single"/>
              </w:rPr>
              <w:t>G City Rishon Le-Zion</w:t>
            </w:r>
          </w:p>
          <w:p w14:paraId="6AB42492" w14:textId="77777777" w:rsidR="009C24EF" w:rsidRPr="00213131" w:rsidRDefault="009C24EF" w:rsidP="00A65A6F">
            <w:pPr>
              <w:keepNext/>
              <w:tabs>
                <w:tab w:val="right" w:pos="7936"/>
                <w:tab w:val="right" w:pos="8220"/>
              </w:tabs>
              <w:spacing w:line="240" w:lineRule="auto"/>
              <w:jc w:val="center"/>
              <w:rPr>
                <w:rFonts w:asciiTheme="majorBidi" w:eastAsia="Times New Roman" w:hAnsiTheme="majorBidi" w:cstheme="majorBidi"/>
                <w:b/>
                <w:bCs/>
                <w:color w:val="FFFFFF" w:themeColor="background1"/>
                <w:sz w:val="21"/>
                <w:szCs w:val="21"/>
              </w:rPr>
            </w:pPr>
          </w:p>
        </w:tc>
        <w:tc>
          <w:tcPr>
            <w:tcW w:w="1437" w:type="dxa"/>
            <w:shd w:val="clear" w:color="auto" w:fill="000031"/>
          </w:tcPr>
          <w:p w14:paraId="1BEBF458"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tl/>
              </w:rPr>
            </w:pPr>
          </w:p>
        </w:tc>
        <w:tc>
          <w:tcPr>
            <w:tcW w:w="1437" w:type="dxa"/>
            <w:shd w:val="clear" w:color="auto" w:fill="000031"/>
          </w:tcPr>
          <w:p w14:paraId="46099EBF"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Q2 2024</w:t>
            </w:r>
          </w:p>
        </w:tc>
        <w:tc>
          <w:tcPr>
            <w:tcW w:w="1437" w:type="dxa"/>
            <w:shd w:val="clear" w:color="auto" w:fill="000031"/>
            <w:hideMark/>
          </w:tcPr>
          <w:p w14:paraId="7A1BE9DD"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Q1 2024</w:t>
            </w:r>
          </w:p>
        </w:tc>
        <w:tc>
          <w:tcPr>
            <w:tcW w:w="1437" w:type="dxa"/>
            <w:shd w:val="clear" w:color="auto" w:fill="000031"/>
            <w:hideMark/>
          </w:tcPr>
          <w:p w14:paraId="1BE7B361"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Year 2023</w:t>
            </w:r>
          </w:p>
        </w:tc>
      </w:tr>
      <w:tr w:rsidR="009C24EF" w:rsidRPr="00213131" w14:paraId="629F6F10" w14:textId="77777777" w:rsidTr="00A65A6F">
        <w:trPr>
          <w:cantSplit/>
          <w:trHeight w:hRule="exact" w:val="306"/>
        </w:trPr>
        <w:tc>
          <w:tcPr>
            <w:tcW w:w="4137" w:type="dxa"/>
            <w:tcBorders>
              <w:top w:val="nil"/>
              <w:left w:val="nil"/>
              <w:bottom w:val="single" w:sz="4" w:space="0" w:color="auto"/>
              <w:right w:val="nil"/>
            </w:tcBorders>
            <w:hideMark/>
          </w:tcPr>
          <w:p w14:paraId="08406488"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Value of partially income generating property (NIS thousand)</w:t>
            </w:r>
          </w:p>
        </w:tc>
        <w:tc>
          <w:tcPr>
            <w:tcW w:w="1437" w:type="dxa"/>
            <w:tcBorders>
              <w:top w:val="nil"/>
              <w:left w:val="nil"/>
              <w:bottom w:val="single" w:sz="4" w:space="0" w:color="auto"/>
              <w:right w:val="nil"/>
            </w:tcBorders>
          </w:tcPr>
          <w:p w14:paraId="295D5973" w14:textId="77777777" w:rsidR="009C24EF" w:rsidRPr="00213131" w:rsidRDefault="009C24EF" w:rsidP="00A65A6F">
            <w:pPr>
              <w:keepNext/>
              <w:spacing w:before="0" w:after="0"/>
              <w:contextualSpacing/>
              <w:jc w:val="center"/>
              <w:rPr>
                <w:rFonts w:asciiTheme="majorBidi" w:hAnsiTheme="majorBidi" w:cstheme="majorBidi"/>
                <w:sz w:val="21"/>
                <w:szCs w:val="21"/>
                <w:rtl/>
              </w:rPr>
            </w:pPr>
          </w:p>
        </w:tc>
        <w:tc>
          <w:tcPr>
            <w:tcW w:w="1437" w:type="dxa"/>
            <w:tcBorders>
              <w:top w:val="nil"/>
              <w:left w:val="nil"/>
              <w:bottom w:val="single" w:sz="4" w:space="0" w:color="auto"/>
              <w:right w:val="nil"/>
            </w:tcBorders>
          </w:tcPr>
          <w:p w14:paraId="7D3D5269"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1,513,155</w:t>
            </w:r>
          </w:p>
        </w:tc>
        <w:tc>
          <w:tcPr>
            <w:tcW w:w="1437" w:type="dxa"/>
            <w:tcBorders>
              <w:top w:val="nil"/>
              <w:left w:val="nil"/>
              <w:bottom w:val="single" w:sz="4" w:space="0" w:color="auto"/>
              <w:right w:val="nil"/>
            </w:tcBorders>
            <w:shd w:val="clear" w:color="auto" w:fill="auto"/>
            <w:vAlign w:val="bottom"/>
          </w:tcPr>
          <w:p w14:paraId="348F8AD8" w14:textId="77777777" w:rsidR="009C24EF" w:rsidRPr="00213131" w:rsidRDefault="009C24EF" w:rsidP="00A65A6F">
            <w:pPr>
              <w:keepNext/>
              <w:spacing w:before="0" w:after="0"/>
              <w:contextualSpacing/>
              <w:jc w:val="center"/>
              <w:rPr>
                <w:rFonts w:asciiTheme="majorBidi" w:hAnsiTheme="majorBidi" w:cstheme="majorBidi"/>
                <w:sz w:val="21"/>
                <w:szCs w:val="21"/>
                <w:highlight w:val="yellow"/>
              </w:rPr>
            </w:pPr>
            <w:r w:rsidRPr="00213131">
              <w:rPr>
                <w:rFonts w:asciiTheme="majorBidi" w:hAnsiTheme="majorBidi" w:cstheme="majorBidi"/>
                <w:sz w:val="21"/>
              </w:rPr>
              <w:t>1,475,776</w:t>
            </w:r>
          </w:p>
        </w:tc>
        <w:tc>
          <w:tcPr>
            <w:tcW w:w="1437" w:type="dxa"/>
            <w:tcBorders>
              <w:top w:val="nil"/>
              <w:left w:val="nil"/>
              <w:bottom w:val="single" w:sz="4" w:space="0" w:color="auto"/>
              <w:right w:val="nil"/>
            </w:tcBorders>
            <w:vAlign w:val="bottom"/>
            <w:hideMark/>
          </w:tcPr>
          <w:p w14:paraId="01CE4E53"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1,472,670</w:t>
            </w:r>
          </w:p>
        </w:tc>
      </w:tr>
      <w:tr w:rsidR="009C24EF" w:rsidRPr="00213131" w14:paraId="0552297A" w14:textId="77777777" w:rsidTr="00A65A6F">
        <w:trPr>
          <w:cantSplit/>
          <w:trHeight w:hRule="exact" w:val="306"/>
        </w:trPr>
        <w:tc>
          <w:tcPr>
            <w:tcW w:w="4137" w:type="dxa"/>
            <w:tcBorders>
              <w:top w:val="single" w:sz="4" w:space="0" w:color="auto"/>
              <w:left w:val="nil"/>
              <w:bottom w:val="single" w:sz="4" w:space="0" w:color="auto"/>
              <w:right w:val="nil"/>
            </w:tcBorders>
            <w:hideMark/>
          </w:tcPr>
          <w:p w14:paraId="19749966"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Value of the lands reserves property (NIS thousand)</w:t>
            </w:r>
          </w:p>
        </w:tc>
        <w:tc>
          <w:tcPr>
            <w:tcW w:w="1437" w:type="dxa"/>
            <w:tcBorders>
              <w:top w:val="single" w:sz="4" w:space="0" w:color="auto"/>
              <w:left w:val="nil"/>
              <w:bottom w:val="single" w:sz="4" w:space="0" w:color="auto"/>
              <w:right w:val="nil"/>
            </w:tcBorders>
          </w:tcPr>
          <w:p w14:paraId="292DADB5" w14:textId="77777777" w:rsidR="009C24EF" w:rsidRPr="00213131" w:rsidRDefault="009C24EF" w:rsidP="00A65A6F">
            <w:pPr>
              <w:keepNext/>
              <w:spacing w:before="0" w:after="0"/>
              <w:contextualSpacing/>
              <w:jc w:val="center"/>
              <w:rPr>
                <w:rFonts w:asciiTheme="majorBidi" w:hAnsiTheme="majorBidi" w:cstheme="majorBidi"/>
                <w:sz w:val="21"/>
                <w:szCs w:val="21"/>
                <w:rtl/>
              </w:rPr>
            </w:pPr>
          </w:p>
        </w:tc>
        <w:tc>
          <w:tcPr>
            <w:tcW w:w="1437" w:type="dxa"/>
            <w:tcBorders>
              <w:top w:val="single" w:sz="4" w:space="0" w:color="auto"/>
              <w:left w:val="nil"/>
              <w:bottom w:val="single" w:sz="4" w:space="0" w:color="auto"/>
              <w:right w:val="nil"/>
            </w:tcBorders>
          </w:tcPr>
          <w:p w14:paraId="586DAF73"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406,708</w:t>
            </w:r>
          </w:p>
        </w:tc>
        <w:tc>
          <w:tcPr>
            <w:tcW w:w="1437" w:type="dxa"/>
            <w:tcBorders>
              <w:top w:val="single" w:sz="4" w:space="0" w:color="auto"/>
              <w:left w:val="nil"/>
              <w:bottom w:val="single" w:sz="4" w:space="0" w:color="auto"/>
              <w:right w:val="nil"/>
            </w:tcBorders>
            <w:shd w:val="clear" w:color="auto" w:fill="auto"/>
            <w:vAlign w:val="bottom"/>
          </w:tcPr>
          <w:p w14:paraId="02F0BF8C" w14:textId="77777777" w:rsidR="009C24EF" w:rsidRPr="00213131" w:rsidRDefault="009C24EF" w:rsidP="00A65A6F">
            <w:pPr>
              <w:keepNext/>
              <w:spacing w:before="0" w:after="0"/>
              <w:contextualSpacing/>
              <w:jc w:val="center"/>
              <w:rPr>
                <w:rFonts w:asciiTheme="majorBidi" w:hAnsiTheme="majorBidi" w:cstheme="majorBidi"/>
                <w:sz w:val="21"/>
                <w:szCs w:val="21"/>
                <w:highlight w:val="yellow"/>
              </w:rPr>
            </w:pPr>
            <w:r w:rsidRPr="00213131">
              <w:rPr>
                <w:rFonts w:asciiTheme="majorBidi" w:hAnsiTheme="majorBidi" w:cstheme="majorBidi"/>
                <w:sz w:val="21"/>
              </w:rPr>
              <w:t>392,485</w:t>
            </w:r>
          </w:p>
        </w:tc>
        <w:tc>
          <w:tcPr>
            <w:tcW w:w="1437" w:type="dxa"/>
            <w:tcBorders>
              <w:top w:val="single" w:sz="4" w:space="0" w:color="auto"/>
              <w:left w:val="nil"/>
              <w:bottom w:val="single" w:sz="4" w:space="0" w:color="auto"/>
              <w:right w:val="nil"/>
            </w:tcBorders>
            <w:vAlign w:val="bottom"/>
            <w:hideMark/>
          </w:tcPr>
          <w:p w14:paraId="68F11F7F"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375,330</w:t>
            </w:r>
          </w:p>
        </w:tc>
      </w:tr>
      <w:tr w:rsidR="009C24EF" w:rsidRPr="00213131" w14:paraId="768B7418" w14:textId="77777777" w:rsidTr="00A65A6F">
        <w:trPr>
          <w:cantSplit/>
          <w:trHeight w:hRule="exact" w:val="306"/>
        </w:trPr>
        <w:tc>
          <w:tcPr>
            <w:tcW w:w="4137" w:type="dxa"/>
            <w:tcBorders>
              <w:top w:val="single" w:sz="4" w:space="0" w:color="auto"/>
              <w:left w:val="nil"/>
              <w:bottom w:val="single" w:sz="4" w:space="0" w:color="auto"/>
              <w:right w:val="nil"/>
            </w:tcBorders>
            <w:hideMark/>
          </w:tcPr>
          <w:p w14:paraId="3C0DEBBC"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Total value of the property (NIS thousand)</w:t>
            </w:r>
          </w:p>
        </w:tc>
        <w:tc>
          <w:tcPr>
            <w:tcW w:w="1437" w:type="dxa"/>
            <w:tcBorders>
              <w:top w:val="single" w:sz="4" w:space="0" w:color="auto"/>
              <w:left w:val="nil"/>
              <w:bottom w:val="single" w:sz="4" w:space="0" w:color="auto"/>
              <w:right w:val="nil"/>
            </w:tcBorders>
          </w:tcPr>
          <w:p w14:paraId="7D1970E5" w14:textId="77777777" w:rsidR="009C24EF" w:rsidRPr="00213131" w:rsidRDefault="009C24EF" w:rsidP="00A65A6F">
            <w:pPr>
              <w:keepNext/>
              <w:spacing w:before="0" w:after="0"/>
              <w:contextualSpacing/>
              <w:jc w:val="center"/>
              <w:rPr>
                <w:rFonts w:asciiTheme="majorBidi" w:hAnsiTheme="majorBidi" w:cstheme="majorBidi"/>
                <w:sz w:val="21"/>
                <w:szCs w:val="21"/>
                <w:rtl/>
              </w:rPr>
            </w:pPr>
          </w:p>
        </w:tc>
        <w:tc>
          <w:tcPr>
            <w:tcW w:w="1437" w:type="dxa"/>
            <w:tcBorders>
              <w:top w:val="single" w:sz="4" w:space="0" w:color="auto"/>
              <w:left w:val="nil"/>
              <w:bottom w:val="single" w:sz="4" w:space="0" w:color="auto"/>
              <w:right w:val="nil"/>
            </w:tcBorders>
          </w:tcPr>
          <w:p w14:paraId="540D0D15"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1,919,863</w:t>
            </w:r>
          </w:p>
        </w:tc>
        <w:tc>
          <w:tcPr>
            <w:tcW w:w="1437" w:type="dxa"/>
            <w:tcBorders>
              <w:top w:val="single" w:sz="4" w:space="0" w:color="auto"/>
              <w:left w:val="nil"/>
              <w:bottom w:val="single" w:sz="4" w:space="0" w:color="auto"/>
              <w:right w:val="nil"/>
            </w:tcBorders>
            <w:shd w:val="clear" w:color="auto" w:fill="auto"/>
            <w:vAlign w:val="bottom"/>
          </w:tcPr>
          <w:p w14:paraId="13BBBD44" w14:textId="77777777" w:rsidR="009C24EF" w:rsidRPr="00213131" w:rsidRDefault="009C24EF" w:rsidP="00A65A6F">
            <w:pPr>
              <w:keepNext/>
              <w:spacing w:before="0" w:after="0"/>
              <w:contextualSpacing/>
              <w:jc w:val="center"/>
              <w:rPr>
                <w:rFonts w:asciiTheme="majorBidi" w:hAnsiTheme="majorBidi" w:cstheme="majorBidi"/>
                <w:sz w:val="21"/>
                <w:szCs w:val="21"/>
                <w:highlight w:val="yellow"/>
              </w:rPr>
            </w:pPr>
            <w:r w:rsidRPr="00213131">
              <w:rPr>
                <w:rFonts w:asciiTheme="majorBidi" w:hAnsiTheme="majorBidi" w:cstheme="majorBidi"/>
                <w:sz w:val="21"/>
              </w:rPr>
              <w:t>1,868,260</w:t>
            </w:r>
          </w:p>
        </w:tc>
        <w:tc>
          <w:tcPr>
            <w:tcW w:w="1437" w:type="dxa"/>
            <w:tcBorders>
              <w:top w:val="single" w:sz="4" w:space="0" w:color="auto"/>
              <w:left w:val="nil"/>
              <w:bottom w:val="single" w:sz="4" w:space="0" w:color="auto"/>
              <w:right w:val="nil"/>
            </w:tcBorders>
            <w:vAlign w:val="bottom"/>
            <w:hideMark/>
          </w:tcPr>
          <w:p w14:paraId="24589CFE"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1,848,000</w:t>
            </w:r>
          </w:p>
        </w:tc>
      </w:tr>
      <w:tr w:rsidR="009C24EF" w:rsidRPr="00213131" w14:paraId="58402E9B" w14:textId="77777777" w:rsidTr="00A65A6F">
        <w:trPr>
          <w:cantSplit/>
          <w:trHeight w:hRule="exact" w:val="306"/>
        </w:trPr>
        <w:tc>
          <w:tcPr>
            <w:tcW w:w="4137" w:type="dxa"/>
            <w:tcBorders>
              <w:top w:val="single" w:sz="4" w:space="0" w:color="auto"/>
              <w:left w:val="nil"/>
              <w:bottom w:val="single" w:sz="4" w:space="0" w:color="auto"/>
              <w:right w:val="nil"/>
            </w:tcBorders>
            <w:hideMark/>
          </w:tcPr>
          <w:p w14:paraId="5EF1A2EB"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 xml:space="preserve">NOI for the period (NIS thousands) </w:t>
            </w:r>
            <w:r w:rsidRPr="00213131">
              <w:rPr>
                <w:rFonts w:asciiTheme="majorBidi" w:hAnsiTheme="majorBidi" w:cstheme="majorBidi"/>
                <w:sz w:val="21"/>
                <w:vertAlign w:val="superscript"/>
              </w:rPr>
              <w:t>1</w:t>
            </w:r>
          </w:p>
        </w:tc>
        <w:tc>
          <w:tcPr>
            <w:tcW w:w="1437" w:type="dxa"/>
            <w:tcBorders>
              <w:top w:val="single" w:sz="4" w:space="0" w:color="auto"/>
              <w:left w:val="nil"/>
              <w:bottom w:val="single" w:sz="4" w:space="0" w:color="auto"/>
              <w:right w:val="nil"/>
            </w:tcBorders>
          </w:tcPr>
          <w:p w14:paraId="77040847" w14:textId="77777777" w:rsidR="009C24EF" w:rsidRPr="00213131" w:rsidRDefault="009C24EF" w:rsidP="00A65A6F">
            <w:pPr>
              <w:keepNext/>
              <w:spacing w:before="0" w:after="0"/>
              <w:contextualSpacing/>
              <w:jc w:val="center"/>
              <w:rPr>
                <w:rFonts w:asciiTheme="majorBidi" w:hAnsiTheme="majorBidi" w:cstheme="majorBidi"/>
                <w:sz w:val="21"/>
                <w:szCs w:val="21"/>
                <w:rtl/>
              </w:rPr>
            </w:pPr>
          </w:p>
        </w:tc>
        <w:tc>
          <w:tcPr>
            <w:tcW w:w="1437" w:type="dxa"/>
            <w:tcBorders>
              <w:top w:val="single" w:sz="4" w:space="0" w:color="auto"/>
              <w:left w:val="nil"/>
              <w:bottom w:val="single" w:sz="4" w:space="0" w:color="auto"/>
              <w:right w:val="nil"/>
            </w:tcBorders>
          </w:tcPr>
          <w:p w14:paraId="70BE961C"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24,179</w:t>
            </w:r>
          </w:p>
        </w:tc>
        <w:tc>
          <w:tcPr>
            <w:tcW w:w="1437" w:type="dxa"/>
            <w:tcBorders>
              <w:top w:val="single" w:sz="4" w:space="0" w:color="auto"/>
              <w:left w:val="nil"/>
              <w:bottom w:val="single" w:sz="4" w:space="0" w:color="auto"/>
              <w:right w:val="nil"/>
            </w:tcBorders>
            <w:shd w:val="clear" w:color="auto" w:fill="auto"/>
            <w:vAlign w:val="bottom"/>
          </w:tcPr>
          <w:p w14:paraId="5A919600" w14:textId="77777777" w:rsidR="009C24EF" w:rsidRPr="00213131" w:rsidRDefault="009C24EF" w:rsidP="00A65A6F">
            <w:pPr>
              <w:keepNext/>
              <w:spacing w:before="0" w:after="0"/>
              <w:contextualSpacing/>
              <w:jc w:val="center"/>
              <w:rPr>
                <w:rFonts w:asciiTheme="majorBidi" w:hAnsiTheme="majorBidi" w:cstheme="majorBidi"/>
                <w:sz w:val="21"/>
                <w:szCs w:val="21"/>
                <w:highlight w:val="yellow"/>
              </w:rPr>
            </w:pPr>
            <w:r w:rsidRPr="00213131">
              <w:rPr>
                <w:rFonts w:asciiTheme="majorBidi" w:hAnsiTheme="majorBidi" w:cstheme="majorBidi"/>
                <w:sz w:val="21"/>
              </w:rPr>
              <w:t>22,961</w:t>
            </w:r>
          </w:p>
        </w:tc>
        <w:tc>
          <w:tcPr>
            <w:tcW w:w="1437" w:type="dxa"/>
            <w:tcBorders>
              <w:top w:val="single" w:sz="4" w:space="0" w:color="auto"/>
              <w:left w:val="nil"/>
              <w:bottom w:val="single" w:sz="4" w:space="0" w:color="auto"/>
              <w:right w:val="nil"/>
            </w:tcBorders>
            <w:vAlign w:val="bottom"/>
            <w:hideMark/>
          </w:tcPr>
          <w:p w14:paraId="1E345226"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87,689</w:t>
            </w:r>
          </w:p>
        </w:tc>
      </w:tr>
      <w:tr w:rsidR="009C24EF" w:rsidRPr="00213131" w14:paraId="0D3524A2" w14:textId="77777777" w:rsidTr="00A65A6F">
        <w:trPr>
          <w:cantSplit/>
          <w:trHeight w:hRule="exact" w:val="306"/>
        </w:trPr>
        <w:tc>
          <w:tcPr>
            <w:tcW w:w="4137" w:type="dxa"/>
            <w:tcBorders>
              <w:top w:val="single" w:sz="4" w:space="0" w:color="auto"/>
              <w:left w:val="nil"/>
              <w:bottom w:val="single" w:sz="4" w:space="0" w:color="auto"/>
              <w:right w:val="nil"/>
            </w:tcBorders>
            <w:hideMark/>
          </w:tcPr>
          <w:p w14:paraId="3148CFFE"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Revaluation (losses) profits for the period (EUR  thousands)</w:t>
            </w:r>
          </w:p>
        </w:tc>
        <w:tc>
          <w:tcPr>
            <w:tcW w:w="1437" w:type="dxa"/>
            <w:tcBorders>
              <w:top w:val="single" w:sz="4" w:space="0" w:color="auto"/>
              <w:left w:val="nil"/>
              <w:bottom w:val="single" w:sz="4" w:space="0" w:color="auto"/>
              <w:right w:val="nil"/>
            </w:tcBorders>
          </w:tcPr>
          <w:p w14:paraId="51601B63" w14:textId="77777777" w:rsidR="009C24EF" w:rsidRPr="00213131" w:rsidRDefault="009C24EF" w:rsidP="00A65A6F">
            <w:pPr>
              <w:keepNext/>
              <w:spacing w:before="0" w:after="0"/>
              <w:contextualSpacing/>
              <w:jc w:val="center"/>
              <w:rPr>
                <w:rFonts w:asciiTheme="majorBidi" w:hAnsiTheme="majorBidi" w:cstheme="majorBidi"/>
                <w:sz w:val="21"/>
                <w:szCs w:val="21"/>
                <w:rtl/>
              </w:rPr>
            </w:pPr>
          </w:p>
        </w:tc>
        <w:tc>
          <w:tcPr>
            <w:tcW w:w="1437" w:type="dxa"/>
            <w:tcBorders>
              <w:top w:val="single" w:sz="4" w:space="0" w:color="auto"/>
              <w:left w:val="nil"/>
              <w:bottom w:val="single" w:sz="4" w:space="0" w:color="auto"/>
              <w:right w:val="nil"/>
            </w:tcBorders>
          </w:tcPr>
          <w:p w14:paraId="6F07962E"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25,892</w:t>
            </w:r>
          </w:p>
        </w:tc>
        <w:tc>
          <w:tcPr>
            <w:tcW w:w="1437" w:type="dxa"/>
            <w:tcBorders>
              <w:top w:val="single" w:sz="4" w:space="0" w:color="auto"/>
              <w:left w:val="nil"/>
              <w:bottom w:val="single" w:sz="4" w:space="0" w:color="auto"/>
              <w:right w:val="nil"/>
            </w:tcBorders>
            <w:shd w:val="clear" w:color="auto" w:fill="auto"/>
            <w:vAlign w:val="bottom"/>
          </w:tcPr>
          <w:p w14:paraId="11194E29" w14:textId="77777777" w:rsidR="009C24EF" w:rsidRPr="00213131" w:rsidRDefault="009C24EF" w:rsidP="00A65A6F">
            <w:pPr>
              <w:keepNext/>
              <w:spacing w:before="0" w:after="0"/>
              <w:contextualSpacing/>
              <w:jc w:val="center"/>
              <w:rPr>
                <w:rFonts w:asciiTheme="majorBidi" w:hAnsiTheme="majorBidi" w:cstheme="majorBidi"/>
                <w:sz w:val="21"/>
                <w:szCs w:val="21"/>
                <w:highlight w:val="yellow"/>
              </w:rPr>
            </w:pPr>
            <w:r w:rsidRPr="00213131">
              <w:rPr>
                <w:rFonts w:asciiTheme="majorBidi" w:hAnsiTheme="majorBidi" w:cstheme="majorBidi"/>
                <w:sz w:val="21"/>
              </w:rPr>
              <w:t>-</w:t>
            </w:r>
          </w:p>
        </w:tc>
        <w:tc>
          <w:tcPr>
            <w:tcW w:w="1437" w:type="dxa"/>
            <w:tcBorders>
              <w:top w:val="single" w:sz="4" w:space="0" w:color="auto"/>
              <w:left w:val="nil"/>
              <w:bottom w:val="single" w:sz="4" w:space="0" w:color="auto"/>
              <w:right w:val="nil"/>
            </w:tcBorders>
            <w:vAlign w:val="bottom"/>
            <w:hideMark/>
          </w:tcPr>
          <w:p w14:paraId="12D840A8"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60,574</w:t>
            </w:r>
          </w:p>
        </w:tc>
      </w:tr>
      <w:tr w:rsidR="009C24EF" w:rsidRPr="00213131" w14:paraId="0D6C1D70" w14:textId="77777777" w:rsidTr="00A65A6F">
        <w:trPr>
          <w:cantSplit/>
          <w:trHeight w:hRule="exact" w:val="306"/>
        </w:trPr>
        <w:tc>
          <w:tcPr>
            <w:tcW w:w="4137" w:type="dxa"/>
            <w:tcBorders>
              <w:top w:val="single" w:sz="4" w:space="0" w:color="auto"/>
              <w:left w:val="nil"/>
              <w:bottom w:val="single" w:sz="4" w:space="0" w:color="auto"/>
              <w:right w:val="nil"/>
            </w:tcBorders>
            <w:hideMark/>
          </w:tcPr>
          <w:p w14:paraId="4ACB05C9"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Average occupancy rate in the period</w:t>
            </w:r>
          </w:p>
        </w:tc>
        <w:tc>
          <w:tcPr>
            <w:tcW w:w="1437" w:type="dxa"/>
            <w:tcBorders>
              <w:top w:val="single" w:sz="4" w:space="0" w:color="auto"/>
              <w:left w:val="nil"/>
              <w:bottom w:val="single" w:sz="4" w:space="0" w:color="auto"/>
              <w:right w:val="nil"/>
            </w:tcBorders>
          </w:tcPr>
          <w:p w14:paraId="69A9CCEE" w14:textId="77777777" w:rsidR="009C24EF" w:rsidRPr="00213131" w:rsidRDefault="009C24EF" w:rsidP="00A65A6F">
            <w:pPr>
              <w:keepNext/>
              <w:spacing w:before="0" w:after="0"/>
              <w:contextualSpacing/>
              <w:jc w:val="center"/>
              <w:rPr>
                <w:rFonts w:asciiTheme="majorBidi" w:hAnsiTheme="majorBidi" w:cstheme="majorBidi"/>
                <w:sz w:val="21"/>
                <w:szCs w:val="21"/>
                <w:rtl/>
              </w:rPr>
            </w:pPr>
          </w:p>
        </w:tc>
        <w:tc>
          <w:tcPr>
            <w:tcW w:w="1437" w:type="dxa"/>
            <w:tcBorders>
              <w:top w:val="single" w:sz="4" w:space="0" w:color="auto"/>
              <w:left w:val="nil"/>
              <w:bottom w:val="single" w:sz="4" w:space="0" w:color="auto"/>
              <w:right w:val="nil"/>
            </w:tcBorders>
          </w:tcPr>
          <w:p w14:paraId="3227A94B"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98.5%</w:t>
            </w:r>
          </w:p>
        </w:tc>
        <w:tc>
          <w:tcPr>
            <w:tcW w:w="1437" w:type="dxa"/>
            <w:tcBorders>
              <w:top w:val="single" w:sz="4" w:space="0" w:color="auto"/>
              <w:left w:val="nil"/>
              <w:bottom w:val="single" w:sz="4" w:space="0" w:color="auto"/>
              <w:right w:val="nil"/>
            </w:tcBorders>
            <w:shd w:val="clear" w:color="auto" w:fill="auto"/>
            <w:vAlign w:val="bottom"/>
          </w:tcPr>
          <w:p w14:paraId="36966C20" w14:textId="77777777" w:rsidR="009C24EF" w:rsidRPr="00213131" w:rsidRDefault="009C24EF" w:rsidP="00A65A6F">
            <w:pPr>
              <w:keepNext/>
              <w:spacing w:before="0" w:after="0"/>
              <w:contextualSpacing/>
              <w:jc w:val="center"/>
              <w:rPr>
                <w:rFonts w:asciiTheme="majorBidi" w:hAnsiTheme="majorBidi" w:cstheme="majorBidi"/>
                <w:sz w:val="21"/>
                <w:szCs w:val="21"/>
                <w:highlight w:val="yellow"/>
              </w:rPr>
            </w:pPr>
            <w:r w:rsidRPr="00213131">
              <w:rPr>
                <w:rFonts w:asciiTheme="majorBidi" w:hAnsiTheme="majorBidi" w:cstheme="majorBidi"/>
                <w:sz w:val="21"/>
              </w:rPr>
              <w:t>98.5%</w:t>
            </w:r>
          </w:p>
        </w:tc>
        <w:tc>
          <w:tcPr>
            <w:tcW w:w="1437" w:type="dxa"/>
            <w:tcBorders>
              <w:top w:val="single" w:sz="4" w:space="0" w:color="auto"/>
              <w:left w:val="nil"/>
              <w:bottom w:val="single" w:sz="4" w:space="0" w:color="auto"/>
              <w:right w:val="nil"/>
            </w:tcBorders>
            <w:vAlign w:val="bottom"/>
            <w:hideMark/>
          </w:tcPr>
          <w:p w14:paraId="43BEE536"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98%</w:t>
            </w:r>
          </w:p>
        </w:tc>
      </w:tr>
      <w:tr w:rsidR="009C24EF" w:rsidRPr="00213131" w14:paraId="43BC2B53" w14:textId="77777777" w:rsidTr="00A65A6F">
        <w:trPr>
          <w:cantSplit/>
          <w:trHeight w:hRule="exact" w:val="306"/>
        </w:trPr>
        <w:tc>
          <w:tcPr>
            <w:tcW w:w="4137" w:type="dxa"/>
            <w:tcBorders>
              <w:top w:val="single" w:sz="4" w:space="0" w:color="auto"/>
              <w:left w:val="nil"/>
              <w:bottom w:val="single" w:sz="4" w:space="0" w:color="auto"/>
              <w:right w:val="nil"/>
            </w:tcBorders>
            <w:hideMark/>
          </w:tcPr>
          <w:p w14:paraId="07B21CD8"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Actual rate of return (%)</w:t>
            </w:r>
          </w:p>
        </w:tc>
        <w:tc>
          <w:tcPr>
            <w:tcW w:w="1437" w:type="dxa"/>
            <w:tcBorders>
              <w:top w:val="single" w:sz="4" w:space="0" w:color="auto"/>
              <w:left w:val="nil"/>
              <w:bottom w:val="single" w:sz="4" w:space="0" w:color="auto"/>
              <w:right w:val="nil"/>
            </w:tcBorders>
          </w:tcPr>
          <w:p w14:paraId="57094510" w14:textId="77777777" w:rsidR="009C24EF" w:rsidRPr="00213131" w:rsidRDefault="009C24EF" w:rsidP="00A65A6F">
            <w:pPr>
              <w:keepNext/>
              <w:spacing w:before="0" w:after="0"/>
              <w:contextualSpacing/>
              <w:jc w:val="center"/>
              <w:rPr>
                <w:rFonts w:asciiTheme="majorBidi" w:hAnsiTheme="majorBidi" w:cstheme="majorBidi"/>
                <w:sz w:val="21"/>
                <w:szCs w:val="21"/>
                <w:rtl/>
              </w:rPr>
            </w:pPr>
          </w:p>
        </w:tc>
        <w:tc>
          <w:tcPr>
            <w:tcW w:w="1437" w:type="dxa"/>
            <w:tcBorders>
              <w:top w:val="single" w:sz="4" w:space="0" w:color="auto"/>
              <w:left w:val="nil"/>
              <w:bottom w:val="single" w:sz="4" w:space="0" w:color="auto"/>
              <w:right w:val="nil"/>
            </w:tcBorders>
          </w:tcPr>
          <w:p w14:paraId="19AB524D"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6.4%</w:t>
            </w:r>
          </w:p>
        </w:tc>
        <w:tc>
          <w:tcPr>
            <w:tcW w:w="1437" w:type="dxa"/>
            <w:tcBorders>
              <w:top w:val="single" w:sz="4" w:space="0" w:color="auto"/>
              <w:left w:val="nil"/>
              <w:bottom w:val="single" w:sz="4" w:space="0" w:color="auto"/>
              <w:right w:val="nil"/>
            </w:tcBorders>
            <w:shd w:val="clear" w:color="auto" w:fill="auto"/>
            <w:vAlign w:val="bottom"/>
          </w:tcPr>
          <w:p w14:paraId="5C81257E" w14:textId="77777777" w:rsidR="009C24EF" w:rsidRPr="00213131" w:rsidRDefault="009C24EF" w:rsidP="00A65A6F">
            <w:pPr>
              <w:keepNext/>
              <w:spacing w:before="0" w:after="0"/>
              <w:contextualSpacing/>
              <w:jc w:val="center"/>
              <w:rPr>
                <w:rFonts w:asciiTheme="majorBidi" w:hAnsiTheme="majorBidi" w:cstheme="majorBidi"/>
                <w:sz w:val="21"/>
                <w:szCs w:val="21"/>
                <w:highlight w:val="yellow"/>
              </w:rPr>
            </w:pPr>
            <w:r w:rsidRPr="00213131">
              <w:rPr>
                <w:rFonts w:asciiTheme="majorBidi" w:hAnsiTheme="majorBidi" w:cstheme="majorBidi"/>
                <w:sz w:val="21"/>
              </w:rPr>
              <w:t>6.2%</w:t>
            </w:r>
          </w:p>
        </w:tc>
        <w:tc>
          <w:tcPr>
            <w:tcW w:w="1437" w:type="dxa"/>
            <w:tcBorders>
              <w:top w:val="single" w:sz="4" w:space="0" w:color="auto"/>
              <w:left w:val="nil"/>
              <w:bottom w:val="single" w:sz="4" w:space="0" w:color="auto"/>
              <w:right w:val="nil"/>
            </w:tcBorders>
            <w:vAlign w:val="bottom"/>
            <w:hideMark/>
          </w:tcPr>
          <w:p w14:paraId="61884496"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6.0%</w:t>
            </w:r>
          </w:p>
        </w:tc>
      </w:tr>
      <w:tr w:rsidR="009C24EF" w:rsidRPr="00213131" w14:paraId="26FE306C" w14:textId="77777777" w:rsidTr="00A65A6F">
        <w:trPr>
          <w:cantSplit/>
          <w:trHeight w:hRule="exact" w:val="306"/>
        </w:trPr>
        <w:tc>
          <w:tcPr>
            <w:tcW w:w="4137" w:type="dxa"/>
            <w:tcBorders>
              <w:top w:val="single" w:sz="4" w:space="0" w:color="auto"/>
              <w:left w:val="nil"/>
              <w:bottom w:val="single" w:sz="4" w:space="0" w:color="auto"/>
              <w:right w:val="nil"/>
            </w:tcBorders>
            <w:hideMark/>
          </w:tcPr>
          <w:p w14:paraId="24D6DA28" w14:textId="77777777" w:rsidR="009C24EF" w:rsidRPr="00213131" w:rsidRDefault="009C24EF" w:rsidP="00A65A6F">
            <w:pPr>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 xml:space="preserve">Average rent per sq. m. (per month in NIS) </w:t>
            </w:r>
          </w:p>
        </w:tc>
        <w:tc>
          <w:tcPr>
            <w:tcW w:w="1437" w:type="dxa"/>
            <w:tcBorders>
              <w:top w:val="single" w:sz="4" w:space="0" w:color="auto"/>
              <w:left w:val="nil"/>
              <w:bottom w:val="single" w:sz="4" w:space="0" w:color="auto"/>
              <w:right w:val="nil"/>
            </w:tcBorders>
          </w:tcPr>
          <w:p w14:paraId="617C038D" w14:textId="77777777" w:rsidR="009C24EF" w:rsidRPr="00213131" w:rsidRDefault="009C24EF" w:rsidP="00A65A6F">
            <w:pPr>
              <w:spacing w:before="0" w:after="0"/>
              <w:contextualSpacing/>
              <w:jc w:val="center"/>
              <w:rPr>
                <w:rFonts w:asciiTheme="majorBidi" w:hAnsiTheme="majorBidi" w:cstheme="majorBidi"/>
                <w:sz w:val="21"/>
                <w:szCs w:val="21"/>
                <w:rtl/>
              </w:rPr>
            </w:pPr>
          </w:p>
        </w:tc>
        <w:tc>
          <w:tcPr>
            <w:tcW w:w="1437" w:type="dxa"/>
            <w:tcBorders>
              <w:top w:val="single" w:sz="4" w:space="0" w:color="auto"/>
              <w:left w:val="nil"/>
              <w:bottom w:val="single" w:sz="4" w:space="0" w:color="auto"/>
              <w:right w:val="nil"/>
            </w:tcBorders>
          </w:tcPr>
          <w:p w14:paraId="6DA11BF3"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104</w:t>
            </w:r>
          </w:p>
        </w:tc>
        <w:tc>
          <w:tcPr>
            <w:tcW w:w="1437" w:type="dxa"/>
            <w:tcBorders>
              <w:top w:val="single" w:sz="4" w:space="0" w:color="auto"/>
              <w:left w:val="nil"/>
              <w:bottom w:val="single" w:sz="4" w:space="0" w:color="auto"/>
              <w:right w:val="nil"/>
            </w:tcBorders>
            <w:shd w:val="clear" w:color="auto" w:fill="auto"/>
            <w:vAlign w:val="bottom"/>
          </w:tcPr>
          <w:p w14:paraId="58BA306A" w14:textId="77777777" w:rsidR="009C24EF" w:rsidRPr="00213131" w:rsidRDefault="009C24EF" w:rsidP="00A65A6F">
            <w:pPr>
              <w:spacing w:before="0" w:after="0"/>
              <w:contextualSpacing/>
              <w:jc w:val="center"/>
              <w:rPr>
                <w:rFonts w:asciiTheme="majorBidi" w:hAnsiTheme="majorBidi" w:cstheme="majorBidi"/>
                <w:sz w:val="21"/>
                <w:szCs w:val="21"/>
                <w:highlight w:val="yellow"/>
              </w:rPr>
            </w:pPr>
            <w:r w:rsidRPr="00213131">
              <w:rPr>
                <w:rFonts w:asciiTheme="majorBidi" w:hAnsiTheme="majorBidi" w:cstheme="majorBidi"/>
                <w:sz w:val="21"/>
              </w:rPr>
              <w:t>104</w:t>
            </w:r>
          </w:p>
        </w:tc>
        <w:tc>
          <w:tcPr>
            <w:tcW w:w="1437" w:type="dxa"/>
            <w:tcBorders>
              <w:top w:val="single" w:sz="4" w:space="0" w:color="auto"/>
              <w:left w:val="nil"/>
              <w:bottom w:val="single" w:sz="4" w:space="0" w:color="auto"/>
              <w:right w:val="nil"/>
            </w:tcBorders>
            <w:vAlign w:val="bottom"/>
            <w:hideMark/>
          </w:tcPr>
          <w:p w14:paraId="79E02527"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100</w:t>
            </w:r>
          </w:p>
        </w:tc>
      </w:tr>
      <w:tr w:rsidR="009C24EF" w:rsidRPr="00213131" w14:paraId="47843E2C" w14:textId="77777777" w:rsidTr="00A65A6F">
        <w:trPr>
          <w:cantSplit/>
          <w:trHeight w:hRule="exact" w:val="306"/>
        </w:trPr>
        <w:tc>
          <w:tcPr>
            <w:tcW w:w="4137" w:type="dxa"/>
            <w:tcBorders>
              <w:top w:val="single" w:sz="4" w:space="0" w:color="auto"/>
              <w:left w:val="nil"/>
              <w:bottom w:val="single" w:sz="4" w:space="0" w:color="auto"/>
              <w:right w:val="nil"/>
            </w:tcBorders>
            <w:hideMark/>
          </w:tcPr>
          <w:p w14:paraId="00945E67" w14:textId="77777777" w:rsidR="009C24EF" w:rsidRPr="00213131" w:rsidRDefault="009C24EF" w:rsidP="00A65A6F">
            <w:pPr>
              <w:tabs>
                <w:tab w:val="center" w:pos="4153"/>
                <w:tab w:val="right" w:pos="7936"/>
                <w:tab w:val="right" w:pos="8220"/>
                <w:tab w:val="right" w:pos="8306"/>
              </w:tabs>
              <w:spacing w:before="0" w:after="0"/>
              <w:contextualSpacing/>
              <w:jc w:val="left"/>
              <w:rPr>
                <w:rFonts w:asciiTheme="majorBidi" w:eastAsia="Times New Roman" w:hAnsiTheme="majorBidi" w:cstheme="majorBidi"/>
                <w:sz w:val="21"/>
                <w:szCs w:val="21"/>
              </w:rPr>
            </w:pPr>
            <w:r w:rsidRPr="00213131">
              <w:rPr>
                <w:rFonts w:asciiTheme="majorBidi" w:hAnsiTheme="majorBidi" w:cstheme="majorBidi"/>
                <w:sz w:val="21"/>
              </w:rPr>
              <w:t xml:space="preserve">Average rent per </w:t>
            </w:r>
            <w:proofErr w:type="spellStart"/>
            <w:r w:rsidRPr="00213131">
              <w:rPr>
                <w:rFonts w:asciiTheme="majorBidi" w:hAnsiTheme="majorBidi" w:cstheme="majorBidi"/>
                <w:sz w:val="21"/>
              </w:rPr>
              <w:t>sq.m</w:t>
            </w:r>
            <w:proofErr w:type="spellEnd"/>
            <w:r w:rsidRPr="00213131">
              <w:rPr>
                <w:rFonts w:asciiTheme="majorBidi" w:hAnsiTheme="majorBidi" w:cstheme="majorBidi"/>
                <w:sz w:val="21"/>
              </w:rPr>
              <w:t>. in contracts signed in the period (per month in NIS)</w:t>
            </w:r>
          </w:p>
        </w:tc>
        <w:tc>
          <w:tcPr>
            <w:tcW w:w="1437" w:type="dxa"/>
            <w:tcBorders>
              <w:top w:val="single" w:sz="4" w:space="0" w:color="auto"/>
              <w:left w:val="nil"/>
              <w:bottom w:val="single" w:sz="4" w:space="0" w:color="auto"/>
              <w:right w:val="nil"/>
            </w:tcBorders>
          </w:tcPr>
          <w:p w14:paraId="56F64D9D" w14:textId="77777777" w:rsidR="009C24EF" w:rsidRPr="00213131" w:rsidRDefault="009C24EF" w:rsidP="00A65A6F">
            <w:pPr>
              <w:spacing w:before="0" w:after="0"/>
              <w:contextualSpacing/>
              <w:jc w:val="center"/>
              <w:rPr>
                <w:rFonts w:asciiTheme="majorBidi" w:hAnsiTheme="majorBidi" w:cstheme="majorBidi"/>
                <w:sz w:val="21"/>
                <w:szCs w:val="21"/>
                <w:rtl/>
              </w:rPr>
            </w:pPr>
          </w:p>
        </w:tc>
        <w:tc>
          <w:tcPr>
            <w:tcW w:w="1437" w:type="dxa"/>
            <w:tcBorders>
              <w:top w:val="single" w:sz="4" w:space="0" w:color="auto"/>
              <w:left w:val="nil"/>
              <w:bottom w:val="single" w:sz="4" w:space="0" w:color="auto"/>
              <w:right w:val="nil"/>
            </w:tcBorders>
          </w:tcPr>
          <w:p w14:paraId="420C62B8"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w:t>
            </w:r>
          </w:p>
        </w:tc>
        <w:tc>
          <w:tcPr>
            <w:tcW w:w="1437" w:type="dxa"/>
            <w:tcBorders>
              <w:top w:val="single" w:sz="4" w:space="0" w:color="auto"/>
              <w:left w:val="nil"/>
              <w:bottom w:val="single" w:sz="4" w:space="0" w:color="auto"/>
              <w:right w:val="nil"/>
            </w:tcBorders>
            <w:shd w:val="clear" w:color="auto" w:fill="auto"/>
            <w:vAlign w:val="bottom"/>
          </w:tcPr>
          <w:p w14:paraId="7033F43F" w14:textId="77777777" w:rsidR="009C24EF" w:rsidRPr="00213131" w:rsidRDefault="009C24EF" w:rsidP="00A65A6F">
            <w:pPr>
              <w:spacing w:before="0" w:after="0"/>
              <w:contextualSpacing/>
              <w:jc w:val="center"/>
              <w:rPr>
                <w:rFonts w:asciiTheme="majorBidi" w:hAnsiTheme="majorBidi" w:cstheme="majorBidi"/>
                <w:sz w:val="21"/>
                <w:szCs w:val="21"/>
                <w:highlight w:val="yellow"/>
              </w:rPr>
            </w:pPr>
            <w:r w:rsidRPr="00213131">
              <w:rPr>
                <w:rFonts w:asciiTheme="majorBidi" w:hAnsiTheme="majorBidi" w:cstheme="majorBidi"/>
                <w:sz w:val="21"/>
              </w:rPr>
              <w:t>76</w:t>
            </w:r>
          </w:p>
        </w:tc>
        <w:tc>
          <w:tcPr>
            <w:tcW w:w="1437" w:type="dxa"/>
            <w:tcBorders>
              <w:top w:val="single" w:sz="4" w:space="0" w:color="auto"/>
              <w:left w:val="nil"/>
              <w:bottom w:val="single" w:sz="4" w:space="0" w:color="auto"/>
              <w:right w:val="nil"/>
            </w:tcBorders>
            <w:vAlign w:val="bottom"/>
            <w:hideMark/>
          </w:tcPr>
          <w:p w14:paraId="142E1910"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124</w:t>
            </w:r>
          </w:p>
        </w:tc>
      </w:tr>
    </w:tbl>
    <w:p w14:paraId="37520323" w14:textId="77777777" w:rsidR="009C24EF" w:rsidRPr="00213131" w:rsidRDefault="009C24EF" w:rsidP="009C24EF">
      <w:pPr>
        <w:tabs>
          <w:tab w:val="right" w:pos="7936"/>
          <w:tab w:val="right" w:pos="8220"/>
        </w:tabs>
        <w:spacing w:before="0" w:after="200" w:line="240" w:lineRule="auto"/>
        <w:ind w:left="567" w:hanging="284"/>
        <w:rPr>
          <w:rFonts w:asciiTheme="majorBidi" w:hAnsiTheme="majorBidi" w:cstheme="majorBidi"/>
          <w:b/>
          <w:bCs/>
          <w:sz w:val="16"/>
          <w:szCs w:val="16"/>
        </w:rPr>
      </w:pPr>
      <w:r w:rsidRPr="00213131">
        <w:rPr>
          <w:rFonts w:asciiTheme="majorBidi" w:hAnsiTheme="majorBidi" w:cstheme="majorBidi"/>
          <w:sz w:val="16"/>
          <w:szCs w:val="16"/>
          <w:vertAlign w:val="superscript"/>
        </w:rPr>
        <w:t>1</w:t>
      </w:r>
      <w:r w:rsidRPr="00213131">
        <w:rPr>
          <w:rFonts w:asciiTheme="majorBidi" w:hAnsiTheme="majorBidi" w:cstheme="majorBidi"/>
          <w:sz w:val="16"/>
          <w:szCs w:val="16"/>
        </w:rPr>
        <w:tab/>
        <w:t>Q1 2024 includes provision for municipal taxes for past years, in an amount of NIS 2 million.</w:t>
      </w:r>
    </w:p>
    <w:tbl>
      <w:tblPr>
        <w:tblW w:w="9885" w:type="dxa"/>
        <w:tblInd w:w="110" w:type="dxa"/>
        <w:tblLayout w:type="fixed"/>
        <w:tblLook w:val="04A0" w:firstRow="1" w:lastRow="0" w:firstColumn="1" w:lastColumn="0" w:noHBand="0" w:noVBand="1"/>
      </w:tblPr>
      <w:tblGrid>
        <w:gridCol w:w="4137"/>
        <w:gridCol w:w="1437"/>
        <w:gridCol w:w="1437"/>
        <w:gridCol w:w="1437"/>
        <w:gridCol w:w="1437"/>
      </w:tblGrid>
      <w:tr w:rsidR="009C24EF" w:rsidRPr="00213131" w14:paraId="29E29E1B" w14:textId="77777777" w:rsidTr="00A65A6F">
        <w:trPr>
          <w:cantSplit/>
          <w:trHeight w:hRule="exact" w:val="794"/>
          <w:tblHeader/>
        </w:trPr>
        <w:tc>
          <w:tcPr>
            <w:tcW w:w="4137" w:type="dxa"/>
            <w:shd w:val="clear" w:color="auto" w:fill="000031"/>
          </w:tcPr>
          <w:p w14:paraId="604F37CB" w14:textId="77777777" w:rsidR="009C24EF" w:rsidRPr="00213131" w:rsidRDefault="009C24EF" w:rsidP="00A65A6F">
            <w:pPr>
              <w:keepNext/>
              <w:tabs>
                <w:tab w:val="center" w:pos="599"/>
                <w:tab w:val="num" w:pos="707"/>
              </w:tabs>
              <w:spacing w:before="144" w:after="144"/>
              <w:jc w:val="left"/>
              <w:rPr>
                <w:rFonts w:asciiTheme="majorBidi" w:eastAsia="Times New Roman" w:hAnsiTheme="majorBidi" w:cstheme="majorBidi"/>
                <w:b/>
                <w:bCs/>
                <w:color w:val="FFFFFF" w:themeColor="background1"/>
                <w:sz w:val="21"/>
                <w:szCs w:val="21"/>
                <w:u w:val="single"/>
              </w:rPr>
            </w:pPr>
            <w:proofErr w:type="spellStart"/>
            <w:r w:rsidRPr="00213131">
              <w:rPr>
                <w:rFonts w:asciiTheme="majorBidi" w:hAnsiTheme="majorBidi" w:cstheme="majorBidi"/>
                <w:b/>
                <w:color w:val="FFFFFF" w:themeColor="background1"/>
                <w:sz w:val="21"/>
                <w:u w:val="single"/>
              </w:rPr>
              <w:t>Targowek</w:t>
            </w:r>
            <w:proofErr w:type="spellEnd"/>
          </w:p>
          <w:p w14:paraId="5A1C5E08" w14:textId="77777777" w:rsidR="009C24EF" w:rsidRPr="00213131" w:rsidRDefault="009C24EF" w:rsidP="00A65A6F">
            <w:pPr>
              <w:keepNext/>
              <w:tabs>
                <w:tab w:val="right" w:pos="7936"/>
                <w:tab w:val="right" w:pos="8220"/>
              </w:tabs>
              <w:spacing w:line="240" w:lineRule="auto"/>
              <w:jc w:val="center"/>
              <w:rPr>
                <w:rFonts w:asciiTheme="majorBidi" w:eastAsia="Times New Roman" w:hAnsiTheme="majorBidi" w:cstheme="majorBidi"/>
                <w:b/>
                <w:bCs/>
                <w:color w:val="FFFFFF" w:themeColor="background1"/>
                <w:sz w:val="21"/>
                <w:szCs w:val="21"/>
              </w:rPr>
            </w:pPr>
          </w:p>
        </w:tc>
        <w:tc>
          <w:tcPr>
            <w:tcW w:w="1437" w:type="dxa"/>
            <w:shd w:val="clear" w:color="auto" w:fill="000031"/>
          </w:tcPr>
          <w:p w14:paraId="0D503958"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tl/>
              </w:rPr>
            </w:pPr>
          </w:p>
        </w:tc>
        <w:tc>
          <w:tcPr>
            <w:tcW w:w="1437" w:type="dxa"/>
            <w:shd w:val="clear" w:color="auto" w:fill="000031"/>
          </w:tcPr>
          <w:p w14:paraId="59B48FAD"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Q2 2024</w:t>
            </w:r>
          </w:p>
        </w:tc>
        <w:tc>
          <w:tcPr>
            <w:tcW w:w="1437" w:type="dxa"/>
            <w:shd w:val="clear" w:color="auto" w:fill="000031"/>
            <w:hideMark/>
          </w:tcPr>
          <w:p w14:paraId="7EF8CE37"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Q1 2024</w:t>
            </w:r>
          </w:p>
        </w:tc>
        <w:tc>
          <w:tcPr>
            <w:tcW w:w="1437" w:type="dxa"/>
            <w:shd w:val="clear" w:color="auto" w:fill="000031"/>
            <w:hideMark/>
          </w:tcPr>
          <w:p w14:paraId="2A0C032D" w14:textId="77777777" w:rsidR="009C24EF" w:rsidRPr="00213131" w:rsidRDefault="009C24EF" w:rsidP="00A65A6F">
            <w:pPr>
              <w:keepNext/>
              <w:tabs>
                <w:tab w:val="num" w:pos="707"/>
              </w:tabs>
              <w:spacing w:before="144" w:after="144"/>
              <w:jc w:val="center"/>
              <w:rPr>
                <w:rFonts w:asciiTheme="majorBidi" w:eastAsia="Times New Roman" w:hAnsiTheme="majorBidi" w:cstheme="majorBidi"/>
                <w:b/>
                <w:bCs/>
                <w:color w:val="FFFFFF" w:themeColor="background1"/>
                <w:sz w:val="21"/>
                <w:szCs w:val="21"/>
              </w:rPr>
            </w:pPr>
            <w:r w:rsidRPr="00213131">
              <w:rPr>
                <w:rFonts w:asciiTheme="majorBidi" w:hAnsiTheme="majorBidi" w:cstheme="majorBidi"/>
                <w:b/>
                <w:color w:val="FFFFFF" w:themeColor="background1"/>
                <w:sz w:val="21"/>
              </w:rPr>
              <w:t>Year 2023</w:t>
            </w:r>
          </w:p>
        </w:tc>
      </w:tr>
      <w:tr w:rsidR="009C24EF" w:rsidRPr="00213131" w14:paraId="59B82086" w14:textId="77777777" w:rsidTr="00A65A6F">
        <w:trPr>
          <w:cantSplit/>
          <w:trHeight w:hRule="exact" w:val="306"/>
        </w:trPr>
        <w:tc>
          <w:tcPr>
            <w:tcW w:w="4137" w:type="dxa"/>
            <w:tcBorders>
              <w:top w:val="nil"/>
              <w:left w:val="nil"/>
              <w:bottom w:val="single" w:sz="4" w:space="0" w:color="auto"/>
              <w:right w:val="nil"/>
            </w:tcBorders>
            <w:shd w:val="clear" w:color="auto" w:fill="auto"/>
            <w:hideMark/>
          </w:tcPr>
          <w:p w14:paraId="75D83398"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Total value of the property (EUR thousand)</w:t>
            </w:r>
          </w:p>
        </w:tc>
        <w:tc>
          <w:tcPr>
            <w:tcW w:w="1437" w:type="dxa"/>
            <w:tcBorders>
              <w:top w:val="nil"/>
              <w:left w:val="nil"/>
              <w:bottom w:val="single" w:sz="4" w:space="0" w:color="auto"/>
              <w:right w:val="nil"/>
            </w:tcBorders>
          </w:tcPr>
          <w:p w14:paraId="02403A7F" w14:textId="77777777" w:rsidR="009C24EF" w:rsidRPr="00213131" w:rsidRDefault="009C24EF" w:rsidP="00A65A6F">
            <w:pPr>
              <w:keepNext/>
              <w:spacing w:before="0" w:after="0"/>
              <w:contextualSpacing/>
              <w:jc w:val="center"/>
              <w:rPr>
                <w:rFonts w:asciiTheme="majorBidi" w:hAnsiTheme="majorBidi" w:cstheme="majorBidi"/>
                <w:sz w:val="21"/>
                <w:szCs w:val="21"/>
                <w:rtl/>
              </w:rPr>
            </w:pPr>
          </w:p>
        </w:tc>
        <w:tc>
          <w:tcPr>
            <w:tcW w:w="1437" w:type="dxa"/>
            <w:tcBorders>
              <w:top w:val="nil"/>
              <w:left w:val="nil"/>
              <w:bottom w:val="single" w:sz="4" w:space="0" w:color="auto"/>
              <w:right w:val="nil"/>
            </w:tcBorders>
          </w:tcPr>
          <w:p w14:paraId="7510B961"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230,538</w:t>
            </w:r>
          </w:p>
          <w:p w14:paraId="1DA4B4A1" w14:textId="77777777" w:rsidR="009C24EF" w:rsidRPr="00213131" w:rsidRDefault="009C24EF" w:rsidP="00A65A6F">
            <w:pPr>
              <w:keepNext/>
              <w:spacing w:before="0" w:after="0"/>
              <w:contextualSpacing/>
              <w:jc w:val="center"/>
              <w:rPr>
                <w:rFonts w:asciiTheme="majorBidi" w:hAnsiTheme="majorBidi" w:cstheme="majorBidi"/>
                <w:sz w:val="21"/>
                <w:szCs w:val="21"/>
              </w:rPr>
            </w:pPr>
            <w:r w:rsidRPr="00213131">
              <w:rPr>
                <w:rFonts w:asciiTheme="majorBidi" w:hAnsiTheme="majorBidi" w:cstheme="majorBidi"/>
                <w:sz w:val="21"/>
              </w:rPr>
              <w:t>--</w:t>
            </w:r>
          </w:p>
        </w:tc>
        <w:tc>
          <w:tcPr>
            <w:tcW w:w="1437" w:type="dxa"/>
            <w:tcBorders>
              <w:top w:val="nil"/>
              <w:left w:val="nil"/>
              <w:bottom w:val="single" w:sz="4" w:space="0" w:color="auto"/>
              <w:right w:val="nil"/>
            </w:tcBorders>
            <w:shd w:val="clear" w:color="auto" w:fill="auto"/>
            <w:vAlign w:val="bottom"/>
          </w:tcPr>
          <w:p w14:paraId="52B24EBE"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230,464</w:t>
            </w:r>
          </w:p>
          <w:p w14:paraId="1D83A917" w14:textId="77777777" w:rsidR="009C24EF" w:rsidRPr="00213131" w:rsidRDefault="009C24EF" w:rsidP="00A65A6F">
            <w:pPr>
              <w:keepNext/>
              <w:spacing w:before="0" w:after="0"/>
              <w:contextualSpacing/>
              <w:jc w:val="center"/>
              <w:rPr>
                <w:rFonts w:asciiTheme="majorBidi" w:hAnsiTheme="majorBidi" w:cstheme="majorBidi"/>
                <w:sz w:val="21"/>
                <w:szCs w:val="21"/>
              </w:rPr>
            </w:pPr>
          </w:p>
        </w:tc>
        <w:tc>
          <w:tcPr>
            <w:tcW w:w="1437" w:type="dxa"/>
            <w:tcBorders>
              <w:top w:val="nil"/>
              <w:left w:val="nil"/>
              <w:bottom w:val="single" w:sz="4" w:space="0" w:color="auto"/>
              <w:right w:val="nil"/>
            </w:tcBorders>
            <w:vAlign w:val="bottom"/>
          </w:tcPr>
          <w:p w14:paraId="5EFA9791"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230,215</w:t>
            </w:r>
          </w:p>
          <w:p w14:paraId="4E958911" w14:textId="77777777" w:rsidR="009C24EF" w:rsidRPr="00213131" w:rsidRDefault="009C24EF" w:rsidP="00A65A6F">
            <w:pPr>
              <w:keepNext/>
              <w:spacing w:before="0" w:after="0"/>
              <w:contextualSpacing/>
              <w:jc w:val="center"/>
              <w:rPr>
                <w:rFonts w:asciiTheme="majorBidi" w:hAnsiTheme="majorBidi" w:cstheme="majorBidi"/>
                <w:sz w:val="21"/>
                <w:szCs w:val="21"/>
                <w:rtl/>
              </w:rPr>
            </w:pPr>
          </w:p>
        </w:tc>
      </w:tr>
      <w:tr w:rsidR="009C24EF" w:rsidRPr="00213131" w14:paraId="4B7D6603" w14:textId="77777777" w:rsidTr="00A65A6F">
        <w:trPr>
          <w:cantSplit/>
          <w:trHeight w:hRule="exact" w:val="306"/>
        </w:trPr>
        <w:tc>
          <w:tcPr>
            <w:tcW w:w="4137" w:type="dxa"/>
            <w:tcBorders>
              <w:top w:val="single" w:sz="4" w:space="0" w:color="auto"/>
              <w:left w:val="nil"/>
              <w:bottom w:val="single" w:sz="4" w:space="0" w:color="auto"/>
              <w:right w:val="nil"/>
            </w:tcBorders>
            <w:shd w:val="clear" w:color="auto" w:fill="auto"/>
            <w:hideMark/>
          </w:tcPr>
          <w:p w14:paraId="07C49C3C"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 xml:space="preserve">NOI in the period (EUR thousands) </w:t>
            </w:r>
            <w:r w:rsidRPr="00213131">
              <w:rPr>
                <w:rFonts w:asciiTheme="majorBidi" w:hAnsiTheme="majorBidi" w:cstheme="majorBidi"/>
                <w:sz w:val="21"/>
                <w:vertAlign w:val="superscript"/>
              </w:rPr>
              <w:t>1</w:t>
            </w:r>
          </w:p>
        </w:tc>
        <w:tc>
          <w:tcPr>
            <w:tcW w:w="1437" w:type="dxa"/>
            <w:tcBorders>
              <w:top w:val="single" w:sz="4" w:space="0" w:color="auto"/>
              <w:left w:val="nil"/>
              <w:bottom w:val="single" w:sz="4" w:space="0" w:color="auto"/>
              <w:right w:val="nil"/>
            </w:tcBorders>
          </w:tcPr>
          <w:p w14:paraId="1CAA5E53" w14:textId="77777777" w:rsidR="009C24EF" w:rsidRPr="00213131" w:rsidRDefault="009C24EF" w:rsidP="00A65A6F">
            <w:pPr>
              <w:keepNext/>
              <w:spacing w:before="0" w:after="0"/>
              <w:contextualSpacing/>
              <w:jc w:val="center"/>
              <w:rPr>
                <w:rFonts w:asciiTheme="majorBidi" w:hAnsiTheme="majorBidi" w:cstheme="majorBidi"/>
                <w:sz w:val="21"/>
                <w:szCs w:val="21"/>
                <w:rtl/>
              </w:rPr>
            </w:pPr>
          </w:p>
        </w:tc>
        <w:tc>
          <w:tcPr>
            <w:tcW w:w="1437" w:type="dxa"/>
            <w:tcBorders>
              <w:top w:val="single" w:sz="4" w:space="0" w:color="auto"/>
              <w:left w:val="nil"/>
              <w:bottom w:val="single" w:sz="4" w:space="0" w:color="auto"/>
              <w:right w:val="nil"/>
            </w:tcBorders>
            <w:vAlign w:val="bottom"/>
          </w:tcPr>
          <w:p w14:paraId="4EF1564A" w14:textId="7E60F994" w:rsidR="009C24EF" w:rsidRPr="00213131" w:rsidRDefault="008B1388" w:rsidP="00A65A6F">
            <w:pPr>
              <w:spacing w:before="0" w:after="0"/>
              <w:contextualSpacing/>
              <w:jc w:val="center"/>
              <w:rPr>
                <w:rFonts w:asciiTheme="majorBidi" w:hAnsiTheme="majorBidi" w:cstheme="majorBidi"/>
                <w:sz w:val="21"/>
                <w:szCs w:val="21"/>
              </w:rPr>
            </w:pPr>
            <w:r>
              <w:rPr>
                <w:rFonts w:asciiTheme="majorBidi" w:hAnsiTheme="majorBidi" w:cstheme="majorBidi"/>
                <w:sz w:val="21"/>
              </w:rPr>
              <w:t>3</w:t>
            </w:r>
            <w:r w:rsidR="009C24EF" w:rsidRPr="00213131">
              <w:rPr>
                <w:rFonts w:asciiTheme="majorBidi" w:hAnsiTheme="majorBidi" w:cstheme="majorBidi"/>
                <w:sz w:val="21"/>
              </w:rPr>
              <w:t>,</w:t>
            </w:r>
            <w:r>
              <w:rPr>
                <w:rFonts w:asciiTheme="majorBidi" w:hAnsiTheme="majorBidi" w:cstheme="majorBidi"/>
                <w:sz w:val="21"/>
              </w:rPr>
              <w:t>467</w:t>
            </w:r>
          </w:p>
        </w:tc>
        <w:tc>
          <w:tcPr>
            <w:tcW w:w="1437" w:type="dxa"/>
            <w:tcBorders>
              <w:top w:val="single" w:sz="4" w:space="0" w:color="auto"/>
              <w:left w:val="nil"/>
              <w:bottom w:val="single" w:sz="4" w:space="0" w:color="auto"/>
              <w:right w:val="nil"/>
            </w:tcBorders>
            <w:shd w:val="clear" w:color="auto" w:fill="auto"/>
            <w:vAlign w:val="bottom"/>
          </w:tcPr>
          <w:p w14:paraId="1B88414E"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3,291</w:t>
            </w:r>
          </w:p>
        </w:tc>
        <w:tc>
          <w:tcPr>
            <w:tcW w:w="1437" w:type="dxa"/>
            <w:tcBorders>
              <w:top w:val="single" w:sz="4" w:space="0" w:color="auto"/>
              <w:left w:val="nil"/>
              <w:bottom w:val="single" w:sz="4" w:space="0" w:color="auto"/>
              <w:right w:val="nil"/>
            </w:tcBorders>
            <w:vAlign w:val="bottom"/>
          </w:tcPr>
          <w:p w14:paraId="553E20CE"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13,487</w:t>
            </w:r>
          </w:p>
        </w:tc>
      </w:tr>
      <w:tr w:rsidR="009C24EF" w:rsidRPr="00213131" w14:paraId="656BDCA2" w14:textId="77777777" w:rsidTr="00A65A6F">
        <w:trPr>
          <w:cantSplit/>
          <w:trHeight w:hRule="exact" w:val="306"/>
        </w:trPr>
        <w:tc>
          <w:tcPr>
            <w:tcW w:w="4137" w:type="dxa"/>
            <w:tcBorders>
              <w:top w:val="single" w:sz="4" w:space="0" w:color="auto"/>
              <w:left w:val="nil"/>
              <w:bottom w:val="single" w:sz="4" w:space="0" w:color="auto"/>
              <w:right w:val="nil"/>
            </w:tcBorders>
            <w:shd w:val="clear" w:color="auto" w:fill="auto"/>
            <w:hideMark/>
          </w:tcPr>
          <w:p w14:paraId="24BF5F80"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Revaluation gains (losses) for the period (EUR  thousands)</w:t>
            </w:r>
          </w:p>
        </w:tc>
        <w:tc>
          <w:tcPr>
            <w:tcW w:w="1437" w:type="dxa"/>
            <w:tcBorders>
              <w:top w:val="single" w:sz="4" w:space="0" w:color="auto"/>
              <w:left w:val="nil"/>
              <w:bottom w:val="single" w:sz="4" w:space="0" w:color="auto"/>
              <w:right w:val="nil"/>
            </w:tcBorders>
          </w:tcPr>
          <w:p w14:paraId="5CBF863E" w14:textId="77777777" w:rsidR="009C24EF" w:rsidRPr="00213131" w:rsidRDefault="009C24EF" w:rsidP="00A65A6F">
            <w:pPr>
              <w:keepNext/>
              <w:spacing w:before="0" w:after="0"/>
              <w:contextualSpacing/>
              <w:jc w:val="center"/>
              <w:rPr>
                <w:rFonts w:asciiTheme="majorBidi" w:hAnsiTheme="majorBidi" w:cstheme="majorBidi"/>
                <w:sz w:val="21"/>
                <w:szCs w:val="21"/>
                <w:rtl/>
              </w:rPr>
            </w:pPr>
          </w:p>
        </w:tc>
        <w:tc>
          <w:tcPr>
            <w:tcW w:w="1437" w:type="dxa"/>
            <w:tcBorders>
              <w:top w:val="single" w:sz="4" w:space="0" w:color="auto"/>
              <w:left w:val="nil"/>
              <w:bottom w:val="single" w:sz="4" w:space="0" w:color="auto"/>
              <w:right w:val="nil"/>
            </w:tcBorders>
            <w:vAlign w:val="bottom"/>
          </w:tcPr>
          <w:p w14:paraId="3A8DE312" w14:textId="65C7E7E7" w:rsidR="009C24EF" w:rsidRPr="00213131" w:rsidRDefault="008B1388" w:rsidP="00A65A6F">
            <w:pPr>
              <w:spacing w:before="0" w:after="0"/>
              <w:contextualSpacing/>
              <w:jc w:val="center"/>
              <w:rPr>
                <w:rFonts w:asciiTheme="majorBidi" w:hAnsiTheme="majorBidi" w:cstheme="majorBidi"/>
                <w:sz w:val="21"/>
                <w:szCs w:val="21"/>
              </w:rPr>
            </w:pPr>
            <w:r>
              <w:rPr>
                <w:rFonts w:asciiTheme="majorBidi" w:hAnsiTheme="majorBidi" w:cstheme="majorBidi"/>
                <w:sz w:val="21"/>
              </w:rPr>
              <w:t>129</w:t>
            </w:r>
          </w:p>
        </w:tc>
        <w:tc>
          <w:tcPr>
            <w:tcW w:w="1437" w:type="dxa"/>
            <w:tcBorders>
              <w:top w:val="single" w:sz="4" w:space="0" w:color="auto"/>
              <w:left w:val="nil"/>
              <w:bottom w:val="single" w:sz="4" w:space="0" w:color="auto"/>
              <w:right w:val="nil"/>
            </w:tcBorders>
            <w:shd w:val="clear" w:color="auto" w:fill="auto"/>
            <w:vAlign w:val="bottom"/>
          </w:tcPr>
          <w:p w14:paraId="704D0E9D" w14:textId="5AE6A17E" w:rsidR="009C24EF" w:rsidRPr="00213131" w:rsidRDefault="008B1388" w:rsidP="00A65A6F">
            <w:pPr>
              <w:spacing w:before="0" w:after="0"/>
              <w:contextualSpacing/>
              <w:jc w:val="center"/>
              <w:rPr>
                <w:rFonts w:asciiTheme="majorBidi" w:hAnsiTheme="majorBidi" w:cstheme="majorBidi"/>
                <w:sz w:val="21"/>
                <w:szCs w:val="21"/>
              </w:rPr>
            </w:pPr>
            <w:r>
              <w:rPr>
                <w:rFonts w:asciiTheme="majorBidi" w:hAnsiTheme="majorBidi" w:cstheme="majorBidi"/>
                <w:sz w:val="21"/>
              </w:rPr>
              <w:t>125</w:t>
            </w:r>
          </w:p>
        </w:tc>
        <w:tc>
          <w:tcPr>
            <w:tcW w:w="1437" w:type="dxa"/>
            <w:tcBorders>
              <w:top w:val="single" w:sz="4" w:space="0" w:color="auto"/>
              <w:left w:val="nil"/>
              <w:bottom w:val="single" w:sz="4" w:space="0" w:color="auto"/>
              <w:right w:val="nil"/>
            </w:tcBorders>
            <w:vAlign w:val="bottom"/>
          </w:tcPr>
          <w:p w14:paraId="57369E83" w14:textId="0346FD6F"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1,</w:t>
            </w:r>
            <w:r w:rsidR="008B1388">
              <w:rPr>
                <w:rFonts w:asciiTheme="majorBidi" w:hAnsiTheme="majorBidi" w:cstheme="majorBidi"/>
                <w:sz w:val="21"/>
              </w:rPr>
              <w:t>664</w:t>
            </w:r>
          </w:p>
        </w:tc>
      </w:tr>
      <w:tr w:rsidR="009C24EF" w:rsidRPr="00213131" w14:paraId="3EC7B24E" w14:textId="77777777" w:rsidTr="00A65A6F">
        <w:trPr>
          <w:cantSplit/>
          <w:trHeight w:hRule="exact" w:val="306"/>
        </w:trPr>
        <w:tc>
          <w:tcPr>
            <w:tcW w:w="4137" w:type="dxa"/>
            <w:tcBorders>
              <w:top w:val="single" w:sz="4" w:space="0" w:color="auto"/>
              <w:left w:val="nil"/>
              <w:bottom w:val="single" w:sz="4" w:space="0" w:color="auto"/>
              <w:right w:val="nil"/>
            </w:tcBorders>
            <w:shd w:val="clear" w:color="auto" w:fill="auto"/>
            <w:hideMark/>
          </w:tcPr>
          <w:p w14:paraId="75FC12E8"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Average occupancy rate in the period</w:t>
            </w:r>
          </w:p>
        </w:tc>
        <w:tc>
          <w:tcPr>
            <w:tcW w:w="1437" w:type="dxa"/>
            <w:tcBorders>
              <w:top w:val="single" w:sz="4" w:space="0" w:color="auto"/>
              <w:left w:val="nil"/>
              <w:bottom w:val="single" w:sz="4" w:space="0" w:color="auto"/>
              <w:right w:val="nil"/>
            </w:tcBorders>
          </w:tcPr>
          <w:p w14:paraId="626E493D" w14:textId="77777777" w:rsidR="009C24EF" w:rsidRPr="00213131" w:rsidRDefault="009C24EF" w:rsidP="00A65A6F">
            <w:pPr>
              <w:keepNext/>
              <w:spacing w:before="0" w:after="0"/>
              <w:contextualSpacing/>
              <w:jc w:val="center"/>
              <w:rPr>
                <w:rFonts w:asciiTheme="majorBidi" w:hAnsiTheme="majorBidi" w:cstheme="majorBidi"/>
                <w:sz w:val="21"/>
                <w:szCs w:val="21"/>
                <w:rtl/>
              </w:rPr>
            </w:pPr>
          </w:p>
        </w:tc>
        <w:tc>
          <w:tcPr>
            <w:tcW w:w="1437" w:type="dxa"/>
            <w:tcBorders>
              <w:top w:val="single" w:sz="4" w:space="0" w:color="auto"/>
              <w:left w:val="nil"/>
              <w:bottom w:val="single" w:sz="4" w:space="0" w:color="auto"/>
              <w:right w:val="nil"/>
            </w:tcBorders>
            <w:vAlign w:val="bottom"/>
          </w:tcPr>
          <w:p w14:paraId="3BFC85D9"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96.84%</w:t>
            </w:r>
          </w:p>
        </w:tc>
        <w:tc>
          <w:tcPr>
            <w:tcW w:w="1437" w:type="dxa"/>
            <w:tcBorders>
              <w:top w:val="single" w:sz="4" w:space="0" w:color="auto"/>
              <w:left w:val="nil"/>
              <w:bottom w:val="single" w:sz="4" w:space="0" w:color="auto"/>
              <w:right w:val="nil"/>
            </w:tcBorders>
            <w:shd w:val="clear" w:color="auto" w:fill="auto"/>
            <w:vAlign w:val="bottom"/>
          </w:tcPr>
          <w:p w14:paraId="61A7A3C1"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98.58%</w:t>
            </w:r>
          </w:p>
        </w:tc>
        <w:tc>
          <w:tcPr>
            <w:tcW w:w="1437" w:type="dxa"/>
            <w:tcBorders>
              <w:top w:val="single" w:sz="4" w:space="0" w:color="auto"/>
              <w:left w:val="nil"/>
              <w:bottom w:val="single" w:sz="4" w:space="0" w:color="auto"/>
              <w:right w:val="nil"/>
            </w:tcBorders>
            <w:vAlign w:val="bottom"/>
          </w:tcPr>
          <w:p w14:paraId="77421FB7"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98.45%</w:t>
            </w:r>
          </w:p>
        </w:tc>
      </w:tr>
      <w:tr w:rsidR="009C24EF" w:rsidRPr="00213131" w14:paraId="2A9F2B8E" w14:textId="77777777" w:rsidTr="00A65A6F">
        <w:trPr>
          <w:cantSplit/>
          <w:trHeight w:hRule="exact" w:val="306"/>
        </w:trPr>
        <w:tc>
          <w:tcPr>
            <w:tcW w:w="4137" w:type="dxa"/>
            <w:tcBorders>
              <w:top w:val="single" w:sz="4" w:space="0" w:color="auto"/>
              <w:left w:val="nil"/>
              <w:bottom w:val="single" w:sz="4" w:space="0" w:color="auto"/>
              <w:right w:val="nil"/>
            </w:tcBorders>
            <w:shd w:val="clear" w:color="auto" w:fill="auto"/>
            <w:hideMark/>
          </w:tcPr>
          <w:p w14:paraId="0E1039DF" w14:textId="77777777" w:rsidR="009C24EF" w:rsidRPr="00213131" w:rsidRDefault="009C24EF" w:rsidP="00A65A6F">
            <w:pPr>
              <w:keepNext/>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Actual rate of return (%)</w:t>
            </w:r>
          </w:p>
        </w:tc>
        <w:tc>
          <w:tcPr>
            <w:tcW w:w="1437" w:type="dxa"/>
            <w:tcBorders>
              <w:top w:val="single" w:sz="4" w:space="0" w:color="auto"/>
              <w:left w:val="nil"/>
              <w:bottom w:val="single" w:sz="4" w:space="0" w:color="auto"/>
              <w:right w:val="nil"/>
            </w:tcBorders>
          </w:tcPr>
          <w:p w14:paraId="1F88EA31" w14:textId="77777777" w:rsidR="009C24EF" w:rsidRPr="00213131" w:rsidRDefault="009C24EF" w:rsidP="00A65A6F">
            <w:pPr>
              <w:keepNext/>
              <w:spacing w:before="0" w:after="0"/>
              <w:contextualSpacing/>
              <w:jc w:val="center"/>
              <w:rPr>
                <w:rFonts w:asciiTheme="majorBidi" w:hAnsiTheme="majorBidi" w:cstheme="majorBidi"/>
                <w:sz w:val="21"/>
                <w:szCs w:val="21"/>
                <w:rtl/>
              </w:rPr>
            </w:pPr>
          </w:p>
        </w:tc>
        <w:tc>
          <w:tcPr>
            <w:tcW w:w="1437" w:type="dxa"/>
            <w:tcBorders>
              <w:top w:val="single" w:sz="4" w:space="0" w:color="auto"/>
              <w:left w:val="nil"/>
              <w:bottom w:val="single" w:sz="4" w:space="0" w:color="auto"/>
              <w:right w:val="nil"/>
            </w:tcBorders>
            <w:vAlign w:val="bottom"/>
          </w:tcPr>
          <w:p w14:paraId="628D2CE5" w14:textId="6D0CD21F" w:rsidR="009C24EF" w:rsidRPr="00213131" w:rsidRDefault="008B1388" w:rsidP="00A65A6F">
            <w:pPr>
              <w:spacing w:before="0" w:after="0"/>
              <w:contextualSpacing/>
              <w:jc w:val="center"/>
              <w:rPr>
                <w:rFonts w:asciiTheme="majorBidi" w:hAnsiTheme="majorBidi" w:cstheme="majorBidi"/>
                <w:sz w:val="21"/>
                <w:szCs w:val="21"/>
              </w:rPr>
            </w:pPr>
            <w:r>
              <w:rPr>
                <w:rFonts w:asciiTheme="majorBidi" w:hAnsiTheme="majorBidi" w:cstheme="majorBidi"/>
                <w:sz w:val="21"/>
              </w:rPr>
              <w:t>5</w:t>
            </w:r>
            <w:r w:rsidR="009C24EF" w:rsidRPr="00213131">
              <w:rPr>
                <w:rFonts w:asciiTheme="majorBidi" w:hAnsiTheme="majorBidi" w:cstheme="majorBidi"/>
                <w:sz w:val="21"/>
              </w:rPr>
              <w:t>.9%</w:t>
            </w:r>
          </w:p>
        </w:tc>
        <w:tc>
          <w:tcPr>
            <w:tcW w:w="1437" w:type="dxa"/>
            <w:tcBorders>
              <w:top w:val="single" w:sz="4" w:space="0" w:color="auto"/>
              <w:left w:val="nil"/>
              <w:bottom w:val="single" w:sz="4" w:space="0" w:color="auto"/>
              <w:right w:val="nil"/>
            </w:tcBorders>
            <w:shd w:val="clear" w:color="auto" w:fill="auto"/>
            <w:vAlign w:val="bottom"/>
          </w:tcPr>
          <w:p w14:paraId="5D0037E3" w14:textId="14329A1B" w:rsidR="009C24EF" w:rsidRPr="00213131" w:rsidRDefault="008B1388" w:rsidP="00A65A6F">
            <w:pPr>
              <w:spacing w:before="0" w:after="0"/>
              <w:contextualSpacing/>
              <w:jc w:val="center"/>
              <w:rPr>
                <w:rFonts w:asciiTheme="majorBidi" w:hAnsiTheme="majorBidi" w:cstheme="majorBidi"/>
                <w:sz w:val="21"/>
                <w:szCs w:val="21"/>
              </w:rPr>
            </w:pPr>
            <w:r>
              <w:rPr>
                <w:rFonts w:asciiTheme="majorBidi" w:hAnsiTheme="majorBidi" w:cstheme="majorBidi"/>
                <w:sz w:val="21"/>
              </w:rPr>
              <w:t>5.7</w:t>
            </w:r>
            <w:r w:rsidR="009C24EF" w:rsidRPr="00213131">
              <w:rPr>
                <w:rFonts w:asciiTheme="majorBidi" w:hAnsiTheme="majorBidi" w:cstheme="majorBidi"/>
                <w:sz w:val="21"/>
              </w:rPr>
              <w:t>%</w:t>
            </w:r>
          </w:p>
        </w:tc>
        <w:tc>
          <w:tcPr>
            <w:tcW w:w="1437" w:type="dxa"/>
            <w:tcBorders>
              <w:top w:val="single" w:sz="4" w:space="0" w:color="auto"/>
              <w:left w:val="nil"/>
              <w:bottom w:val="single" w:sz="4" w:space="0" w:color="auto"/>
              <w:right w:val="nil"/>
            </w:tcBorders>
            <w:vAlign w:val="bottom"/>
          </w:tcPr>
          <w:p w14:paraId="6C6CF27A"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5.9%</w:t>
            </w:r>
          </w:p>
        </w:tc>
      </w:tr>
      <w:tr w:rsidR="009C24EF" w:rsidRPr="00213131" w14:paraId="104C8EC8" w14:textId="77777777" w:rsidTr="00A65A6F">
        <w:trPr>
          <w:cantSplit/>
          <w:trHeight w:hRule="exact" w:val="306"/>
        </w:trPr>
        <w:tc>
          <w:tcPr>
            <w:tcW w:w="4137" w:type="dxa"/>
            <w:tcBorders>
              <w:top w:val="single" w:sz="4" w:space="0" w:color="auto"/>
              <w:left w:val="nil"/>
              <w:bottom w:val="single" w:sz="4" w:space="0" w:color="auto"/>
              <w:right w:val="nil"/>
            </w:tcBorders>
            <w:shd w:val="clear" w:color="auto" w:fill="auto"/>
            <w:hideMark/>
          </w:tcPr>
          <w:p w14:paraId="3756BC88" w14:textId="77777777" w:rsidR="009C24EF" w:rsidRPr="00213131" w:rsidRDefault="009C24EF" w:rsidP="00A65A6F">
            <w:pPr>
              <w:tabs>
                <w:tab w:val="center" w:pos="4153"/>
                <w:tab w:val="right" w:pos="7936"/>
                <w:tab w:val="right" w:pos="8220"/>
                <w:tab w:val="right" w:pos="8306"/>
              </w:tabs>
              <w:spacing w:before="0" w:after="0"/>
              <w:contextualSpacing/>
              <w:rPr>
                <w:rFonts w:asciiTheme="majorBidi" w:eastAsia="Times New Roman" w:hAnsiTheme="majorBidi" w:cstheme="majorBidi"/>
                <w:sz w:val="21"/>
                <w:szCs w:val="21"/>
              </w:rPr>
            </w:pPr>
            <w:r w:rsidRPr="00213131">
              <w:rPr>
                <w:rFonts w:asciiTheme="majorBidi" w:hAnsiTheme="majorBidi" w:cstheme="majorBidi"/>
                <w:sz w:val="21"/>
              </w:rPr>
              <w:t xml:space="preserve">Average rent per sq. m. (per month in EUR) </w:t>
            </w:r>
          </w:p>
        </w:tc>
        <w:tc>
          <w:tcPr>
            <w:tcW w:w="1437" w:type="dxa"/>
            <w:tcBorders>
              <w:top w:val="single" w:sz="4" w:space="0" w:color="auto"/>
              <w:left w:val="nil"/>
              <w:bottom w:val="single" w:sz="4" w:space="0" w:color="auto"/>
              <w:right w:val="nil"/>
            </w:tcBorders>
          </w:tcPr>
          <w:p w14:paraId="158B6DFF" w14:textId="77777777" w:rsidR="009C24EF" w:rsidRPr="00213131" w:rsidRDefault="009C24EF" w:rsidP="00A65A6F">
            <w:pPr>
              <w:spacing w:before="0" w:after="0"/>
              <w:contextualSpacing/>
              <w:jc w:val="center"/>
              <w:rPr>
                <w:rFonts w:asciiTheme="majorBidi" w:hAnsiTheme="majorBidi" w:cstheme="majorBidi"/>
                <w:sz w:val="21"/>
                <w:szCs w:val="21"/>
                <w:rtl/>
              </w:rPr>
            </w:pPr>
          </w:p>
        </w:tc>
        <w:tc>
          <w:tcPr>
            <w:tcW w:w="1437" w:type="dxa"/>
            <w:tcBorders>
              <w:top w:val="single" w:sz="4" w:space="0" w:color="auto"/>
              <w:left w:val="nil"/>
              <w:bottom w:val="single" w:sz="4" w:space="0" w:color="auto"/>
              <w:right w:val="nil"/>
            </w:tcBorders>
            <w:vAlign w:val="bottom"/>
          </w:tcPr>
          <w:p w14:paraId="21079925"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32.9</w:t>
            </w:r>
          </w:p>
        </w:tc>
        <w:tc>
          <w:tcPr>
            <w:tcW w:w="1437" w:type="dxa"/>
            <w:tcBorders>
              <w:top w:val="single" w:sz="4" w:space="0" w:color="auto"/>
              <w:left w:val="nil"/>
              <w:bottom w:val="single" w:sz="4" w:space="0" w:color="auto"/>
              <w:right w:val="nil"/>
            </w:tcBorders>
            <w:shd w:val="clear" w:color="auto" w:fill="auto"/>
            <w:vAlign w:val="bottom"/>
          </w:tcPr>
          <w:p w14:paraId="3B8ADB30"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32.9</w:t>
            </w:r>
          </w:p>
        </w:tc>
        <w:tc>
          <w:tcPr>
            <w:tcW w:w="1437" w:type="dxa"/>
            <w:tcBorders>
              <w:top w:val="single" w:sz="4" w:space="0" w:color="auto"/>
              <w:left w:val="nil"/>
              <w:bottom w:val="single" w:sz="4" w:space="0" w:color="auto"/>
              <w:right w:val="nil"/>
            </w:tcBorders>
            <w:vAlign w:val="bottom"/>
          </w:tcPr>
          <w:p w14:paraId="5907837F"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30.2</w:t>
            </w:r>
          </w:p>
        </w:tc>
      </w:tr>
      <w:tr w:rsidR="009C24EF" w:rsidRPr="00213131" w14:paraId="600E659B" w14:textId="77777777" w:rsidTr="00A65A6F">
        <w:trPr>
          <w:cantSplit/>
          <w:trHeight w:hRule="exact" w:val="689"/>
        </w:trPr>
        <w:tc>
          <w:tcPr>
            <w:tcW w:w="4137" w:type="dxa"/>
            <w:tcBorders>
              <w:top w:val="single" w:sz="4" w:space="0" w:color="auto"/>
              <w:left w:val="nil"/>
              <w:bottom w:val="single" w:sz="4" w:space="0" w:color="auto"/>
              <w:right w:val="nil"/>
            </w:tcBorders>
            <w:shd w:val="clear" w:color="auto" w:fill="auto"/>
            <w:hideMark/>
          </w:tcPr>
          <w:p w14:paraId="640E5ADB" w14:textId="77777777" w:rsidR="009C24EF" w:rsidRPr="00213131" w:rsidRDefault="009C24EF" w:rsidP="00A65A6F">
            <w:pPr>
              <w:tabs>
                <w:tab w:val="center" w:pos="4153"/>
                <w:tab w:val="right" w:pos="7936"/>
                <w:tab w:val="right" w:pos="8220"/>
                <w:tab w:val="right" w:pos="8306"/>
              </w:tabs>
              <w:spacing w:before="0" w:after="0"/>
              <w:contextualSpacing/>
              <w:jc w:val="left"/>
              <w:rPr>
                <w:rFonts w:asciiTheme="majorBidi" w:eastAsia="Times New Roman" w:hAnsiTheme="majorBidi" w:cstheme="majorBidi"/>
                <w:sz w:val="21"/>
                <w:szCs w:val="21"/>
              </w:rPr>
            </w:pPr>
            <w:r w:rsidRPr="00213131">
              <w:rPr>
                <w:rFonts w:asciiTheme="majorBidi" w:hAnsiTheme="majorBidi" w:cstheme="majorBidi"/>
                <w:sz w:val="21"/>
              </w:rPr>
              <w:t xml:space="preserve">Average rent per </w:t>
            </w:r>
            <w:proofErr w:type="spellStart"/>
            <w:r w:rsidRPr="00213131">
              <w:rPr>
                <w:rFonts w:asciiTheme="majorBidi" w:hAnsiTheme="majorBidi" w:cstheme="majorBidi"/>
                <w:sz w:val="21"/>
              </w:rPr>
              <w:t>sq.m</w:t>
            </w:r>
            <w:proofErr w:type="spellEnd"/>
            <w:r w:rsidRPr="00213131">
              <w:rPr>
                <w:rFonts w:asciiTheme="majorBidi" w:hAnsiTheme="majorBidi" w:cstheme="majorBidi"/>
                <w:sz w:val="21"/>
              </w:rPr>
              <w:t>. in contracts signed in the period (per month in EUR)</w:t>
            </w:r>
          </w:p>
        </w:tc>
        <w:tc>
          <w:tcPr>
            <w:tcW w:w="1437" w:type="dxa"/>
            <w:tcBorders>
              <w:top w:val="single" w:sz="4" w:space="0" w:color="auto"/>
              <w:left w:val="nil"/>
              <w:bottom w:val="single" w:sz="4" w:space="0" w:color="auto"/>
              <w:right w:val="nil"/>
            </w:tcBorders>
          </w:tcPr>
          <w:p w14:paraId="15C07959" w14:textId="77777777" w:rsidR="009C24EF" w:rsidRPr="00213131" w:rsidRDefault="009C24EF" w:rsidP="00A65A6F">
            <w:pPr>
              <w:spacing w:before="0" w:after="0"/>
              <w:contextualSpacing/>
              <w:jc w:val="center"/>
              <w:rPr>
                <w:rFonts w:asciiTheme="majorBidi" w:hAnsiTheme="majorBidi" w:cstheme="majorBidi"/>
                <w:sz w:val="21"/>
                <w:szCs w:val="21"/>
                <w:rtl/>
              </w:rPr>
            </w:pPr>
          </w:p>
        </w:tc>
        <w:tc>
          <w:tcPr>
            <w:tcW w:w="1437" w:type="dxa"/>
            <w:tcBorders>
              <w:top w:val="single" w:sz="4" w:space="0" w:color="auto"/>
              <w:left w:val="nil"/>
              <w:bottom w:val="single" w:sz="4" w:space="0" w:color="auto"/>
              <w:right w:val="nil"/>
            </w:tcBorders>
            <w:vAlign w:val="bottom"/>
          </w:tcPr>
          <w:p w14:paraId="13FC137E"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42.8</w:t>
            </w:r>
          </w:p>
        </w:tc>
        <w:tc>
          <w:tcPr>
            <w:tcW w:w="1437" w:type="dxa"/>
            <w:tcBorders>
              <w:top w:val="single" w:sz="4" w:space="0" w:color="auto"/>
              <w:left w:val="nil"/>
              <w:bottom w:val="single" w:sz="4" w:space="0" w:color="auto"/>
              <w:right w:val="nil"/>
            </w:tcBorders>
            <w:shd w:val="clear" w:color="auto" w:fill="auto"/>
            <w:vAlign w:val="bottom"/>
          </w:tcPr>
          <w:p w14:paraId="4884792D"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35.5</w:t>
            </w:r>
          </w:p>
        </w:tc>
        <w:tc>
          <w:tcPr>
            <w:tcW w:w="1437" w:type="dxa"/>
            <w:tcBorders>
              <w:top w:val="single" w:sz="4" w:space="0" w:color="auto"/>
              <w:left w:val="nil"/>
              <w:bottom w:val="single" w:sz="4" w:space="0" w:color="auto"/>
              <w:right w:val="nil"/>
            </w:tcBorders>
            <w:vAlign w:val="bottom"/>
          </w:tcPr>
          <w:p w14:paraId="1D299A3A" w14:textId="77777777" w:rsidR="009C24EF" w:rsidRPr="00213131" w:rsidRDefault="009C24EF" w:rsidP="00A65A6F">
            <w:pPr>
              <w:spacing w:before="0" w:after="0"/>
              <w:contextualSpacing/>
              <w:jc w:val="center"/>
              <w:rPr>
                <w:rFonts w:asciiTheme="majorBidi" w:hAnsiTheme="majorBidi" w:cstheme="majorBidi"/>
                <w:sz w:val="21"/>
                <w:szCs w:val="21"/>
              </w:rPr>
            </w:pPr>
            <w:r w:rsidRPr="00213131">
              <w:rPr>
                <w:rFonts w:asciiTheme="majorBidi" w:hAnsiTheme="majorBidi" w:cstheme="majorBidi"/>
                <w:sz w:val="21"/>
              </w:rPr>
              <w:t>37.7</w:t>
            </w:r>
          </w:p>
        </w:tc>
      </w:tr>
    </w:tbl>
    <w:p w14:paraId="235CD08A" w14:textId="77777777" w:rsidR="009C24EF" w:rsidRPr="00213131" w:rsidRDefault="009C24EF" w:rsidP="009C24EF">
      <w:pPr>
        <w:tabs>
          <w:tab w:val="right" w:pos="7936"/>
          <w:tab w:val="right" w:pos="8220"/>
        </w:tabs>
        <w:spacing w:before="0" w:after="200" w:line="240" w:lineRule="auto"/>
        <w:rPr>
          <w:rFonts w:asciiTheme="majorBidi" w:hAnsiTheme="majorBidi" w:cstheme="majorBidi"/>
          <w:b/>
          <w:bCs/>
          <w:vertAlign w:val="subscript"/>
          <w:rtl/>
        </w:rPr>
      </w:pPr>
    </w:p>
    <w:p w14:paraId="6780037F" w14:textId="77777777" w:rsidR="007C36D2" w:rsidRDefault="007C36D2">
      <w:pPr>
        <w:spacing w:before="0" w:after="200"/>
        <w:jc w:val="left"/>
        <w:rPr>
          <w:rFonts w:eastAsia="Calibri"/>
          <w:bdr w:val="nil"/>
        </w:rPr>
        <w:sectPr w:rsidR="007C36D2" w:rsidSect="007C36D2">
          <w:headerReference w:type="even" r:id="rId26"/>
          <w:headerReference w:type="default" r:id="rId27"/>
          <w:footerReference w:type="even" r:id="rId28"/>
          <w:footerReference w:type="default" r:id="rId29"/>
          <w:headerReference w:type="first" r:id="rId30"/>
          <w:footerReference w:type="first" r:id="rId31"/>
          <w:footnotePr>
            <w:numRestart w:val="eachPage"/>
          </w:footnotePr>
          <w:type w:val="continuous"/>
          <w:pgSz w:w="11906" w:h="16838"/>
          <w:pgMar w:top="1144" w:right="992" w:bottom="1134" w:left="992" w:header="567" w:footer="567" w:gutter="0"/>
          <w:pgBorders>
            <w:top w:val="nil"/>
            <w:left w:val="nil"/>
            <w:bottom w:val="nil"/>
            <w:right w:val="nil"/>
          </w:pgBorders>
          <w:cols w:space="708"/>
          <w:bidi/>
          <w:rtlGutter/>
          <w:docGrid w:linePitch="360"/>
        </w:sectPr>
      </w:pPr>
    </w:p>
    <w:p w14:paraId="19DFF74F" w14:textId="77777777" w:rsidR="00C53A48" w:rsidRPr="00074A57" w:rsidRDefault="00C53A48" w:rsidP="00C53A48">
      <w:pPr>
        <w:pageBreakBefore/>
        <w:pBdr>
          <w:top w:val="nil"/>
          <w:left w:val="nil"/>
          <w:bottom w:val="nil"/>
          <w:right w:val="nil"/>
          <w:between w:val="nil"/>
          <w:bar w:val="nil"/>
        </w:pBdr>
        <w:spacing w:before="0" w:after="0" w:line="264" w:lineRule="auto"/>
        <w:jc w:val="center"/>
        <w:rPr>
          <w:rFonts w:eastAsia="Calibri"/>
          <w:b/>
          <w:bCs/>
          <w:sz w:val="24"/>
          <w:szCs w:val="24"/>
          <w:bdr w:val="nil"/>
        </w:rPr>
      </w:pPr>
      <w:r w:rsidRPr="004D525E">
        <w:rPr>
          <w:rFonts w:eastAsia="Calibri"/>
          <w:b/>
          <w:bCs/>
          <w:sz w:val="24"/>
          <w:szCs w:val="24"/>
          <w:bdr w:val="nil"/>
        </w:rPr>
        <w:lastRenderedPageBreak/>
        <w:t>G CITY</w:t>
      </w:r>
      <w:r w:rsidRPr="00074A57">
        <w:rPr>
          <w:rFonts w:eastAsia="Calibri"/>
          <w:b/>
          <w:bCs/>
          <w:sz w:val="24"/>
          <w:szCs w:val="24"/>
          <w:bdr w:val="nil"/>
        </w:rPr>
        <w:t xml:space="preserve"> LTD.</w:t>
      </w:r>
    </w:p>
    <w:p w14:paraId="401F4B2B" w14:textId="77777777" w:rsidR="00C53A48" w:rsidRPr="00074A57" w:rsidRDefault="00C53A48" w:rsidP="00C53A48">
      <w:pPr>
        <w:pBdr>
          <w:top w:val="nil"/>
          <w:left w:val="nil"/>
          <w:bottom w:val="nil"/>
          <w:right w:val="nil"/>
          <w:between w:val="nil"/>
          <w:bar w:val="nil"/>
        </w:pBdr>
        <w:spacing w:before="0" w:after="0" w:line="264" w:lineRule="auto"/>
        <w:jc w:val="center"/>
        <w:rPr>
          <w:rFonts w:eastAsia="Calibri"/>
          <w:b/>
          <w:bCs/>
          <w:sz w:val="24"/>
          <w:szCs w:val="24"/>
          <w:bdr w:val="nil"/>
        </w:rPr>
      </w:pPr>
    </w:p>
    <w:p w14:paraId="0B9396AD" w14:textId="77777777" w:rsidR="00C53A48" w:rsidRPr="00074A57" w:rsidRDefault="00C53A48" w:rsidP="00C53A48">
      <w:pPr>
        <w:pBdr>
          <w:top w:val="nil"/>
          <w:left w:val="nil"/>
          <w:bottom w:val="nil"/>
          <w:right w:val="nil"/>
          <w:between w:val="nil"/>
          <w:bar w:val="nil"/>
        </w:pBdr>
        <w:spacing w:before="0" w:after="0" w:line="264" w:lineRule="auto"/>
        <w:jc w:val="center"/>
        <w:rPr>
          <w:rFonts w:eastAsia="Calibri"/>
          <w:b/>
          <w:bCs/>
          <w:sz w:val="24"/>
          <w:szCs w:val="24"/>
          <w:bdr w:val="nil"/>
        </w:rPr>
      </w:pPr>
    </w:p>
    <w:p w14:paraId="42A6F42E" w14:textId="16509FB8" w:rsidR="00C53A48" w:rsidRPr="00074A57" w:rsidRDefault="00C53A48" w:rsidP="00F449A6">
      <w:pPr>
        <w:pBdr>
          <w:top w:val="nil"/>
          <w:left w:val="nil"/>
          <w:bottom w:val="nil"/>
          <w:right w:val="nil"/>
          <w:between w:val="nil"/>
          <w:bar w:val="nil"/>
        </w:pBdr>
        <w:spacing w:before="0" w:after="0" w:line="264" w:lineRule="auto"/>
        <w:jc w:val="center"/>
        <w:outlineLvl w:val="1"/>
        <w:rPr>
          <w:rFonts w:eastAsia="Calibri"/>
          <w:b/>
          <w:bCs/>
          <w:sz w:val="24"/>
          <w:szCs w:val="24"/>
          <w:bdr w:val="nil"/>
        </w:rPr>
      </w:pPr>
      <w:r w:rsidRPr="00074A57">
        <w:rPr>
          <w:rFonts w:eastAsia="Calibri"/>
          <w:b/>
          <w:bCs/>
          <w:sz w:val="24"/>
          <w:szCs w:val="24"/>
          <w:bdr w:val="nil"/>
        </w:rPr>
        <w:t>CONDENSED CONSOLIDATED INTERIM FINANCIAL STATEMENTS</w:t>
      </w:r>
      <w:r w:rsidR="00F449A6">
        <w:rPr>
          <w:rFonts w:eastAsia="Calibri"/>
          <w:b/>
          <w:bCs/>
          <w:sz w:val="24"/>
          <w:szCs w:val="24"/>
          <w:bdr w:val="nil"/>
        </w:rPr>
        <w:br/>
      </w:r>
      <w:r w:rsidR="00F449A6">
        <w:rPr>
          <w:rFonts w:eastAsia="Calibri"/>
          <w:b/>
          <w:bCs/>
          <w:sz w:val="24"/>
          <w:szCs w:val="24"/>
          <w:bdr w:val="nil"/>
        </w:rPr>
        <w:br/>
      </w:r>
      <w:r w:rsidR="00F449A6">
        <w:rPr>
          <w:rFonts w:eastAsia="Calibri"/>
          <w:b/>
          <w:bCs/>
          <w:sz w:val="24"/>
          <w:szCs w:val="24"/>
          <w:bdr w:val="nil"/>
        </w:rPr>
        <w:br/>
      </w:r>
      <w:r w:rsidRPr="00074A57">
        <w:rPr>
          <w:rFonts w:eastAsia="Calibri"/>
          <w:b/>
          <w:bCs/>
          <w:sz w:val="24"/>
          <w:szCs w:val="24"/>
          <w:bdr w:val="nil"/>
        </w:rPr>
        <w:t xml:space="preserve">As of </w:t>
      </w:r>
      <w:r w:rsidR="004D7A72">
        <w:rPr>
          <w:rFonts w:eastAsia="Calibri"/>
          <w:b/>
          <w:bCs/>
          <w:sz w:val="24"/>
          <w:szCs w:val="24"/>
          <w:bdr w:val="nil"/>
        </w:rPr>
        <w:t>June</w:t>
      </w:r>
      <w:r w:rsidRPr="00074A57">
        <w:rPr>
          <w:rFonts w:eastAsia="Calibri"/>
          <w:b/>
          <w:bCs/>
          <w:sz w:val="24"/>
          <w:szCs w:val="24"/>
          <w:bdr w:val="nil"/>
        </w:rPr>
        <w:t xml:space="preserve"> </w:t>
      </w:r>
      <w:r w:rsidR="004D7A72">
        <w:rPr>
          <w:rFonts w:eastAsia="Calibri"/>
          <w:b/>
          <w:bCs/>
          <w:sz w:val="24"/>
          <w:szCs w:val="24"/>
          <w:bdr w:val="nil"/>
        </w:rPr>
        <w:t>30</w:t>
      </w:r>
      <w:r w:rsidRPr="00074A57">
        <w:rPr>
          <w:rFonts w:eastAsia="Calibri"/>
          <w:b/>
          <w:bCs/>
          <w:sz w:val="24"/>
          <w:szCs w:val="24"/>
          <w:bdr w:val="nil"/>
        </w:rPr>
        <w:t>, 2024</w:t>
      </w:r>
    </w:p>
    <w:p w14:paraId="19F26600" w14:textId="77777777" w:rsidR="00C53A48" w:rsidRPr="00074A57" w:rsidRDefault="00C53A48" w:rsidP="00C53A48">
      <w:pPr>
        <w:pBdr>
          <w:top w:val="nil"/>
          <w:left w:val="nil"/>
          <w:bottom w:val="nil"/>
          <w:right w:val="nil"/>
          <w:between w:val="nil"/>
          <w:bar w:val="nil"/>
        </w:pBdr>
        <w:spacing w:before="0" w:after="0" w:line="264" w:lineRule="auto"/>
        <w:jc w:val="center"/>
        <w:rPr>
          <w:rFonts w:eastAsia="Calibri"/>
          <w:b/>
          <w:bCs/>
          <w:sz w:val="24"/>
          <w:szCs w:val="24"/>
          <w:bdr w:val="nil"/>
        </w:rPr>
      </w:pPr>
    </w:p>
    <w:p w14:paraId="033FC6F3" w14:textId="77777777" w:rsidR="00C53A48" w:rsidRPr="00074A57" w:rsidRDefault="00C53A48" w:rsidP="00C53A48">
      <w:pPr>
        <w:pBdr>
          <w:top w:val="nil"/>
          <w:left w:val="nil"/>
          <w:bottom w:val="nil"/>
          <w:right w:val="nil"/>
          <w:between w:val="nil"/>
          <w:bar w:val="nil"/>
        </w:pBdr>
        <w:spacing w:before="0" w:after="0" w:line="264" w:lineRule="auto"/>
        <w:jc w:val="center"/>
        <w:rPr>
          <w:rFonts w:eastAsia="Calibri"/>
          <w:b/>
          <w:bCs/>
          <w:sz w:val="24"/>
          <w:szCs w:val="24"/>
          <w:bdr w:val="nil"/>
        </w:rPr>
      </w:pPr>
    </w:p>
    <w:p w14:paraId="40C00D8D" w14:textId="77777777" w:rsidR="00C53A48" w:rsidRPr="00074A57" w:rsidRDefault="00C53A48" w:rsidP="00C53A48">
      <w:pPr>
        <w:pBdr>
          <w:top w:val="nil"/>
          <w:left w:val="nil"/>
          <w:bottom w:val="nil"/>
          <w:right w:val="nil"/>
          <w:between w:val="nil"/>
          <w:bar w:val="nil"/>
        </w:pBdr>
        <w:spacing w:before="0" w:after="0" w:line="264" w:lineRule="auto"/>
        <w:jc w:val="center"/>
        <w:rPr>
          <w:rFonts w:eastAsia="Calibri"/>
          <w:b/>
          <w:bCs/>
          <w:sz w:val="24"/>
          <w:szCs w:val="24"/>
          <w:bdr w:val="nil"/>
        </w:rPr>
      </w:pPr>
      <w:r w:rsidRPr="00074A57">
        <w:rPr>
          <w:rFonts w:eastAsia="Calibri"/>
          <w:b/>
          <w:bCs/>
          <w:sz w:val="24"/>
          <w:szCs w:val="24"/>
          <w:bdr w:val="nil"/>
        </w:rPr>
        <w:t>Unaudited</w:t>
      </w:r>
    </w:p>
    <w:p w14:paraId="22D4B9B0" w14:textId="77777777" w:rsidR="00C53A48" w:rsidRPr="00074A57" w:rsidRDefault="00C53A48" w:rsidP="00C53A48">
      <w:pPr>
        <w:pBdr>
          <w:top w:val="nil"/>
          <w:left w:val="nil"/>
          <w:bottom w:val="nil"/>
          <w:right w:val="nil"/>
          <w:between w:val="nil"/>
          <w:bar w:val="nil"/>
        </w:pBdr>
        <w:spacing w:before="0" w:after="0" w:line="264" w:lineRule="auto"/>
        <w:jc w:val="center"/>
        <w:rPr>
          <w:rFonts w:eastAsia="Calibri"/>
          <w:b/>
          <w:bCs/>
          <w:sz w:val="24"/>
          <w:szCs w:val="24"/>
          <w:bdr w:val="nil"/>
        </w:rPr>
      </w:pPr>
    </w:p>
    <w:p w14:paraId="55E448C9" w14:textId="77777777" w:rsidR="00C53A48" w:rsidRPr="00074A57" w:rsidRDefault="00C53A48" w:rsidP="00C53A48">
      <w:pPr>
        <w:pBdr>
          <w:top w:val="nil"/>
          <w:left w:val="nil"/>
          <w:bottom w:val="nil"/>
          <w:right w:val="nil"/>
          <w:between w:val="nil"/>
          <w:bar w:val="nil"/>
        </w:pBdr>
        <w:spacing w:before="0" w:after="0" w:line="264" w:lineRule="auto"/>
        <w:jc w:val="center"/>
        <w:rPr>
          <w:rFonts w:eastAsia="Calibri"/>
          <w:b/>
          <w:bCs/>
          <w:sz w:val="24"/>
          <w:szCs w:val="24"/>
          <w:bdr w:val="nil"/>
        </w:rPr>
      </w:pPr>
    </w:p>
    <w:p w14:paraId="31C93B89" w14:textId="77777777" w:rsidR="00C53A48" w:rsidRPr="00074A57" w:rsidRDefault="00C53A48" w:rsidP="00C53A48">
      <w:pPr>
        <w:pBdr>
          <w:top w:val="nil"/>
          <w:left w:val="nil"/>
          <w:bottom w:val="nil"/>
          <w:right w:val="nil"/>
          <w:between w:val="nil"/>
          <w:bar w:val="nil"/>
        </w:pBdr>
        <w:spacing w:before="0" w:after="0" w:line="264" w:lineRule="auto"/>
        <w:jc w:val="center"/>
        <w:rPr>
          <w:rFonts w:eastAsia="Calibri"/>
          <w:b/>
          <w:bCs/>
          <w:sz w:val="24"/>
          <w:szCs w:val="24"/>
          <w:bdr w:val="nil"/>
        </w:rPr>
      </w:pPr>
    </w:p>
    <w:p w14:paraId="0FFDBB8F" w14:textId="77777777" w:rsidR="00C53A48" w:rsidRPr="00074A57" w:rsidRDefault="00C53A48" w:rsidP="00C53A48">
      <w:pPr>
        <w:pBdr>
          <w:top w:val="nil"/>
          <w:left w:val="nil"/>
          <w:bottom w:val="nil"/>
          <w:right w:val="nil"/>
          <w:between w:val="nil"/>
          <w:bar w:val="nil"/>
        </w:pBdr>
        <w:spacing w:before="0" w:after="0" w:line="264" w:lineRule="auto"/>
        <w:jc w:val="center"/>
        <w:rPr>
          <w:rFonts w:eastAsia="Calibri"/>
          <w:sz w:val="24"/>
          <w:szCs w:val="24"/>
          <w:bdr w:val="nil"/>
        </w:rPr>
      </w:pPr>
    </w:p>
    <w:p w14:paraId="141106B0" w14:textId="77777777" w:rsidR="00C53A48" w:rsidRPr="00074A57" w:rsidRDefault="00C53A48" w:rsidP="00F449A6">
      <w:pPr>
        <w:pBdr>
          <w:top w:val="nil"/>
          <w:left w:val="nil"/>
          <w:bottom w:val="nil"/>
          <w:right w:val="nil"/>
          <w:between w:val="nil"/>
          <w:bar w:val="nil"/>
        </w:pBdr>
        <w:spacing w:before="0" w:after="0" w:line="264" w:lineRule="auto"/>
        <w:jc w:val="center"/>
        <w:outlineLvl w:val="2"/>
        <w:rPr>
          <w:rFonts w:eastAsia="Calibri"/>
          <w:sz w:val="24"/>
          <w:szCs w:val="24"/>
          <w:bdr w:val="nil"/>
        </w:rPr>
      </w:pPr>
      <w:r w:rsidRPr="00074A57">
        <w:rPr>
          <w:rFonts w:eastAsia="Calibri"/>
          <w:sz w:val="24"/>
          <w:szCs w:val="24"/>
          <w:bdr w:val="nil"/>
        </w:rPr>
        <w:t>TABLE OF CONTENTS</w:t>
      </w:r>
    </w:p>
    <w:p w14:paraId="6C3A4814" w14:textId="77777777" w:rsidR="00C53A48" w:rsidRPr="00074A57" w:rsidRDefault="00C53A48" w:rsidP="00C53A48">
      <w:pPr>
        <w:pBdr>
          <w:top w:val="nil"/>
          <w:left w:val="nil"/>
          <w:bottom w:val="nil"/>
          <w:right w:val="nil"/>
          <w:between w:val="nil"/>
          <w:bar w:val="nil"/>
        </w:pBdr>
        <w:spacing w:before="0" w:after="0" w:line="264" w:lineRule="auto"/>
        <w:jc w:val="center"/>
        <w:rPr>
          <w:rFonts w:eastAsia="Calibri"/>
          <w:sz w:val="24"/>
          <w:szCs w:val="24"/>
          <w:bdr w:val="nil"/>
        </w:rPr>
      </w:pPr>
    </w:p>
    <w:tbl>
      <w:tblPr>
        <w:tblW w:w="9390" w:type="dxa"/>
        <w:jc w:val="center"/>
        <w:tblLayout w:type="fixed"/>
        <w:tblCellMar>
          <w:left w:w="107" w:type="dxa"/>
          <w:right w:w="107" w:type="dxa"/>
        </w:tblCellMar>
        <w:tblLook w:val="04A0" w:firstRow="1" w:lastRow="0" w:firstColumn="1" w:lastColumn="0" w:noHBand="0" w:noVBand="1"/>
        <w:tblCaption w:val="AHR01HC01_Dir0"/>
        <w:tblDescription w:val="TABLE OF CONTENTS&#10;"/>
      </w:tblPr>
      <w:tblGrid>
        <w:gridCol w:w="8046"/>
        <w:gridCol w:w="1344"/>
      </w:tblGrid>
      <w:tr w:rsidR="00C53A48" w:rsidRPr="00074A57" w14:paraId="7E541495" w14:textId="77777777" w:rsidTr="00F449A6">
        <w:trPr>
          <w:tblHeader/>
          <w:jc w:val="center"/>
        </w:trPr>
        <w:tc>
          <w:tcPr>
            <w:tcW w:w="8046" w:type="dxa"/>
          </w:tcPr>
          <w:p w14:paraId="12EC25AC"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Narkisim"/>
                <w:sz w:val="22"/>
                <w:szCs w:val="22"/>
                <w:bdr w:val="nil"/>
              </w:rPr>
            </w:pPr>
          </w:p>
        </w:tc>
        <w:tc>
          <w:tcPr>
            <w:tcW w:w="1344" w:type="dxa"/>
            <w:tcBorders>
              <w:top w:val="nil"/>
              <w:left w:val="nil"/>
              <w:bottom w:val="single" w:sz="6" w:space="0" w:color="auto"/>
              <w:right w:val="nil"/>
            </w:tcBorders>
            <w:hideMark/>
          </w:tcPr>
          <w:p w14:paraId="086DFB73"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 w:val="22"/>
                <w:szCs w:val="22"/>
                <w:bdr w:val="nil"/>
              </w:rPr>
            </w:pPr>
            <w:r w:rsidRPr="00074A57">
              <w:rPr>
                <w:rFonts w:eastAsia="Calibri" w:cs="Narkisim"/>
                <w:szCs w:val="22"/>
                <w:bdr w:val="nil"/>
              </w:rPr>
              <w:t>Page</w:t>
            </w:r>
          </w:p>
        </w:tc>
      </w:tr>
      <w:tr w:rsidR="00C53A48" w:rsidRPr="00074A57" w14:paraId="579610A8" w14:textId="77777777" w:rsidTr="00F449A6">
        <w:trPr>
          <w:jc w:val="center"/>
        </w:trPr>
        <w:tc>
          <w:tcPr>
            <w:tcW w:w="8046" w:type="dxa"/>
          </w:tcPr>
          <w:p w14:paraId="7AA6A5F7"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Narkisim"/>
                <w:sz w:val="22"/>
                <w:szCs w:val="22"/>
                <w:highlight w:val="yellow"/>
                <w:bdr w:val="nil"/>
                <w:rtl/>
              </w:rPr>
            </w:pPr>
          </w:p>
        </w:tc>
        <w:tc>
          <w:tcPr>
            <w:tcW w:w="1344" w:type="dxa"/>
          </w:tcPr>
          <w:p w14:paraId="6639EF16"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 w:val="22"/>
                <w:szCs w:val="22"/>
                <w:highlight w:val="yellow"/>
                <w:bdr w:val="nil"/>
              </w:rPr>
            </w:pPr>
          </w:p>
        </w:tc>
      </w:tr>
      <w:tr w:rsidR="00C53A48" w:rsidRPr="00074A57" w14:paraId="62DC203D" w14:textId="77777777" w:rsidTr="00F449A6">
        <w:trPr>
          <w:jc w:val="center"/>
        </w:trPr>
        <w:tc>
          <w:tcPr>
            <w:tcW w:w="8046" w:type="dxa"/>
            <w:hideMark/>
          </w:tcPr>
          <w:p w14:paraId="3309EBED"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Miriam"/>
                <w:sz w:val="22"/>
                <w:szCs w:val="22"/>
                <w:bdr w:val="nil"/>
              </w:rPr>
            </w:pPr>
            <w:r w:rsidRPr="00074A57">
              <w:rPr>
                <w:rFonts w:eastAsia="Calibri" w:cs="Miriam"/>
                <w:szCs w:val="22"/>
                <w:bdr w:val="nil"/>
              </w:rPr>
              <w:t>Auditors' Review Report</w:t>
            </w:r>
          </w:p>
        </w:tc>
        <w:tc>
          <w:tcPr>
            <w:tcW w:w="1344" w:type="dxa"/>
            <w:hideMark/>
          </w:tcPr>
          <w:p w14:paraId="1EACB658" w14:textId="35E81D51" w:rsidR="00C53A48" w:rsidRPr="006B096E" w:rsidRDefault="008242AD"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 w:val="22"/>
                <w:szCs w:val="22"/>
                <w:bdr w:val="nil"/>
              </w:rPr>
            </w:pPr>
            <w:r>
              <w:rPr>
                <w:rFonts w:eastAsia="Calibri" w:cs="Narkisim"/>
                <w:szCs w:val="22"/>
                <w:bdr w:val="nil"/>
              </w:rPr>
              <w:t>44</w:t>
            </w:r>
            <w:r w:rsidR="00C53A48" w:rsidRPr="006B096E">
              <w:rPr>
                <w:rFonts w:eastAsia="Calibri" w:cs="Narkisim"/>
                <w:szCs w:val="22"/>
                <w:bdr w:val="nil"/>
              </w:rPr>
              <w:t xml:space="preserve"> </w:t>
            </w:r>
          </w:p>
        </w:tc>
      </w:tr>
      <w:tr w:rsidR="00C53A48" w:rsidRPr="00074A57" w14:paraId="7A151629" w14:textId="77777777" w:rsidTr="00F449A6">
        <w:trPr>
          <w:jc w:val="center"/>
        </w:trPr>
        <w:tc>
          <w:tcPr>
            <w:tcW w:w="8046" w:type="dxa"/>
          </w:tcPr>
          <w:p w14:paraId="31CDAEEF"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Narkisim"/>
                <w:sz w:val="22"/>
                <w:szCs w:val="22"/>
                <w:bdr w:val="nil"/>
              </w:rPr>
            </w:pPr>
          </w:p>
        </w:tc>
        <w:tc>
          <w:tcPr>
            <w:tcW w:w="1344" w:type="dxa"/>
          </w:tcPr>
          <w:p w14:paraId="3ABCDA72" w14:textId="77777777" w:rsidR="00C53A48" w:rsidRPr="006B096E" w:rsidRDefault="00C53A48"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 w:val="22"/>
                <w:szCs w:val="22"/>
                <w:bdr w:val="nil"/>
              </w:rPr>
            </w:pPr>
          </w:p>
        </w:tc>
      </w:tr>
      <w:tr w:rsidR="00C53A48" w:rsidRPr="00074A57" w14:paraId="470C0B9A" w14:textId="77777777" w:rsidTr="00F449A6">
        <w:trPr>
          <w:jc w:val="center"/>
        </w:trPr>
        <w:tc>
          <w:tcPr>
            <w:tcW w:w="8046" w:type="dxa"/>
            <w:hideMark/>
          </w:tcPr>
          <w:p w14:paraId="16001F6E"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Narkisim"/>
                <w:sz w:val="22"/>
                <w:szCs w:val="22"/>
                <w:bdr w:val="nil"/>
              </w:rPr>
            </w:pPr>
            <w:r w:rsidRPr="00074A57">
              <w:rPr>
                <w:rFonts w:eastAsia="Calibri" w:cs="Miriam"/>
                <w:szCs w:val="22"/>
                <w:bdr w:val="nil"/>
              </w:rPr>
              <w:t>Condensed Consolidated Statements of Financial Position</w:t>
            </w:r>
          </w:p>
        </w:tc>
        <w:tc>
          <w:tcPr>
            <w:tcW w:w="1344" w:type="dxa"/>
            <w:hideMark/>
          </w:tcPr>
          <w:p w14:paraId="1DC26E3E" w14:textId="6246C556" w:rsidR="00C53A48" w:rsidRPr="006B096E" w:rsidRDefault="008242AD"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 w:val="22"/>
                <w:szCs w:val="22"/>
                <w:bdr w:val="nil"/>
              </w:rPr>
            </w:pPr>
            <w:r>
              <w:rPr>
                <w:rFonts w:eastAsia="Calibri" w:cs="Narkisim"/>
                <w:szCs w:val="22"/>
                <w:bdr w:val="nil"/>
              </w:rPr>
              <w:t>45</w:t>
            </w:r>
            <w:r w:rsidR="00C53A48" w:rsidRPr="006B096E">
              <w:rPr>
                <w:rFonts w:eastAsia="Calibri" w:cs="Narkisim"/>
                <w:szCs w:val="22"/>
                <w:bdr w:val="nil"/>
              </w:rPr>
              <w:t xml:space="preserve"> </w:t>
            </w:r>
          </w:p>
        </w:tc>
      </w:tr>
      <w:tr w:rsidR="00C53A48" w:rsidRPr="00074A57" w14:paraId="3AEFAF79" w14:textId="77777777" w:rsidTr="00F449A6">
        <w:trPr>
          <w:jc w:val="center"/>
        </w:trPr>
        <w:tc>
          <w:tcPr>
            <w:tcW w:w="8046" w:type="dxa"/>
          </w:tcPr>
          <w:p w14:paraId="3425ECEF"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Narkisim"/>
                <w:sz w:val="22"/>
                <w:szCs w:val="22"/>
                <w:bdr w:val="nil"/>
              </w:rPr>
            </w:pPr>
          </w:p>
        </w:tc>
        <w:tc>
          <w:tcPr>
            <w:tcW w:w="1344" w:type="dxa"/>
          </w:tcPr>
          <w:p w14:paraId="2DFF6C6F" w14:textId="77777777" w:rsidR="00C53A48" w:rsidRPr="006B096E" w:rsidRDefault="00C53A48"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 w:val="22"/>
                <w:szCs w:val="22"/>
                <w:bdr w:val="nil"/>
              </w:rPr>
            </w:pPr>
          </w:p>
        </w:tc>
      </w:tr>
      <w:tr w:rsidR="00C53A48" w:rsidRPr="00074A57" w14:paraId="08C64CE7" w14:textId="77777777" w:rsidTr="00F449A6">
        <w:trPr>
          <w:jc w:val="center"/>
        </w:trPr>
        <w:tc>
          <w:tcPr>
            <w:tcW w:w="8046" w:type="dxa"/>
            <w:hideMark/>
          </w:tcPr>
          <w:p w14:paraId="182B83EF"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Narkisim"/>
                <w:sz w:val="22"/>
                <w:szCs w:val="22"/>
                <w:bdr w:val="nil"/>
              </w:rPr>
            </w:pPr>
            <w:r w:rsidRPr="00074A57">
              <w:rPr>
                <w:rFonts w:eastAsia="Calibri" w:cs="Miriam"/>
                <w:szCs w:val="22"/>
                <w:bdr w:val="nil"/>
              </w:rPr>
              <w:t xml:space="preserve">Condensed Consolidated </w:t>
            </w:r>
            <w:r w:rsidRPr="00074A57">
              <w:rPr>
                <w:rFonts w:eastAsia="Calibri" w:cs="Narkisim"/>
                <w:szCs w:val="22"/>
                <w:bdr w:val="nil"/>
              </w:rPr>
              <w:t>Statements of Income</w:t>
            </w:r>
          </w:p>
        </w:tc>
        <w:tc>
          <w:tcPr>
            <w:tcW w:w="1344" w:type="dxa"/>
            <w:hideMark/>
          </w:tcPr>
          <w:p w14:paraId="58712C88" w14:textId="5D9DC167" w:rsidR="00C53A48" w:rsidRPr="006B096E" w:rsidRDefault="008242AD"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 w:val="22"/>
                <w:szCs w:val="22"/>
                <w:bdr w:val="nil"/>
              </w:rPr>
            </w:pPr>
            <w:r>
              <w:rPr>
                <w:rFonts w:eastAsia="Calibri" w:cs="Narkisim"/>
                <w:szCs w:val="22"/>
                <w:bdr w:val="nil"/>
              </w:rPr>
              <w:t>47</w:t>
            </w:r>
            <w:r w:rsidR="00C53A48" w:rsidRPr="006B096E">
              <w:rPr>
                <w:rFonts w:eastAsia="Calibri" w:cs="Narkisim"/>
                <w:szCs w:val="22"/>
                <w:bdr w:val="nil"/>
              </w:rPr>
              <w:t xml:space="preserve"> </w:t>
            </w:r>
          </w:p>
        </w:tc>
      </w:tr>
      <w:tr w:rsidR="00C53A48" w:rsidRPr="00074A57" w14:paraId="1349126F" w14:textId="77777777" w:rsidTr="00F449A6">
        <w:trPr>
          <w:jc w:val="center"/>
        </w:trPr>
        <w:tc>
          <w:tcPr>
            <w:tcW w:w="8046" w:type="dxa"/>
          </w:tcPr>
          <w:p w14:paraId="3A80F82F"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Narkisim"/>
                <w:sz w:val="22"/>
                <w:szCs w:val="22"/>
                <w:bdr w:val="nil"/>
              </w:rPr>
            </w:pPr>
          </w:p>
        </w:tc>
        <w:tc>
          <w:tcPr>
            <w:tcW w:w="1344" w:type="dxa"/>
          </w:tcPr>
          <w:p w14:paraId="00BDFABF" w14:textId="77777777" w:rsidR="00C53A48" w:rsidRPr="006B096E" w:rsidRDefault="00C53A48"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 w:val="22"/>
                <w:szCs w:val="22"/>
                <w:bdr w:val="nil"/>
              </w:rPr>
            </w:pPr>
          </w:p>
        </w:tc>
      </w:tr>
      <w:tr w:rsidR="00C53A48" w:rsidRPr="00074A57" w14:paraId="6FF2C64B" w14:textId="77777777" w:rsidTr="00F449A6">
        <w:trPr>
          <w:jc w:val="center"/>
        </w:trPr>
        <w:tc>
          <w:tcPr>
            <w:tcW w:w="8046" w:type="dxa"/>
            <w:hideMark/>
          </w:tcPr>
          <w:p w14:paraId="7554E3C5"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Narkisim"/>
                <w:sz w:val="22"/>
                <w:szCs w:val="22"/>
                <w:bdr w:val="nil"/>
              </w:rPr>
            </w:pPr>
            <w:r w:rsidRPr="00074A57">
              <w:rPr>
                <w:rFonts w:eastAsia="Calibri" w:cs="Miriam"/>
                <w:szCs w:val="22"/>
                <w:bdr w:val="nil"/>
              </w:rPr>
              <w:t>Condensed</w:t>
            </w:r>
            <w:r w:rsidRPr="00074A57">
              <w:rPr>
                <w:rFonts w:eastAsia="Calibri"/>
                <w:szCs w:val="22"/>
                <w:bdr w:val="nil"/>
              </w:rPr>
              <w:t xml:space="preserve"> Consolidated Statements of Comprehensive Income</w:t>
            </w:r>
          </w:p>
        </w:tc>
        <w:tc>
          <w:tcPr>
            <w:tcW w:w="1344" w:type="dxa"/>
            <w:hideMark/>
          </w:tcPr>
          <w:p w14:paraId="54B2F1CA" w14:textId="1FB81560" w:rsidR="00C53A48" w:rsidRPr="006B096E" w:rsidRDefault="008242AD"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 w:val="22"/>
                <w:szCs w:val="22"/>
                <w:bdr w:val="nil"/>
              </w:rPr>
            </w:pPr>
            <w:r>
              <w:rPr>
                <w:rFonts w:eastAsia="Calibri" w:cs="Narkisim"/>
                <w:szCs w:val="22"/>
                <w:bdr w:val="nil"/>
              </w:rPr>
              <w:t>48</w:t>
            </w:r>
            <w:r w:rsidR="00C53A48" w:rsidRPr="006B096E">
              <w:rPr>
                <w:rFonts w:eastAsia="Calibri" w:cs="Narkisim"/>
                <w:szCs w:val="22"/>
                <w:bdr w:val="nil"/>
              </w:rPr>
              <w:t xml:space="preserve"> </w:t>
            </w:r>
          </w:p>
        </w:tc>
      </w:tr>
      <w:tr w:rsidR="00C53A48" w:rsidRPr="00074A57" w14:paraId="3734E705" w14:textId="77777777" w:rsidTr="00F449A6">
        <w:trPr>
          <w:jc w:val="center"/>
        </w:trPr>
        <w:tc>
          <w:tcPr>
            <w:tcW w:w="8046" w:type="dxa"/>
          </w:tcPr>
          <w:p w14:paraId="4FAE2B5F"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Narkisim"/>
                <w:sz w:val="22"/>
                <w:szCs w:val="22"/>
                <w:bdr w:val="nil"/>
              </w:rPr>
            </w:pPr>
          </w:p>
        </w:tc>
        <w:tc>
          <w:tcPr>
            <w:tcW w:w="1344" w:type="dxa"/>
          </w:tcPr>
          <w:p w14:paraId="67C2CCBA" w14:textId="77777777" w:rsidR="00C53A48" w:rsidRPr="006B096E" w:rsidRDefault="00C53A48"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 w:val="22"/>
                <w:szCs w:val="22"/>
                <w:bdr w:val="nil"/>
              </w:rPr>
            </w:pPr>
          </w:p>
        </w:tc>
      </w:tr>
      <w:tr w:rsidR="00C53A48" w:rsidRPr="00074A57" w14:paraId="09880E4E" w14:textId="77777777" w:rsidTr="00F449A6">
        <w:trPr>
          <w:jc w:val="center"/>
        </w:trPr>
        <w:tc>
          <w:tcPr>
            <w:tcW w:w="8046" w:type="dxa"/>
            <w:hideMark/>
          </w:tcPr>
          <w:p w14:paraId="038F706E"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Narkisim"/>
                <w:sz w:val="22"/>
                <w:szCs w:val="22"/>
                <w:bdr w:val="nil"/>
              </w:rPr>
            </w:pPr>
            <w:r w:rsidRPr="00074A57">
              <w:rPr>
                <w:rFonts w:eastAsia="Calibri" w:cs="Miriam"/>
                <w:szCs w:val="22"/>
                <w:bdr w:val="nil"/>
              </w:rPr>
              <w:t>Condensed</w:t>
            </w:r>
            <w:r w:rsidRPr="00074A57">
              <w:rPr>
                <w:rFonts w:eastAsia="Calibri" w:cs="Narkisim"/>
                <w:szCs w:val="22"/>
                <w:bdr w:val="nil"/>
              </w:rPr>
              <w:t xml:space="preserve"> Consolidated Statements of Changes in Equity</w:t>
            </w:r>
          </w:p>
        </w:tc>
        <w:tc>
          <w:tcPr>
            <w:tcW w:w="1344" w:type="dxa"/>
            <w:hideMark/>
          </w:tcPr>
          <w:p w14:paraId="30D8D59F" w14:textId="2E204E67" w:rsidR="00C53A48" w:rsidRPr="006B096E" w:rsidRDefault="008242AD"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 w:val="22"/>
                <w:szCs w:val="22"/>
                <w:bdr w:val="nil"/>
              </w:rPr>
            </w:pPr>
            <w:r>
              <w:rPr>
                <w:rFonts w:eastAsia="Calibri" w:cs="Narkisim"/>
                <w:szCs w:val="22"/>
                <w:bdr w:val="nil"/>
              </w:rPr>
              <w:t>49</w:t>
            </w:r>
            <w:r w:rsidR="00C53A48" w:rsidRPr="006B096E">
              <w:rPr>
                <w:rFonts w:eastAsia="Calibri" w:cs="Narkisim"/>
                <w:szCs w:val="22"/>
                <w:bdr w:val="nil"/>
              </w:rPr>
              <w:t xml:space="preserve"> </w:t>
            </w:r>
          </w:p>
        </w:tc>
      </w:tr>
      <w:tr w:rsidR="00C53A48" w:rsidRPr="00074A57" w14:paraId="04FA93CD" w14:textId="77777777" w:rsidTr="00F449A6">
        <w:trPr>
          <w:jc w:val="center"/>
        </w:trPr>
        <w:tc>
          <w:tcPr>
            <w:tcW w:w="8046" w:type="dxa"/>
          </w:tcPr>
          <w:p w14:paraId="43997C22"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Narkisim"/>
                <w:sz w:val="22"/>
                <w:szCs w:val="22"/>
                <w:bdr w:val="nil"/>
              </w:rPr>
            </w:pPr>
          </w:p>
        </w:tc>
        <w:tc>
          <w:tcPr>
            <w:tcW w:w="1344" w:type="dxa"/>
          </w:tcPr>
          <w:p w14:paraId="723C0E39" w14:textId="77777777" w:rsidR="00C53A48" w:rsidRPr="006B096E" w:rsidRDefault="00C53A48"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 w:val="22"/>
                <w:szCs w:val="22"/>
                <w:bdr w:val="nil"/>
              </w:rPr>
            </w:pPr>
          </w:p>
        </w:tc>
      </w:tr>
      <w:tr w:rsidR="00C53A48" w:rsidRPr="00074A57" w14:paraId="07A894AC" w14:textId="77777777" w:rsidTr="00F449A6">
        <w:trPr>
          <w:jc w:val="center"/>
        </w:trPr>
        <w:tc>
          <w:tcPr>
            <w:tcW w:w="8046" w:type="dxa"/>
            <w:hideMark/>
          </w:tcPr>
          <w:p w14:paraId="1C04D2F3"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Narkisim"/>
                <w:sz w:val="22"/>
                <w:szCs w:val="22"/>
                <w:bdr w:val="nil"/>
              </w:rPr>
            </w:pPr>
            <w:r w:rsidRPr="00074A57">
              <w:rPr>
                <w:rFonts w:eastAsia="Calibri" w:cs="Miriam"/>
                <w:szCs w:val="22"/>
                <w:bdr w:val="nil"/>
              </w:rPr>
              <w:t xml:space="preserve">Condensed Consolidated </w:t>
            </w:r>
            <w:r w:rsidRPr="00074A57">
              <w:rPr>
                <w:rFonts w:eastAsia="Calibri" w:cs="Narkisim"/>
                <w:szCs w:val="22"/>
                <w:bdr w:val="nil"/>
              </w:rPr>
              <w:t xml:space="preserve">Statements of Cash Flows </w:t>
            </w:r>
          </w:p>
        </w:tc>
        <w:tc>
          <w:tcPr>
            <w:tcW w:w="1344" w:type="dxa"/>
            <w:hideMark/>
          </w:tcPr>
          <w:p w14:paraId="001D85F4" w14:textId="099FB133" w:rsidR="00C53A48" w:rsidRPr="006B096E" w:rsidRDefault="008242AD"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 w:val="22"/>
                <w:szCs w:val="22"/>
                <w:bdr w:val="nil"/>
              </w:rPr>
            </w:pPr>
            <w:r>
              <w:rPr>
                <w:rFonts w:eastAsia="Calibri" w:cs="Narkisim"/>
                <w:szCs w:val="22"/>
                <w:bdr w:val="nil"/>
              </w:rPr>
              <w:t>54</w:t>
            </w:r>
            <w:r w:rsidR="00C53A48" w:rsidRPr="006B096E">
              <w:rPr>
                <w:rFonts w:eastAsia="Calibri" w:cs="Narkisim"/>
                <w:szCs w:val="22"/>
                <w:bdr w:val="nil"/>
              </w:rPr>
              <w:t xml:space="preserve"> </w:t>
            </w:r>
          </w:p>
        </w:tc>
      </w:tr>
      <w:tr w:rsidR="00C53A48" w:rsidRPr="00074A57" w14:paraId="6F0F3F20" w14:textId="77777777" w:rsidTr="00F449A6">
        <w:trPr>
          <w:jc w:val="center"/>
        </w:trPr>
        <w:tc>
          <w:tcPr>
            <w:tcW w:w="8046" w:type="dxa"/>
          </w:tcPr>
          <w:p w14:paraId="695C3258"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Narkisim"/>
                <w:sz w:val="22"/>
                <w:szCs w:val="22"/>
                <w:bdr w:val="nil"/>
              </w:rPr>
            </w:pPr>
          </w:p>
        </w:tc>
        <w:tc>
          <w:tcPr>
            <w:tcW w:w="1344" w:type="dxa"/>
          </w:tcPr>
          <w:p w14:paraId="11045A77" w14:textId="77777777" w:rsidR="00C53A48" w:rsidRPr="006B096E" w:rsidRDefault="00C53A48"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 w:val="22"/>
                <w:szCs w:val="22"/>
                <w:bdr w:val="nil"/>
              </w:rPr>
            </w:pPr>
          </w:p>
        </w:tc>
      </w:tr>
      <w:tr w:rsidR="00C53A48" w:rsidRPr="00074A57" w14:paraId="091F24F9" w14:textId="77777777" w:rsidTr="00F449A6">
        <w:trPr>
          <w:jc w:val="center"/>
        </w:trPr>
        <w:tc>
          <w:tcPr>
            <w:tcW w:w="8046" w:type="dxa"/>
            <w:hideMark/>
          </w:tcPr>
          <w:p w14:paraId="36F59BCC"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Narkisim"/>
                <w:sz w:val="22"/>
                <w:szCs w:val="22"/>
                <w:bdr w:val="nil"/>
              </w:rPr>
            </w:pPr>
            <w:r w:rsidRPr="00074A57">
              <w:rPr>
                <w:rFonts w:eastAsia="Calibri" w:cs="Narkisim"/>
                <w:szCs w:val="22"/>
                <w:bdr w:val="nil"/>
              </w:rPr>
              <w:t xml:space="preserve">Notes to Condensed </w:t>
            </w:r>
            <w:r w:rsidRPr="00074A57">
              <w:rPr>
                <w:rFonts w:eastAsia="Calibri" w:cs="Miriam"/>
                <w:szCs w:val="22"/>
                <w:bdr w:val="nil"/>
              </w:rPr>
              <w:t>Consolidated</w:t>
            </w:r>
            <w:r w:rsidRPr="00074A57">
              <w:rPr>
                <w:rFonts w:eastAsia="Calibri" w:cs="Narkisim"/>
                <w:szCs w:val="22"/>
                <w:bdr w:val="nil"/>
              </w:rPr>
              <w:t xml:space="preserve"> Interim</w:t>
            </w:r>
            <w:r w:rsidRPr="00074A57">
              <w:rPr>
                <w:rFonts w:eastAsia="Calibri" w:cs="Miriam"/>
                <w:szCs w:val="22"/>
                <w:bdr w:val="nil"/>
              </w:rPr>
              <w:t xml:space="preserve"> </w:t>
            </w:r>
            <w:r w:rsidRPr="00074A57">
              <w:rPr>
                <w:rFonts w:eastAsia="Calibri" w:cs="Narkisim"/>
                <w:szCs w:val="22"/>
                <w:bdr w:val="nil"/>
              </w:rPr>
              <w:t>Financial Statements</w:t>
            </w:r>
          </w:p>
        </w:tc>
        <w:tc>
          <w:tcPr>
            <w:tcW w:w="1344" w:type="dxa"/>
            <w:hideMark/>
          </w:tcPr>
          <w:p w14:paraId="0766AD9D" w14:textId="1A266106" w:rsidR="00C53A48" w:rsidRPr="006B096E" w:rsidRDefault="008242AD"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 w:val="22"/>
                <w:szCs w:val="22"/>
                <w:bdr w:val="nil"/>
              </w:rPr>
            </w:pPr>
            <w:r>
              <w:rPr>
                <w:rFonts w:eastAsia="Calibri" w:cs="Narkisim"/>
                <w:szCs w:val="22"/>
                <w:bdr w:val="nil"/>
              </w:rPr>
              <w:t>57</w:t>
            </w:r>
            <w:r w:rsidR="00C53A48" w:rsidRPr="006B096E">
              <w:rPr>
                <w:rFonts w:eastAsia="Calibri" w:cs="Narkisim"/>
                <w:szCs w:val="22"/>
                <w:bdr w:val="nil"/>
              </w:rPr>
              <w:t xml:space="preserve"> </w:t>
            </w:r>
          </w:p>
        </w:tc>
      </w:tr>
      <w:tr w:rsidR="00C53A48" w:rsidRPr="00074A57" w14:paraId="0474F468" w14:textId="77777777" w:rsidTr="00F449A6">
        <w:trPr>
          <w:jc w:val="center"/>
        </w:trPr>
        <w:tc>
          <w:tcPr>
            <w:tcW w:w="8046" w:type="dxa"/>
          </w:tcPr>
          <w:p w14:paraId="0ADA1C22"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Narkisim"/>
                <w:szCs w:val="22"/>
                <w:highlight w:val="yellow"/>
                <w:bdr w:val="nil"/>
              </w:rPr>
            </w:pPr>
          </w:p>
        </w:tc>
        <w:tc>
          <w:tcPr>
            <w:tcW w:w="1344" w:type="dxa"/>
          </w:tcPr>
          <w:p w14:paraId="6C75F640"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Cs w:val="22"/>
                <w:highlight w:val="yellow"/>
                <w:bdr w:val="nil"/>
              </w:rPr>
            </w:pPr>
          </w:p>
        </w:tc>
      </w:tr>
      <w:tr w:rsidR="00C53A48" w:rsidRPr="00074A57" w14:paraId="4AEEADEB" w14:textId="77777777" w:rsidTr="00F449A6">
        <w:trPr>
          <w:jc w:val="center"/>
        </w:trPr>
        <w:tc>
          <w:tcPr>
            <w:tcW w:w="8046" w:type="dxa"/>
          </w:tcPr>
          <w:p w14:paraId="15D0F6B3"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rPr>
                <w:rFonts w:eastAsia="Calibri" w:cs="Narkisim"/>
                <w:sz w:val="22"/>
                <w:szCs w:val="22"/>
                <w:highlight w:val="yellow"/>
                <w:bdr w:val="nil"/>
              </w:rPr>
            </w:pPr>
          </w:p>
        </w:tc>
        <w:tc>
          <w:tcPr>
            <w:tcW w:w="1344" w:type="dxa"/>
          </w:tcPr>
          <w:p w14:paraId="0C94FE5B" w14:textId="77777777" w:rsidR="00C53A48" w:rsidRPr="00074A57" w:rsidRDefault="00C53A48" w:rsidP="000F66D1">
            <w:pPr>
              <w:pBdr>
                <w:top w:val="nil"/>
                <w:left w:val="nil"/>
                <w:bottom w:val="nil"/>
                <w:right w:val="nil"/>
                <w:between w:val="nil"/>
                <w:bar w:val="nil"/>
              </w:pBdr>
              <w:tabs>
                <w:tab w:val="left" w:pos="567"/>
              </w:tabs>
              <w:snapToGrid w:val="0"/>
              <w:spacing w:before="0" w:after="0" w:line="264" w:lineRule="auto"/>
              <w:jc w:val="center"/>
              <w:rPr>
                <w:rFonts w:eastAsia="Calibri" w:cs="Narkisim"/>
                <w:szCs w:val="22"/>
                <w:highlight w:val="yellow"/>
                <w:bdr w:val="nil"/>
              </w:rPr>
            </w:pPr>
          </w:p>
        </w:tc>
      </w:tr>
    </w:tbl>
    <w:p w14:paraId="4192E770" w14:textId="77777777" w:rsidR="00C53A48" w:rsidRPr="00074A57" w:rsidRDefault="00C53A48" w:rsidP="00C53A48">
      <w:pPr>
        <w:pBdr>
          <w:top w:val="nil"/>
          <w:left w:val="nil"/>
          <w:bottom w:val="nil"/>
          <w:right w:val="nil"/>
          <w:between w:val="nil"/>
          <w:bar w:val="nil"/>
        </w:pBdr>
        <w:spacing w:before="0" w:after="0" w:line="264" w:lineRule="auto"/>
        <w:rPr>
          <w:highlight w:val="yellow"/>
        </w:rPr>
      </w:pPr>
    </w:p>
    <w:p w14:paraId="395DEA33" w14:textId="7CFFF80F" w:rsidR="00213131" w:rsidRPr="00FA5E8B" w:rsidRDefault="007C36D2" w:rsidP="00213131">
      <w:pPr>
        <w:pStyle w:val="ListParagraph"/>
        <w:pageBreakBefore/>
        <w:ind w:left="0"/>
        <w:contextualSpacing w:val="0"/>
        <w:jc w:val="center"/>
        <w:rPr>
          <w:rFonts w:ascii="Ploni ML Medium AAA Medium" w:hAnsi="Ploni ML Medium AAA Medium" w:cs="Ploni ML Medium AAA Medium"/>
          <w:b/>
          <w:bCs/>
          <w:sz w:val="21"/>
          <w:szCs w:val="21"/>
          <w:u w:val="single"/>
        </w:rPr>
      </w:pPr>
      <w:r w:rsidRPr="00E10E88">
        <w:rPr>
          <w:b/>
          <w:noProof/>
          <w:sz w:val="32"/>
          <w:szCs w:val="32"/>
        </w:rPr>
        <w:lastRenderedPageBreak/>
        <w:drawing>
          <wp:anchor distT="0" distB="0" distL="114300" distR="114300" simplePos="0" relativeHeight="251697152" behindDoc="0" locked="0" layoutInCell="0" allowOverlap="1" wp14:anchorId="02DC56E8" wp14:editId="59FEB4B5">
            <wp:simplePos x="0" y="0"/>
            <wp:positionH relativeFrom="page">
              <wp:posOffset>629920</wp:posOffset>
            </wp:positionH>
            <wp:positionV relativeFrom="page">
              <wp:posOffset>725805</wp:posOffset>
            </wp:positionV>
            <wp:extent cx="894052" cy="1033670"/>
            <wp:effectExtent l="0" t="0" r="19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94052" cy="1033670"/>
                    </a:xfrm>
                    <a:prstGeom prst="rect">
                      <a:avLst/>
                    </a:prstGeom>
                    <a:noFill/>
                    <a:ln>
                      <a:noFill/>
                    </a:ln>
                    <a:effectLst/>
                  </pic:spPr>
                </pic:pic>
              </a:graphicData>
            </a:graphic>
          </wp:anchor>
        </w:drawing>
      </w:r>
    </w:p>
    <w:p w14:paraId="62EE847C" w14:textId="6DD29536" w:rsidR="00213131" w:rsidRPr="00532C2C" w:rsidRDefault="007C36D2" w:rsidP="00213131">
      <w:pPr>
        <w:tabs>
          <w:tab w:val="left" w:pos="567"/>
          <w:tab w:val="left" w:pos="606"/>
          <w:tab w:val="left" w:pos="851"/>
          <w:tab w:val="left" w:pos="1134"/>
          <w:tab w:val="left" w:pos="1418"/>
          <w:tab w:val="left" w:pos="1701"/>
        </w:tabs>
        <w:spacing w:line="264" w:lineRule="auto"/>
        <w:rPr>
          <w:rFonts w:ascii="Ploni ML Medium AAA Medium" w:hAnsi="Ploni ML Medium AAA Medium" w:cs="Ploni ML Medium AAA Medium"/>
          <w:b/>
          <w:bCs/>
          <w:sz w:val="21"/>
          <w:szCs w:val="21"/>
          <w:u w:val="single"/>
          <w:rtl/>
        </w:rPr>
      </w:pPr>
      <w:r w:rsidRPr="0037475A">
        <w:rPr>
          <w:bCs/>
          <w:iCs/>
          <w:noProof/>
          <w:color w:val="808080"/>
          <w:kern w:val="12"/>
          <w:sz w:val="15"/>
          <w:szCs w:val="15"/>
        </w:rPr>
        <mc:AlternateContent>
          <mc:Choice Requires="wps">
            <w:drawing>
              <wp:anchor distT="0" distB="0" distL="114300" distR="114300" simplePos="0" relativeHeight="251699200" behindDoc="0" locked="1" layoutInCell="1" allowOverlap="1" wp14:anchorId="42B3189A" wp14:editId="487A23A9">
                <wp:simplePos x="0" y="0"/>
                <wp:positionH relativeFrom="margin">
                  <wp:posOffset>2484755</wp:posOffset>
                </wp:positionH>
                <wp:positionV relativeFrom="page">
                  <wp:posOffset>723900</wp:posOffset>
                </wp:positionV>
                <wp:extent cx="3705225" cy="464820"/>
                <wp:effectExtent l="0" t="0" r="9525" b="11430"/>
                <wp:wrapThrough wrapText="bothSides">
                  <wp:wrapPolygon edited="0">
                    <wp:start x="0" y="0"/>
                    <wp:lineTo x="0" y="21246"/>
                    <wp:lineTo x="21544" y="21246"/>
                    <wp:lineTo x="21544" y="0"/>
                    <wp:lineTo x="0" y="0"/>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CellMar>
                                <w:left w:w="0" w:type="dxa"/>
                                <w:right w:w="0" w:type="dxa"/>
                              </w:tblCellMar>
                              <w:tblLook w:val="04A0" w:firstRow="1" w:lastRow="0" w:firstColumn="1" w:lastColumn="0" w:noHBand="0" w:noVBand="1"/>
                            </w:tblPr>
                            <w:tblGrid>
                              <w:gridCol w:w="2977"/>
                              <w:gridCol w:w="142"/>
                              <w:gridCol w:w="1701"/>
                            </w:tblGrid>
                            <w:tr w:rsidR="007C36D2" w14:paraId="3543A1A6" w14:textId="77777777" w:rsidTr="007C36D2">
                              <w:tc>
                                <w:tcPr>
                                  <w:tcW w:w="2977" w:type="dxa"/>
                                  <w:tcBorders>
                                    <w:top w:val="nil"/>
                                    <w:left w:val="nil"/>
                                    <w:bottom w:val="nil"/>
                                    <w:right w:val="nil"/>
                                  </w:tcBorders>
                                </w:tcPr>
                                <w:p w14:paraId="09DAB0FA" w14:textId="77777777" w:rsidR="007C36D2" w:rsidRPr="007C36D2" w:rsidRDefault="007C36D2" w:rsidP="003F4C69">
                                  <w:pPr>
                                    <w:pStyle w:val="EYBusinessaddress"/>
                                    <w:jc w:val="both"/>
                                    <w:rPr>
                                      <w:rFonts w:asciiTheme="majorBidi" w:hAnsiTheme="majorBidi" w:cstheme="majorBidi"/>
                                      <w:b/>
                                      <w:bCs/>
                                    </w:rPr>
                                  </w:pPr>
                                  <w:r w:rsidRPr="007C36D2">
                                    <w:rPr>
                                      <w:rFonts w:asciiTheme="majorBidi" w:hAnsiTheme="majorBidi" w:cstheme="majorBidi"/>
                                      <w:b/>
                                      <w:bCs/>
                                    </w:rPr>
                                    <w:t>Kost Forer Gabbay &amp; Kasierer</w:t>
                                  </w:r>
                                </w:p>
                                <w:p w14:paraId="25C42CCE" w14:textId="77777777" w:rsidR="007C36D2" w:rsidRPr="007C36D2" w:rsidRDefault="007C36D2" w:rsidP="007C36D2">
                                  <w:pPr>
                                    <w:rPr>
                                      <w:rFonts w:asciiTheme="majorBidi" w:hAnsiTheme="majorBidi" w:cstheme="majorBidi"/>
                                      <w:bCs/>
                                      <w:iCs/>
                                      <w:color w:val="808080"/>
                                      <w:kern w:val="12"/>
                                      <w:sz w:val="15"/>
                                      <w:szCs w:val="15"/>
                                      <w:rtl/>
                                    </w:rPr>
                                  </w:pPr>
                                  <w:r w:rsidRPr="007C36D2">
                                    <w:rPr>
                                      <w:rFonts w:asciiTheme="majorBidi" w:hAnsiTheme="majorBidi" w:cstheme="majorBidi"/>
                                      <w:bCs/>
                                      <w:iCs/>
                                      <w:color w:val="808080"/>
                                      <w:kern w:val="12"/>
                                      <w:sz w:val="15"/>
                                      <w:szCs w:val="15"/>
                                    </w:rPr>
                                    <w:t xml:space="preserve">144 Menachem Begin Road, Building A </w:t>
                                  </w:r>
                                </w:p>
                                <w:p w14:paraId="71F7A756" w14:textId="77777777" w:rsidR="007C36D2" w:rsidRPr="007C36D2" w:rsidRDefault="007C36D2" w:rsidP="00CB39C4">
                                  <w:pPr>
                                    <w:pStyle w:val="EYBusinessaddress"/>
                                    <w:jc w:val="both"/>
                                    <w:rPr>
                                      <w:rFonts w:asciiTheme="majorBidi" w:hAnsiTheme="majorBidi" w:cstheme="majorBidi"/>
                                    </w:rPr>
                                  </w:pPr>
                                  <w:r w:rsidRPr="007C36D2">
                                    <w:rPr>
                                      <w:rFonts w:asciiTheme="majorBidi" w:hAnsiTheme="majorBidi" w:cstheme="majorBidi"/>
                                      <w:bCs/>
                                      <w:iCs/>
                                      <w:szCs w:val="15"/>
                                    </w:rPr>
                                    <w:t>Tel-Aviv 6492102, Israel</w:t>
                                  </w:r>
                                </w:p>
                                <w:p w14:paraId="44DB798A" w14:textId="77777777" w:rsidR="007C36D2" w:rsidRPr="00272BDA" w:rsidRDefault="007C36D2" w:rsidP="0037475A">
                                  <w:pPr>
                                    <w:pStyle w:val="EYBusinessaddress"/>
                                  </w:pPr>
                                </w:p>
                              </w:tc>
                              <w:tc>
                                <w:tcPr>
                                  <w:tcW w:w="142" w:type="dxa"/>
                                  <w:tcBorders>
                                    <w:left w:val="nil"/>
                                    <w:right w:val="nil"/>
                                  </w:tcBorders>
                                </w:tcPr>
                                <w:p w14:paraId="32D2812B" w14:textId="77777777" w:rsidR="007C36D2" w:rsidRPr="00272BDA" w:rsidRDefault="007C36D2" w:rsidP="00AE658B">
                                  <w:pPr>
                                    <w:pStyle w:val="EYBusinessaddress"/>
                                  </w:pPr>
                                </w:p>
                              </w:tc>
                              <w:tc>
                                <w:tcPr>
                                  <w:tcW w:w="1701" w:type="dxa"/>
                                  <w:tcBorders>
                                    <w:top w:val="nil"/>
                                    <w:left w:val="nil"/>
                                    <w:bottom w:val="nil"/>
                                    <w:right w:val="nil"/>
                                  </w:tcBorders>
                                </w:tcPr>
                                <w:p w14:paraId="50B226E3" w14:textId="77777777" w:rsidR="007C36D2" w:rsidRPr="008B3BDB" w:rsidRDefault="007C36D2" w:rsidP="004546A7">
                                  <w:pPr>
                                    <w:pStyle w:val="EYBusinessaddress"/>
                                    <w:rPr>
                                      <w:szCs w:val="15"/>
                                      <w:lang w:bidi="he-IL"/>
                                    </w:rPr>
                                  </w:pPr>
                                  <w:r w:rsidRPr="008B3BDB">
                                    <w:rPr>
                                      <w:szCs w:val="15"/>
                                    </w:rPr>
                                    <w:t>Tel:</w:t>
                                  </w:r>
                                  <w:r>
                                    <w:rPr>
                                      <w:szCs w:val="15"/>
                                    </w:rPr>
                                    <w:t xml:space="preserve"> </w:t>
                                  </w:r>
                                  <w:r w:rsidRPr="008B3BDB">
                                    <w:rPr>
                                      <w:bCs/>
                                      <w:iCs/>
                                      <w:szCs w:val="15"/>
                                    </w:rPr>
                                    <w:t>+972-3-6232525</w:t>
                                  </w:r>
                                </w:p>
                                <w:p w14:paraId="5D8AAB41" w14:textId="77777777" w:rsidR="007C36D2" w:rsidRPr="008B3BDB" w:rsidRDefault="007C36D2" w:rsidP="004518E8">
                                  <w:pPr>
                                    <w:pStyle w:val="EYBusinessaddress"/>
                                    <w:rPr>
                                      <w:szCs w:val="15"/>
                                    </w:rPr>
                                  </w:pPr>
                                  <w:r w:rsidRPr="008B3BDB">
                                    <w:rPr>
                                      <w:szCs w:val="15"/>
                                    </w:rPr>
                                    <w:t xml:space="preserve">Fax: </w:t>
                                  </w:r>
                                  <w:r w:rsidRPr="008B3BDB">
                                    <w:rPr>
                                      <w:bCs/>
                                      <w:iCs/>
                                      <w:szCs w:val="15"/>
                                    </w:rPr>
                                    <w:t>+972-3-5622555</w:t>
                                  </w:r>
                                </w:p>
                                <w:p w14:paraId="2BD8BFD2" w14:textId="77777777" w:rsidR="007C36D2" w:rsidRPr="00272BDA" w:rsidRDefault="007C36D2" w:rsidP="004518E8">
                                  <w:pPr>
                                    <w:pStyle w:val="EYBusinessaddress"/>
                                  </w:pPr>
                                  <w:r w:rsidRPr="008B3BDB">
                                    <w:rPr>
                                      <w:szCs w:val="15"/>
                                    </w:rPr>
                                    <w:t>ey.com</w:t>
                                  </w:r>
                                </w:p>
                              </w:tc>
                            </w:tr>
                          </w:tbl>
                          <w:p w14:paraId="7E9D2648" w14:textId="77777777" w:rsidR="007C36D2" w:rsidRDefault="007C36D2" w:rsidP="007C36D2">
                            <w:pPr>
                              <w:pStyle w:val="EYBusinessaddres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B3189A" id="Text Box 10" o:spid="_x0000_s1032" type="#_x0000_t202" style="position:absolute;left:0;text-align:left;margin-left:195.65pt;margin-top:57pt;width:291.75pt;height:36.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" filled="f" stroked="f">
                <v:textbox inset="0,0,0,0">
                  <w:txbxContent>
                    <w:tbl>
                      <w:tblPr>
                        <w:tblStyle w:val="TableGrid"/>
                        <w:tblW w:w="0" w:type="auto"/>
                        <w:tblCellMar>
                          <w:left w:w="0" w:type="dxa"/>
                          <w:right w:w="0" w:type="dxa"/>
                        </w:tblCellMar>
                        <w:tblLook w:val="04A0" w:firstRow="1" w:lastRow="0" w:firstColumn="1" w:lastColumn="0" w:noHBand="0" w:noVBand="1"/>
                      </w:tblPr>
                      <w:tblGrid>
                        <w:gridCol w:w="2977"/>
                        <w:gridCol w:w="142"/>
                        <w:gridCol w:w="1701"/>
                      </w:tblGrid>
                      <w:tr w:rsidR="007C36D2" w14:paraId="3543A1A6" w14:textId="77777777" w:rsidTr="007C36D2">
                        <w:tc>
                          <w:tcPr>
                            <w:tcW w:w="2977" w:type="dxa"/>
                            <w:tcBorders>
                              <w:top w:val="nil"/>
                              <w:left w:val="nil"/>
                              <w:bottom w:val="nil"/>
                              <w:right w:val="nil"/>
                            </w:tcBorders>
                          </w:tcPr>
                          <w:p w14:paraId="09DAB0FA" w14:textId="77777777" w:rsidR="007C36D2" w:rsidRPr="007C36D2" w:rsidRDefault="007C36D2" w:rsidP="003F4C69">
                            <w:pPr>
                              <w:pStyle w:val="EYBusinessaddress"/>
                              <w:jc w:val="both"/>
                              <w:rPr>
                                <w:rFonts w:asciiTheme="majorBidi" w:hAnsiTheme="majorBidi" w:cstheme="majorBidi"/>
                                <w:b/>
                                <w:bCs/>
                              </w:rPr>
                            </w:pPr>
                            <w:r w:rsidRPr="007C36D2">
                              <w:rPr>
                                <w:rFonts w:asciiTheme="majorBidi" w:hAnsiTheme="majorBidi" w:cstheme="majorBidi"/>
                                <w:b/>
                                <w:bCs/>
                              </w:rPr>
                              <w:t>Kost Forer Gabbay &amp; Kasierer</w:t>
                            </w:r>
                          </w:p>
                          <w:p w14:paraId="25C42CCE" w14:textId="77777777" w:rsidR="007C36D2" w:rsidRPr="007C36D2" w:rsidRDefault="007C36D2" w:rsidP="007C36D2">
                            <w:pPr>
                              <w:rPr>
                                <w:rFonts w:asciiTheme="majorBidi" w:hAnsiTheme="majorBidi" w:cstheme="majorBidi"/>
                                <w:bCs/>
                                <w:iCs/>
                                <w:color w:val="808080"/>
                                <w:kern w:val="12"/>
                                <w:sz w:val="15"/>
                                <w:szCs w:val="15"/>
                                <w:rtl/>
                              </w:rPr>
                            </w:pPr>
                            <w:r w:rsidRPr="007C36D2">
                              <w:rPr>
                                <w:rFonts w:asciiTheme="majorBidi" w:hAnsiTheme="majorBidi" w:cstheme="majorBidi"/>
                                <w:bCs/>
                                <w:iCs/>
                                <w:color w:val="808080"/>
                                <w:kern w:val="12"/>
                                <w:sz w:val="15"/>
                                <w:szCs w:val="15"/>
                              </w:rPr>
                              <w:t xml:space="preserve">144 Menachem Begin Road, Building A </w:t>
                            </w:r>
                          </w:p>
                          <w:p w14:paraId="71F7A756" w14:textId="77777777" w:rsidR="007C36D2" w:rsidRPr="007C36D2" w:rsidRDefault="007C36D2" w:rsidP="00CB39C4">
                            <w:pPr>
                              <w:pStyle w:val="EYBusinessaddress"/>
                              <w:jc w:val="both"/>
                              <w:rPr>
                                <w:rFonts w:asciiTheme="majorBidi" w:hAnsiTheme="majorBidi" w:cstheme="majorBidi"/>
                              </w:rPr>
                            </w:pPr>
                            <w:r w:rsidRPr="007C36D2">
                              <w:rPr>
                                <w:rFonts w:asciiTheme="majorBidi" w:hAnsiTheme="majorBidi" w:cstheme="majorBidi"/>
                                <w:bCs/>
                                <w:iCs/>
                                <w:szCs w:val="15"/>
                              </w:rPr>
                              <w:t>Tel-Aviv 6492102, Israel</w:t>
                            </w:r>
                          </w:p>
                          <w:p w14:paraId="44DB798A" w14:textId="77777777" w:rsidR="007C36D2" w:rsidRPr="00272BDA" w:rsidRDefault="007C36D2" w:rsidP="0037475A">
                            <w:pPr>
                              <w:pStyle w:val="EYBusinessaddress"/>
                            </w:pPr>
                          </w:p>
                        </w:tc>
                        <w:tc>
                          <w:tcPr>
                            <w:tcW w:w="142" w:type="dxa"/>
                            <w:tcBorders>
                              <w:left w:val="nil"/>
                              <w:right w:val="nil"/>
                            </w:tcBorders>
                          </w:tcPr>
                          <w:p w14:paraId="32D2812B" w14:textId="77777777" w:rsidR="007C36D2" w:rsidRPr="00272BDA" w:rsidRDefault="007C36D2" w:rsidP="00AE658B">
                            <w:pPr>
                              <w:pStyle w:val="EYBusinessaddress"/>
                            </w:pPr>
                          </w:p>
                        </w:tc>
                        <w:tc>
                          <w:tcPr>
                            <w:tcW w:w="1701" w:type="dxa"/>
                            <w:tcBorders>
                              <w:top w:val="nil"/>
                              <w:left w:val="nil"/>
                              <w:bottom w:val="nil"/>
                              <w:right w:val="nil"/>
                            </w:tcBorders>
                          </w:tcPr>
                          <w:p w14:paraId="50B226E3" w14:textId="77777777" w:rsidR="007C36D2" w:rsidRPr="008B3BDB" w:rsidRDefault="007C36D2" w:rsidP="004546A7">
                            <w:pPr>
                              <w:pStyle w:val="EYBusinessaddress"/>
                              <w:rPr>
                                <w:szCs w:val="15"/>
                                <w:lang w:bidi="he-IL"/>
                              </w:rPr>
                            </w:pPr>
                            <w:r w:rsidRPr="008B3BDB">
                              <w:rPr>
                                <w:szCs w:val="15"/>
                              </w:rPr>
                              <w:t>Tel:</w:t>
                            </w:r>
                            <w:r>
                              <w:rPr>
                                <w:szCs w:val="15"/>
                              </w:rPr>
                              <w:t xml:space="preserve"> </w:t>
                            </w:r>
                            <w:r w:rsidRPr="008B3BDB">
                              <w:rPr>
                                <w:bCs/>
                                <w:iCs/>
                                <w:szCs w:val="15"/>
                              </w:rPr>
                              <w:t>+972-3-6232525</w:t>
                            </w:r>
                          </w:p>
                          <w:p w14:paraId="5D8AAB41" w14:textId="77777777" w:rsidR="007C36D2" w:rsidRPr="008B3BDB" w:rsidRDefault="007C36D2" w:rsidP="004518E8">
                            <w:pPr>
                              <w:pStyle w:val="EYBusinessaddress"/>
                              <w:rPr>
                                <w:szCs w:val="15"/>
                              </w:rPr>
                            </w:pPr>
                            <w:r w:rsidRPr="008B3BDB">
                              <w:rPr>
                                <w:szCs w:val="15"/>
                              </w:rPr>
                              <w:t xml:space="preserve">Fax: </w:t>
                            </w:r>
                            <w:r w:rsidRPr="008B3BDB">
                              <w:rPr>
                                <w:bCs/>
                                <w:iCs/>
                                <w:szCs w:val="15"/>
                              </w:rPr>
                              <w:t>+972-3-5622555</w:t>
                            </w:r>
                          </w:p>
                          <w:p w14:paraId="2BD8BFD2" w14:textId="77777777" w:rsidR="007C36D2" w:rsidRPr="00272BDA" w:rsidRDefault="007C36D2" w:rsidP="004518E8">
                            <w:pPr>
                              <w:pStyle w:val="EYBusinessaddress"/>
                            </w:pPr>
                            <w:r w:rsidRPr="008B3BDB">
                              <w:rPr>
                                <w:szCs w:val="15"/>
                              </w:rPr>
                              <w:t>ey.com</w:t>
                            </w:r>
                          </w:p>
                        </w:tc>
                      </w:tr>
                    </w:tbl>
                    <w:p w14:paraId="7E9D2648" w14:textId="77777777" w:rsidR="007C36D2" w:rsidRDefault="007C36D2" w:rsidP="007C36D2">
                      <w:pPr>
                        <w:pStyle w:val="EYBusinessaddress"/>
                      </w:pPr>
                    </w:p>
                  </w:txbxContent>
                </v:textbox>
                <w10:wrap type="through" anchorx="margin" anchory="page"/>
                <w10:anchorlock/>
              </v:shape>
            </w:pict>
          </mc:Fallback>
        </mc:AlternateContent>
      </w:r>
    </w:p>
    <w:p w14:paraId="059CBC7B" w14:textId="77777777" w:rsidR="007C36D2" w:rsidRDefault="007C36D2" w:rsidP="007C36D2">
      <w:pPr>
        <w:tabs>
          <w:tab w:val="center" w:pos="4703"/>
        </w:tabs>
        <w:suppressAutoHyphens/>
        <w:jc w:val="center"/>
        <w:rPr>
          <w:b/>
          <w:bCs/>
        </w:rPr>
      </w:pPr>
    </w:p>
    <w:p w14:paraId="7AC78EFA" w14:textId="4133D988" w:rsidR="007C36D2" w:rsidRDefault="007C36D2" w:rsidP="007C36D2">
      <w:pPr>
        <w:tabs>
          <w:tab w:val="center" w:pos="4703"/>
          <w:tab w:val="left" w:pos="6990"/>
        </w:tabs>
        <w:suppressAutoHyphens/>
        <w:jc w:val="left"/>
        <w:rPr>
          <w:b/>
          <w:bCs/>
        </w:rPr>
      </w:pPr>
      <w:r>
        <w:rPr>
          <w:b/>
          <w:bCs/>
        </w:rPr>
        <w:tab/>
      </w:r>
      <w:r>
        <w:rPr>
          <w:b/>
          <w:bCs/>
        </w:rPr>
        <w:tab/>
      </w:r>
    </w:p>
    <w:p w14:paraId="59AD6004" w14:textId="77777777" w:rsidR="007C36D2" w:rsidRDefault="007C36D2" w:rsidP="007C36D2">
      <w:pPr>
        <w:tabs>
          <w:tab w:val="center" w:pos="4703"/>
        </w:tabs>
        <w:suppressAutoHyphens/>
        <w:jc w:val="center"/>
        <w:rPr>
          <w:b/>
          <w:bCs/>
        </w:rPr>
      </w:pPr>
    </w:p>
    <w:p w14:paraId="7AF1C6C5" w14:textId="68A9EDDF" w:rsidR="007C36D2" w:rsidRDefault="007C36D2" w:rsidP="007C36D2">
      <w:pPr>
        <w:tabs>
          <w:tab w:val="center" w:pos="4703"/>
        </w:tabs>
        <w:suppressAutoHyphens/>
        <w:jc w:val="center"/>
        <w:rPr>
          <w:spacing w:val="-2"/>
          <w:u w:val="single"/>
        </w:rPr>
      </w:pPr>
      <w:r w:rsidRPr="002811D9">
        <w:rPr>
          <w:b/>
          <w:bCs/>
        </w:rPr>
        <w:t xml:space="preserve">AUDITORS' REVIEW REPORT </w:t>
      </w:r>
      <w:r>
        <w:rPr>
          <w:b/>
          <w:bCs/>
        </w:rPr>
        <w:t>TO THE</w:t>
      </w:r>
      <w:r w:rsidRPr="002811D9">
        <w:rPr>
          <w:b/>
          <w:bCs/>
        </w:rPr>
        <w:t xml:space="preserve"> </w:t>
      </w:r>
      <w:r>
        <w:rPr>
          <w:b/>
          <w:bCs/>
        </w:rPr>
        <w:t>SHAREHOLDERS</w:t>
      </w:r>
      <w:r w:rsidRPr="002811D9">
        <w:rPr>
          <w:b/>
          <w:bCs/>
        </w:rPr>
        <w:t xml:space="preserve"> </w:t>
      </w:r>
      <w:r>
        <w:rPr>
          <w:b/>
          <w:bCs/>
        </w:rPr>
        <w:t>OF</w:t>
      </w:r>
      <w:r w:rsidRPr="002811D9">
        <w:rPr>
          <w:b/>
          <w:bCs/>
        </w:rPr>
        <w:t xml:space="preserve"> </w:t>
      </w:r>
      <w:r>
        <w:rPr>
          <w:b/>
          <w:bCs/>
        </w:rPr>
        <w:t>G CITY</w:t>
      </w:r>
      <w:r w:rsidRPr="002811D9">
        <w:rPr>
          <w:b/>
          <w:bCs/>
        </w:rPr>
        <w:t xml:space="preserve"> LTD.</w:t>
      </w:r>
    </w:p>
    <w:p w14:paraId="28637545" w14:textId="77777777" w:rsidR="007C36D2" w:rsidRPr="003F2A15" w:rsidRDefault="007C36D2" w:rsidP="007C36D2">
      <w:pPr>
        <w:tabs>
          <w:tab w:val="center" w:pos="4703"/>
        </w:tabs>
        <w:suppressAutoHyphens/>
        <w:rPr>
          <w:spacing w:val="-2"/>
          <w:u w:val="single"/>
          <w:rtl/>
        </w:rPr>
      </w:pPr>
    </w:p>
    <w:p w14:paraId="0A969BBB" w14:textId="77777777" w:rsidR="007C36D2" w:rsidRPr="003F2A15" w:rsidRDefault="007C36D2" w:rsidP="007C36D2">
      <w:pPr>
        <w:rPr>
          <w:bCs/>
          <w:szCs w:val="22"/>
          <w:rtl/>
        </w:rPr>
      </w:pPr>
      <w:r w:rsidRPr="003F2A15">
        <w:rPr>
          <w:b/>
          <w:bCs/>
          <w:szCs w:val="22"/>
        </w:rPr>
        <w:t>Introduction</w:t>
      </w:r>
    </w:p>
    <w:p w14:paraId="4EE1093C" w14:textId="77777777" w:rsidR="007C36D2" w:rsidRPr="003F2A15" w:rsidRDefault="007C36D2" w:rsidP="007C36D2">
      <w:pPr>
        <w:rPr>
          <w:szCs w:val="22"/>
          <w:rtl/>
        </w:rPr>
      </w:pPr>
    </w:p>
    <w:p w14:paraId="2A2C1465" w14:textId="77777777" w:rsidR="007C36D2" w:rsidRPr="007D49A0" w:rsidRDefault="007C36D2" w:rsidP="007C36D2">
      <w:r>
        <w:t>We have reviewed the accompanying financial information of G City Ltd. and subsidiaries ("the Company"), which comprises the condensed consolidated statement of financial position as of June 30, 2024 and the related condensed consolidated statements of profit or loss, comprehensive income, changes in equity and cash flows for the six and three months periods then ended. The Company's board of directors and management are responsible for the preparation and presentation of interim financial information for these interim periods in accordance with IAS 34, "Interim Financial Reporting" and are responsible for the preparation of this interim financial information in accordance with Chapter D to the Securities Regulations (Periodic and Immediate Reports), 1970. Our responsibility is to express a conclusion on this interim financial information based on our review.</w:t>
      </w:r>
    </w:p>
    <w:p w14:paraId="7817391C" w14:textId="77777777" w:rsidR="007C36D2" w:rsidRDefault="007C36D2" w:rsidP="007C36D2">
      <w:pPr>
        <w:rPr>
          <w:szCs w:val="22"/>
        </w:rPr>
      </w:pPr>
    </w:p>
    <w:p w14:paraId="2DF6DFE2" w14:textId="77777777" w:rsidR="007C36D2" w:rsidRPr="003F2A15" w:rsidRDefault="007C36D2" w:rsidP="007C36D2">
      <w:pPr>
        <w:rPr>
          <w:szCs w:val="22"/>
        </w:rPr>
      </w:pPr>
      <w:r w:rsidRPr="00C97071">
        <w:rPr>
          <w:rFonts w:hint="cs"/>
          <w:szCs w:val="22"/>
        </w:rPr>
        <w:t>W</w:t>
      </w:r>
      <w:r w:rsidRPr="00C97071">
        <w:rPr>
          <w:szCs w:val="22"/>
        </w:rPr>
        <w:t xml:space="preserve">e did not review the condensed interim financial information of </w:t>
      </w:r>
      <w:r>
        <w:rPr>
          <w:szCs w:val="22"/>
        </w:rPr>
        <w:t xml:space="preserve">a </w:t>
      </w:r>
      <w:r w:rsidRPr="00C97071">
        <w:rPr>
          <w:szCs w:val="22"/>
        </w:rPr>
        <w:t>certain subsidiar</w:t>
      </w:r>
      <w:r>
        <w:rPr>
          <w:szCs w:val="22"/>
        </w:rPr>
        <w:t>y</w:t>
      </w:r>
      <w:r w:rsidRPr="00C97071">
        <w:rPr>
          <w:szCs w:val="22"/>
        </w:rPr>
        <w:t xml:space="preserve">, whose assets constitute </w:t>
      </w:r>
      <w:r w:rsidRPr="00FE6D74">
        <w:rPr>
          <w:szCs w:val="22"/>
        </w:rPr>
        <w:t>appro</w:t>
      </w:r>
      <w:r w:rsidRPr="00362750">
        <w:t xml:space="preserve">ximately </w:t>
      </w:r>
      <w:r>
        <w:t>46</w:t>
      </w:r>
      <w:r w:rsidRPr="00362750">
        <w:t xml:space="preserve">% of total consolidated assets as of </w:t>
      </w:r>
      <w:r>
        <w:t>June</w:t>
      </w:r>
      <w:r w:rsidRPr="00362750">
        <w:t xml:space="preserve"> 3</w:t>
      </w:r>
      <w:r>
        <w:t>0</w:t>
      </w:r>
      <w:r w:rsidRPr="00362750">
        <w:t>, 20</w:t>
      </w:r>
      <w:r>
        <w:t>24</w:t>
      </w:r>
      <w:r w:rsidRPr="00362750">
        <w:t xml:space="preserve"> </w:t>
      </w:r>
      <w:r w:rsidRPr="00765653">
        <w:t>and whose</w:t>
      </w:r>
      <w:r w:rsidRPr="00362750">
        <w:t xml:space="preserve"> included in consolidation constitute </w:t>
      </w:r>
      <w:r w:rsidRPr="00633ED7">
        <w:rPr>
          <w:szCs w:val="22"/>
        </w:rPr>
        <w:t xml:space="preserve">approximately </w:t>
      </w:r>
      <w:r>
        <w:rPr>
          <w:szCs w:val="22"/>
        </w:rPr>
        <w:t>51</w:t>
      </w:r>
      <w:r w:rsidRPr="00633ED7">
        <w:rPr>
          <w:szCs w:val="22"/>
        </w:rPr>
        <w:t>%</w:t>
      </w:r>
      <w:r>
        <w:rPr>
          <w:szCs w:val="22"/>
        </w:rPr>
        <w:t xml:space="preserve"> </w:t>
      </w:r>
      <w:r w:rsidRPr="00633ED7">
        <w:rPr>
          <w:szCs w:val="22"/>
        </w:rPr>
        <w:t xml:space="preserve">of total consolidated revenues for the </w:t>
      </w:r>
      <w:r>
        <w:rPr>
          <w:szCs w:val="22"/>
        </w:rPr>
        <w:t xml:space="preserve">six and </w:t>
      </w:r>
      <w:r w:rsidRPr="00633ED7">
        <w:rPr>
          <w:szCs w:val="22"/>
        </w:rPr>
        <w:t>three months period</w:t>
      </w:r>
      <w:r>
        <w:rPr>
          <w:szCs w:val="22"/>
        </w:rPr>
        <w:t>s</w:t>
      </w:r>
      <w:r w:rsidRPr="00633ED7">
        <w:rPr>
          <w:szCs w:val="22"/>
        </w:rPr>
        <w:t xml:space="preserve"> then ended. The condensed interim financial information of those companies was reviewed by other auditors, whose review reports have been furnished to us, and our conclusion, insofar as it relates to the financial information in respect of those companies, is based on the review reports of the other auditors.</w:t>
      </w:r>
    </w:p>
    <w:p w14:paraId="72F7AC8D" w14:textId="77777777" w:rsidR="007C36D2" w:rsidRDefault="007C36D2" w:rsidP="007C36D2">
      <w:pPr>
        <w:rPr>
          <w:b/>
          <w:bCs/>
          <w:szCs w:val="22"/>
        </w:rPr>
      </w:pPr>
    </w:p>
    <w:p w14:paraId="22A39A0E" w14:textId="77777777" w:rsidR="007C36D2" w:rsidRPr="003F2A15" w:rsidRDefault="007C36D2" w:rsidP="007C36D2">
      <w:pPr>
        <w:rPr>
          <w:bCs/>
          <w:szCs w:val="22"/>
          <w:rtl/>
        </w:rPr>
      </w:pPr>
      <w:r w:rsidRPr="003F2A15">
        <w:rPr>
          <w:b/>
          <w:bCs/>
          <w:szCs w:val="22"/>
        </w:rPr>
        <w:t>Scope of review</w:t>
      </w:r>
    </w:p>
    <w:p w14:paraId="7959D63C" w14:textId="77777777" w:rsidR="007C36D2" w:rsidRPr="003F2A15" w:rsidRDefault="007C36D2" w:rsidP="007C36D2">
      <w:pPr>
        <w:rPr>
          <w:szCs w:val="22"/>
          <w:rtl/>
        </w:rPr>
      </w:pPr>
    </w:p>
    <w:p w14:paraId="067CC31F" w14:textId="77777777" w:rsidR="007C36D2" w:rsidRPr="00B004E5" w:rsidRDefault="007C36D2" w:rsidP="007C36D2">
      <w:pPr>
        <w:rPr>
          <w:szCs w:val="22"/>
        </w:rPr>
      </w:pPr>
      <w:r w:rsidRPr="00B004E5">
        <w:rPr>
          <w:szCs w:val="22"/>
        </w:rPr>
        <w:t>We conducted our review in accordance with Review Standard (Israel) 2410 of the Institute of Certified Public Accountants in Israel, "Review of Interim Financial Information Performed by the Independent Auditor of the Entity." A review of interim financial information consists of making inquiries, primarily of persons responsible for financial and accounting matters, and applying analytical and other review procedures. A review is substantially less in scope than an audit conducted in accordance with generally accepted auditing standards in Israel and consequently does not enable us to obtain assurance that we would become aware of all significant matters that might be identified in an audit. Accordingly, we do not express an audit opinion.</w:t>
      </w:r>
    </w:p>
    <w:p w14:paraId="7B563188" w14:textId="77777777" w:rsidR="007C36D2" w:rsidRDefault="007C36D2" w:rsidP="007C36D2">
      <w:pPr>
        <w:rPr>
          <w:b/>
          <w:bCs/>
          <w:szCs w:val="22"/>
        </w:rPr>
      </w:pPr>
    </w:p>
    <w:p w14:paraId="34B7343B" w14:textId="77777777" w:rsidR="007C36D2" w:rsidRPr="003F2A15" w:rsidRDefault="007C36D2" w:rsidP="007C36D2">
      <w:pPr>
        <w:rPr>
          <w:bCs/>
          <w:szCs w:val="22"/>
          <w:rtl/>
        </w:rPr>
      </w:pPr>
      <w:r w:rsidRPr="003F2A15">
        <w:rPr>
          <w:b/>
          <w:bCs/>
          <w:szCs w:val="22"/>
        </w:rPr>
        <w:t>Conclusion</w:t>
      </w:r>
    </w:p>
    <w:p w14:paraId="735B7ECB" w14:textId="77777777" w:rsidR="007C36D2" w:rsidRPr="003F2A15" w:rsidRDefault="007C36D2" w:rsidP="007C36D2">
      <w:pPr>
        <w:rPr>
          <w:szCs w:val="22"/>
          <w:rtl/>
        </w:rPr>
      </w:pPr>
    </w:p>
    <w:p w14:paraId="181C16E7" w14:textId="77777777" w:rsidR="007C36D2" w:rsidRPr="00691367" w:rsidRDefault="007C36D2" w:rsidP="007C36D2">
      <w:pPr>
        <w:pStyle w:val="IndexHeading"/>
        <w:spacing w:line="264" w:lineRule="auto"/>
        <w:jc w:val="both"/>
        <w:rPr>
          <w:rFonts w:cs="Narkisim"/>
          <w:lang w:eastAsia="he-IL"/>
        </w:rPr>
      </w:pPr>
      <w:r w:rsidRPr="00691367">
        <w:rPr>
          <w:rFonts w:cs="Narkisim"/>
          <w:lang w:eastAsia="he-IL"/>
        </w:rPr>
        <w:t>Based on our review and the review reports of other auditors, nothing has come to our attention that causes us to believe that the accompanying interim financial information is not prepared, in all material respects, in accordance with IAS 34.</w:t>
      </w:r>
    </w:p>
    <w:p w14:paraId="08A757CA" w14:textId="77777777" w:rsidR="007C36D2" w:rsidRPr="001F2CC9" w:rsidRDefault="007C36D2" w:rsidP="007C36D2">
      <w:pPr>
        <w:pStyle w:val="IndexHeading"/>
        <w:jc w:val="both"/>
        <w:rPr>
          <w:rFonts w:cs="Narkisim"/>
          <w:lang w:eastAsia="he-IL"/>
        </w:rPr>
      </w:pPr>
    </w:p>
    <w:p w14:paraId="16DF98E2" w14:textId="77777777" w:rsidR="007C36D2" w:rsidRPr="00691367" w:rsidRDefault="007C36D2" w:rsidP="007C36D2">
      <w:pPr>
        <w:pStyle w:val="IndexHeading"/>
        <w:spacing w:line="264" w:lineRule="auto"/>
        <w:jc w:val="both"/>
        <w:rPr>
          <w:rFonts w:cs="Narkisim"/>
          <w:lang w:eastAsia="he-IL"/>
        </w:rPr>
      </w:pPr>
      <w:r w:rsidRPr="00691367">
        <w:rPr>
          <w:rFonts w:cs="Narkisim"/>
          <w:lang w:eastAsia="he-IL"/>
        </w:rPr>
        <w:t>In addition to the abovementioned, based on our review and the review reports of other auditors, nothing has come to our attention that causes us to believe that the accompanying interim financial information does not comply, in all material respects, with the disclosure requirements of Chapter D to the Securities Regulations (Periodic and Immediate Reports), 1970.</w:t>
      </w:r>
    </w:p>
    <w:p w14:paraId="1AF8C7EE" w14:textId="77777777" w:rsidR="007C36D2" w:rsidRPr="00691367" w:rsidRDefault="007C36D2" w:rsidP="007C36D2">
      <w:pPr>
        <w:pStyle w:val="IndexHeading"/>
        <w:spacing w:line="264" w:lineRule="auto"/>
        <w:jc w:val="both"/>
        <w:rPr>
          <w:rFonts w:cs="Narkisim"/>
          <w:lang w:eastAsia="he-IL"/>
        </w:rPr>
      </w:pPr>
    </w:p>
    <w:tbl>
      <w:tblPr>
        <w:tblW w:w="9715" w:type="dxa"/>
        <w:tblLayout w:type="fixed"/>
        <w:tblCellMar>
          <w:left w:w="0" w:type="dxa"/>
          <w:right w:w="0" w:type="dxa"/>
        </w:tblCellMar>
        <w:tblLook w:val="0000" w:firstRow="0" w:lastRow="0" w:firstColumn="0" w:lastColumn="0" w:noHBand="0" w:noVBand="0"/>
      </w:tblPr>
      <w:tblGrid>
        <w:gridCol w:w="5529"/>
        <w:gridCol w:w="4186"/>
      </w:tblGrid>
      <w:tr w:rsidR="007C36D2" w:rsidRPr="003F2A15" w14:paraId="648F4814" w14:textId="77777777" w:rsidTr="00A65A6F">
        <w:tc>
          <w:tcPr>
            <w:tcW w:w="5529" w:type="dxa"/>
            <w:tcBorders>
              <w:top w:val="nil"/>
              <w:left w:val="nil"/>
              <w:bottom w:val="nil"/>
              <w:right w:val="nil"/>
            </w:tcBorders>
            <w:vAlign w:val="bottom"/>
          </w:tcPr>
          <w:p w14:paraId="0938EA90" w14:textId="77777777" w:rsidR="007C36D2" w:rsidRPr="003F2A15" w:rsidRDefault="007C36D2" w:rsidP="007C36D2">
            <w:pPr>
              <w:rPr>
                <w:szCs w:val="22"/>
              </w:rPr>
            </w:pPr>
            <w:r w:rsidRPr="003F2A15">
              <w:rPr>
                <w:szCs w:val="22"/>
              </w:rPr>
              <w:t>Tel-Aviv, Israel</w:t>
            </w:r>
          </w:p>
        </w:tc>
        <w:tc>
          <w:tcPr>
            <w:tcW w:w="4186" w:type="dxa"/>
            <w:tcBorders>
              <w:top w:val="nil"/>
              <w:left w:val="nil"/>
              <w:bottom w:val="nil"/>
              <w:right w:val="nil"/>
            </w:tcBorders>
            <w:vAlign w:val="bottom"/>
          </w:tcPr>
          <w:p w14:paraId="678B42D1" w14:textId="77777777" w:rsidR="007C36D2" w:rsidRPr="003F2A15" w:rsidRDefault="007C36D2" w:rsidP="007C36D2">
            <w:pPr>
              <w:rPr>
                <w:szCs w:val="22"/>
              </w:rPr>
            </w:pPr>
            <w:r w:rsidRPr="003F2A15">
              <w:rPr>
                <w:szCs w:val="22"/>
              </w:rPr>
              <w:t>KOST FORER GABBAY &amp; KASIERER</w:t>
            </w:r>
          </w:p>
        </w:tc>
      </w:tr>
      <w:tr w:rsidR="007C36D2" w:rsidRPr="003F2A15" w14:paraId="598D954B" w14:textId="77777777" w:rsidTr="00A65A6F">
        <w:tc>
          <w:tcPr>
            <w:tcW w:w="5529" w:type="dxa"/>
            <w:tcBorders>
              <w:top w:val="nil"/>
              <w:left w:val="nil"/>
              <w:bottom w:val="nil"/>
              <w:right w:val="nil"/>
            </w:tcBorders>
            <w:vAlign w:val="bottom"/>
          </w:tcPr>
          <w:p w14:paraId="67CD26A4" w14:textId="77777777" w:rsidR="007C36D2" w:rsidRPr="00AA0E83" w:rsidRDefault="007C36D2" w:rsidP="007C36D2">
            <w:pPr>
              <w:rPr>
                <w:szCs w:val="22"/>
              </w:rPr>
            </w:pPr>
            <w:r>
              <w:rPr>
                <w:szCs w:val="22"/>
              </w:rPr>
              <w:t>August 14, 2024</w:t>
            </w:r>
          </w:p>
        </w:tc>
        <w:tc>
          <w:tcPr>
            <w:tcW w:w="4186" w:type="dxa"/>
            <w:tcBorders>
              <w:top w:val="nil"/>
              <w:left w:val="nil"/>
              <w:bottom w:val="nil"/>
              <w:right w:val="nil"/>
            </w:tcBorders>
            <w:vAlign w:val="bottom"/>
          </w:tcPr>
          <w:p w14:paraId="445059B0" w14:textId="77777777" w:rsidR="007C36D2" w:rsidRPr="003F2A15" w:rsidRDefault="007C36D2" w:rsidP="007C36D2">
            <w:pPr>
              <w:rPr>
                <w:szCs w:val="22"/>
              </w:rPr>
            </w:pPr>
            <w:r w:rsidRPr="003F2A15">
              <w:rPr>
                <w:szCs w:val="22"/>
              </w:rPr>
              <w:t xml:space="preserve">   A Member of Ernst &amp; Young Global</w:t>
            </w:r>
          </w:p>
        </w:tc>
      </w:tr>
    </w:tbl>
    <w:p w14:paraId="27A54EB7" w14:textId="77777777" w:rsidR="007C36D2" w:rsidRPr="00BD0348" w:rsidRDefault="007C36D2" w:rsidP="007C36D2"/>
    <w:p w14:paraId="2287EE52" w14:textId="77777777" w:rsidR="00213131" w:rsidRPr="00FA5E8B" w:rsidRDefault="00213131" w:rsidP="00213131">
      <w:pPr>
        <w:rPr>
          <w:rFonts w:ascii="Ploni ML Medium AAA Medium" w:hAnsi="Ploni ML Medium AAA Medium" w:cs="Ploni ML Medium AAA Medium"/>
          <w:vanish/>
          <w:sz w:val="21"/>
          <w:szCs w:val="21"/>
        </w:rPr>
        <w:sectPr w:rsidR="00213131" w:rsidRPr="00FA5E8B" w:rsidSect="007C36D2">
          <w:headerReference w:type="default" r:id="rId33"/>
          <w:footnotePr>
            <w:numRestart w:val="eachPage"/>
          </w:footnotePr>
          <w:pgSz w:w="11906" w:h="16838"/>
          <w:pgMar w:top="1144" w:right="992" w:bottom="1134" w:left="992" w:header="567" w:footer="567" w:gutter="0"/>
          <w:pgBorders>
            <w:top w:val="nil"/>
            <w:left w:val="nil"/>
            <w:bottom w:val="nil"/>
            <w:right w:val="nil"/>
          </w:pgBorders>
          <w:cols w:space="708"/>
          <w:bidi/>
          <w:rtlGutter/>
          <w:docGrid w:linePitch="360"/>
        </w:sectPr>
      </w:pPr>
    </w:p>
    <w:p w14:paraId="03E22312" w14:textId="77777777" w:rsidR="00213131" w:rsidRPr="008A0596" w:rsidRDefault="00213131" w:rsidP="00213131">
      <w:pPr>
        <w:pageBreakBefore/>
        <w:rPr>
          <w:vanish/>
          <w:sz w:val="21"/>
          <w:szCs w:val="21"/>
        </w:rPr>
      </w:pPr>
      <w:bookmarkStart w:id="127" w:name="RG_MARKER_56643"/>
      <w:bookmarkStart w:id="128" w:name="RG_MARKER_56582"/>
      <w:bookmarkEnd w:id="127"/>
      <w:bookmarkEnd w:id="1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213131" w:rsidRPr="004D7A72" w14:paraId="6DF5348A" w14:textId="77777777" w:rsidTr="00A65A6F">
        <w:trPr>
          <w:cantSplit/>
        </w:trPr>
        <w:tc>
          <w:tcPr>
            <w:tcW w:w="9922" w:type="dxa"/>
          </w:tcPr>
          <w:tbl>
            <w:tblPr>
              <w:tblStyle w:val="CDMRange1"/>
              <w:tblW w:w="9922" w:type="dxa"/>
              <w:tblLook w:val="0600" w:firstRow="0" w:lastRow="0" w:firstColumn="0" w:lastColumn="0" w:noHBand="1" w:noVBand="1"/>
            </w:tblPr>
            <w:tblGrid>
              <w:gridCol w:w="5147"/>
              <w:gridCol w:w="1374"/>
              <w:gridCol w:w="277"/>
              <w:gridCol w:w="1111"/>
              <w:gridCol w:w="453"/>
              <w:gridCol w:w="1560"/>
            </w:tblGrid>
            <w:tr w:rsidR="00213131" w:rsidRPr="004D7A72" w14:paraId="0F88A7A8" w14:textId="77777777" w:rsidTr="00A65A6F">
              <w:trPr>
                <w:cantSplit/>
                <w:trHeight w:hRule="exact" w:val="300"/>
              </w:trPr>
              <w:tc>
                <w:tcPr>
                  <w:tcW w:w="5186" w:type="dxa"/>
                  <w:tcBorders>
                    <w:top w:val="nil"/>
                    <w:left w:val="nil"/>
                    <w:bottom w:val="nil"/>
                    <w:right w:val="nil"/>
                    <w:tl2br w:val="nil"/>
                    <w:tr2bl w:val="nil"/>
                  </w:tcBorders>
                  <w:shd w:val="clear" w:color="auto" w:fill="auto"/>
                  <w:noWrap/>
                  <w:tcMar>
                    <w:left w:w="0" w:type="dxa"/>
                    <w:right w:w="0" w:type="dxa"/>
                  </w:tcMar>
                  <w:vAlign w:val="bottom"/>
                </w:tcPr>
                <w:p w14:paraId="54BB24C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370" w:type="dxa"/>
                  <w:tcBorders>
                    <w:top w:val="nil"/>
                    <w:left w:val="nil"/>
                    <w:bottom w:val="nil"/>
                    <w:right w:val="nil"/>
                    <w:tl2br w:val="nil"/>
                    <w:tr2bl w:val="nil"/>
                  </w:tcBorders>
                  <w:shd w:val="clear" w:color="auto" w:fill="auto"/>
                  <w:noWrap/>
                  <w:tcMar>
                    <w:left w:w="0" w:type="dxa"/>
                    <w:right w:w="0" w:type="dxa"/>
                  </w:tcMar>
                  <w:vAlign w:val="bottom"/>
                </w:tcPr>
                <w:p w14:paraId="2A7FED1F"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263" w:type="dxa"/>
                  <w:tcBorders>
                    <w:top w:val="nil"/>
                    <w:left w:val="nil"/>
                    <w:bottom w:val="nil"/>
                    <w:right w:val="nil"/>
                    <w:tl2br w:val="nil"/>
                    <w:tr2bl w:val="nil"/>
                  </w:tcBorders>
                  <w:shd w:val="clear" w:color="auto" w:fill="auto"/>
                  <w:noWrap/>
                  <w:tcMar>
                    <w:left w:w="0" w:type="dxa"/>
                    <w:right w:w="0" w:type="dxa"/>
                  </w:tcMar>
                  <w:vAlign w:val="bottom"/>
                </w:tcPr>
                <w:p w14:paraId="08B88286"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105" w:type="dxa"/>
                  <w:tcBorders>
                    <w:top w:val="nil"/>
                    <w:left w:val="nil"/>
                    <w:bottom w:val="nil"/>
                    <w:right w:val="nil"/>
                    <w:tl2br w:val="nil"/>
                    <w:tr2bl w:val="nil"/>
                  </w:tcBorders>
                  <w:shd w:val="clear" w:color="auto" w:fill="auto"/>
                  <w:noWrap/>
                  <w:tcMar>
                    <w:left w:w="0" w:type="dxa"/>
                    <w:right w:w="0" w:type="dxa"/>
                  </w:tcMar>
                  <w:vAlign w:val="bottom"/>
                </w:tcPr>
                <w:p w14:paraId="2974145D"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440" w:type="dxa"/>
                  <w:tcBorders>
                    <w:top w:val="nil"/>
                    <w:left w:val="nil"/>
                    <w:bottom w:val="nil"/>
                    <w:right w:val="nil"/>
                    <w:tl2br w:val="nil"/>
                    <w:tr2bl w:val="nil"/>
                  </w:tcBorders>
                  <w:shd w:val="clear" w:color="auto" w:fill="auto"/>
                  <w:noWrap/>
                  <w:tcMar>
                    <w:left w:w="0" w:type="dxa"/>
                    <w:right w:w="0" w:type="dxa"/>
                  </w:tcMar>
                  <w:vAlign w:val="bottom"/>
                </w:tcPr>
                <w:p w14:paraId="653E0AC6"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558" w:type="dxa"/>
                  <w:tcBorders>
                    <w:top w:val="nil"/>
                    <w:left w:val="nil"/>
                    <w:bottom w:val="nil"/>
                    <w:right w:val="nil"/>
                    <w:tl2br w:val="nil"/>
                    <w:tr2bl w:val="nil"/>
                  </w:tcBorders>
                  <w:shd w:val="clear" w:color="auto" w:fill="auto"/>
                  <w:noWrap/>
                  <w:tcMar>
                    <w:left w:w="43" w:type="dxa"/>
                    <w:right w:w="43" w:type="dxa"/>
                  </w:tcMar>
                  <w:vAlign w:val="bottom"/>
                </w:tcPr>
                <w:p w14:paraId="183049B7"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r>
            <w:tr w:rsidR="00213131" w:rsidRPr="004D7A72" w14:paraId="19E8007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0" w:type="dxa"/>
                    <w:right w:w="0" w:type="dxa"/>
                  </w:tcMar>
                  <w:vAlign w:val="bottom"/>
                </w:tcPr>
                <w:p w14:paraId="0894980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738" w:type="dxa"/>
                  <w:gridSpan w:val="3"/>
                  <w:tcBorders>
                    <w:top w:val="nil"/>
                    <w:left w:val="nil"/>
                    <w:bottom w:val="single" w:sz="4" w:space="0" w:color="000000"/>
                    <w:right w:val="nil"/>
                    <w:tl2br w:val="nil"/>
                    <w:tr2bl w:val="nil"/>
                  </w:tcBorders>
                  <w:shd w:val="clear" w:color="auto" w:fill="auto"/>
                  <w:noWrap/>
                  <w:tcMar>
                    <w:left w:w="43" w:type="dxa"/>
                    <w:right w:w="43" w:type="dxa"/>
                  </w:tcMar>
                  <w:vAlign w:val="bottom"/>
                </w:tcPr>
                <w:p w14:paraId="4798D64D"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June 30</w:t>
                  </w:r>
                </w:p>
              </w:tc>
              <w:tc>
                <w:tcPr>
                  <w:tcW w:w="440" w:type="dxa"/>
                  <w:tcBorders>
                    <w:top w:val="nil"/>
                    <w:left w:val="nil"/>
                    <w:bottom w:val="nil"/>
                    <w:right w:val="nil"/>
                    <w:tl2br w:val="nil"/>
                    <w:tr2bl w:val="nil"/>
                  </w:tcBorders>
                  <w:shd w:val="clear" w:color="auto" w:fill="auto"/>
                  <w:noWrap/>
                  <w:tcMar>
                    <w:left w:w="0" w:type="dxa"/>
                    <w:right w:w="0" w:type="dxa"/>
                  </w:tcMar>
                  <w:vAlign w:val="bottom"/>
                </w:tcPr>
                <w:p w14:paraId="4D6223AF"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558" w:type="dxa"/>
                  <w:tcBorders>
                    <w:top w:val="nil"/>
                    <w:left w:val="nil"/>
                    <w:bottom w:val="nil"/>
                    <w:right w:val="nil"/>
                    <w:tl2br w:val="nil"/>
                    <w:tr2bl w:val="nil"/>
                  </w:tcBorders>
                  <w:shd w:val="clear" w:color="auto" w:fill="auto"/>
                  <w:noWrap/>
                  <w:tcMar>
                    <w:left w:w="43" w:type="dxa"/>
                    <w:right w:w="43" w:type="dxa"/>
                  </w:tcMar>
                  <w:vAlign w:val="bottom"/>
                </w:tcPr>
                <w:p w14:paraId="48FFD700"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December 31</w:t>
                  </w:r>
                </w:p>
              </w:tc>
            </w:tr>
            <w:tr w:rsidR="00213131" w:rsidRPr="004D7A72" w14:paraId="381022E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0" w:type="dxa"/>
                    <w:right w:w="0" w:type="dxa"/>
                  </w:tcMar>
                  <w:vAlign w:val="bottom"/>
                </w:tcPr>
                <w:p w14:paraId="746639B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370"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10C1A1BD"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2024</w:t>
                  </w:r>
                </w:p>
              </w:tc>
              <w:tc>
                <w:tcPr>
                  <w:tcW w:w="263"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668B3A"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105"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4BF8196B"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c>
                <w:tcPr>
                  <w:tcW w:w="440" w:type="dxa"/>
                  <w:tcBorders>
                    <w:top w:val="nil"/>
                    <w:left w:val="nil"/>
                    <w:bottom w:val="nil"/>
                    <w:right w:val="nil"/>
                    <w:tl2br w:val="nil"/>
                    <w:tr2bl w:val="nil"/>
                  </w:tcBorders>
                  <w:shd w:val="clear" w:color="auto" w:fill="auto"/>
                  <w:noWrap/>
                  <w:tcMar>
                    <w:left w:w="0" w:type="dxa"/>
                    <w:right w:w="0" w:type="dxa"/>
                  </w:tcMar>
                  <w:vAlign w:val="bottom"/>
                </w:tcPr>
                <w:p w14:paraId="07F406B3"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558" w:type="dxa"/>
                  <w:tcBorders>
                    <w:top w:val="nil"/>
                    <w:left w:val="nil"/>
                    <w:bottom w:val="single" w:sz="4" w:space="0" w:color="000000"/>
                    <w:right w:val="nil"/>
                    <w:tl2br w:val="nil"/>
                    <w:tr2bl w:val="nil"/>
                  </w:tcBorders>
                  <w:shd w:val="clear" w:color="auto" w:fill="auto"/>
                  <w:noWrap/>
                  <w:tcMar>
                    <w:left w:w="43" w:type="dxa"/>
                    <w:right w:w="43" w:type="dxa"/>
                  </w:tcMar>
                  <w:vAlign w:val="bottom"/>
                </w:tcPr>
                <w:p w14:paraId="37B1B8ED"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r>
            <w:tr w:rsidR="00213131" w:rsidRPr="004D7A72" w14:paraId="6FA3C1F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0" w:type="dxa"/>
                    <w:right w:w="0" w:type="dxa"/>
                  </w:tcMar>
                  <w:vAlign w:val="bottom"/>
                </w:tcPr>
                <w:p w14:paraId="5E17EAB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738" w:type="dxa"/>
                  <w:gridSpan w:val="3"/>
                  <w:tcBorders>
                    <w:top w:val="nil"/>
                    <w:left w:val="nil"/>
                    <w:bottom w:val="single" w:sz="4" w:space="0" w:color="000000"/>
                    <w:right w:val="nil"/>
                    <w:tl2br w:val="nil"/>
                    <w:tr2bl w:val="nil"/>
                  </w:tcBorders>
                  <w:shd w:val="clear" w:color="auto" w:fill="auto"/>
                  <w:noWrap/>
                  <w:tcMar>
                    <w:left w:w="43" w:type="dxa"/>
                    <w:right w:w="43" w:type="dxa"/>
                  </w:tcMar>
                  <w:vAlign w:val="bottom"/>
                </w:tcPr>
                <w:p w14:paraId="56940615"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Unaudited</w:t>
                  </w:r>
                </w:p>
              </w:tc>
              <w:tc>
                <w:tcPr>
                  <w:tcW w:w="440" w:type="dxa"/>
                  <w:tcBorders>
                    <w:top w:val="nil"/>
                    <w:left w:val="nil"/>
                    <w:bottom w:val="nil"/>
                    <w:right w:val="nil"/>
                    <w:tl2br w:val="nil"/>
                    <w:tr2bl w:val="nil"/>
                  </w:tcBorders>
                  <w:shd w:val="clear" w:color="auto" w:fill="auto"/>
                  <w:noWrap/>
                  <w:tcMar>
                    <w:left w:w="0" w:type="dxa"/>
                    <w:right w:w="0" w:type="dxa"/>
                  </w:tcMar>
                  <w:vAlign w:val="bottom"/>
                </w:tcPr>
                <w:p w14:paraId="07BA35CA"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558"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0DAE37EA"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Audited</w:t>
                  </w:r>
                </w:p>
              </w:tc>
            </w:tr>
            <w:tr w:rsidR="00213131" w:rsidRPr="004D7A72" w14:paraId="02060FA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0" w:type="dxa"/>
                    <w:right w:w="0" w:type="dxa"/>
                  </w:tcMar>
                  <w:vAlign w:val="bottom"/>
                </w:tcPr>
                <w:p w14:paraId="7854A57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4736" w:type="dxa"/>
                  <w:gridSpan w:val="5"/>
                  <w:tcBorders>
                    <w:top w:val="nil"/>
                    <w:left w:val="nil"/>
                    <w:bottom w:val="single" w:sz="4" w:space="0" w:color="000000"/>
                    <w:right w:val="nil"/>
                    <w:tl2br w:val="nil"/>
                    <w:tr2bl w:val="nil"/>
                  </w:tcBorders>
                  <w:shd w:val="clear" w:color="auto" w:fill="auto"/>
                  <w:noWrap/>
                  <w:tcMar>
                    <w:left w:w="43" w:type="dxa"/>
                    <w:right w:w="43" w:type="dxa"/>
                  </w:tcMar>
                  <w:vAlign w:val="bottom"/>
                </w:tcPr>
                <w:p w14:paraId="625C17B3"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NIS million</w:t>
                  </w:r>
                </w:p>
              </w:tc>
            </w:tr>
            <w:tr w:rsidR="00213131" w:rsidRPr="004D7A72" w14:paraId="4F1CDAE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3D9393DF" w14:textId="77777777" w:rsidR="00213131" w:rsidRPr="004D7A72" w:rsidRDefault="00213131" w:rsidP="00A65A6F">
                  <w:pPr>
                    <w:keepNext/>
                    <w:spacing w:before="0" w:after="0"/>
                    <w:jc w:val="left"/>
                    <w:rPr>
                      <w:rFonts w:asciiTheme="majorBidi" w:eastAsia="Ploni ML Medium AAA Medium" w:hAnsiTheme="majorBidi" w:cstheme="majorBidi"/>
                      <w:b/>
                      <w:color w:val="000000"/>
                      <w:u w:val="single"/>
                    </w:rPr>
                  </w:pPr>
                  <w:r w:rsidRPr="004D7A72">
                    <w:rPr>
                      <w:rFonts w:asciiTheme="majorBidi" w:hAnsiTheme="majorBidi" w:cstheme="majorBidi"/>
                      <w:b/>
                      <w:color w:val="000000"/>
                      <w:u w:val="single"/>
                    </w:rPr>
                    <w:t>Properties</w:t>
                  </w:r>
                </w:p>
              </w:tc>
              <w:tc>
                <w:tcPr>
                  <w:tcW w:w="13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9CA4C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63"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6B7F0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F5039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4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98703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58"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166B3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r>
            <w:tr w:rsidR="00213131" w:rsidRPr="004D7A72" w14:paraId="09CA649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21069E4C"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Current assets</w:t>
                  </w:r>
                </w:p>
              </w:tc>
              <w:tc>
                <w:tcPr>
                  <w:tcW w:w="1370" w:type="dxa"/>
                  <w:tcBorders>
                    <w:top w:val="nil"/>
                    <w:left w:val="nil"/>
                    <w:bottom w:val="nil"/>
                    <w:right w:val="nil"/>
                    <w:tl2br w:val="nil"/>
                    <w:tr2bl w:val="nil"/>
                  </w:tcBorders>
                  <w:shd w:val="clear" w:color="auto" w:fill="auto"/>
                  <w:noWrap/>
                  <w:tcMar>
                    <w:left w:w="0" w:type="dxa"/>
                    <w:right w:w="0" w:type="dxa"/>
                  </w:tcMar>
                  <w:vAlign w:val="bottom"/>
                </w:tcPr>
                <w:p w14:paraId="15F37CF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63" w:type="dxa"/>
                  <w:tcBorders>
                    <w:top w:val="nil"/>
                    <w:left w:val="nil"/>
                    <w:bottom w:val="nil"/>
                    <w:right w:val="nil"/>
                    <w:tl2br w:val="nil"/>
                    <w:tr2bl w:val="nil"/>
                  </w:tcBorders>
                  <w:shd w:val="clear" w:color="auto" w:fill="auto"/>
                  <w:noWrap/>
                  <w:tcMar>
                    <w:left w:w="0" w:type="dxa"/>
                    <w:right w:w="0" w:type="dxa"/>
                  </w:tcMar>
                  <w:vAlign w:val="bottom"/>
                </w:tcPr>
                <w:p w14:paraId="390CC6E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05" w:type="dxa"/>
                  <w:tcBorders>
                    <w:top w:val="nil"/>
                    <w:left w:val="nil"/>
                    <w:bottom w:val="nil"/>
                    <w:right w:val="nil"/>
                    <w:tl2br w:val="nil"/>
                    <w:tr2bl w:val="nil"/>
                  </w:tcBorders>
                  <w:shd w:val="clear" w:color="auto" w:fill="auto"/>
                  <w:noWrap/>
                  <w:tcMar>
                    <w:left w:w="0" w:type="dxa"/>
                    <w:right w:w="0" w:type="dxa"/>
                  </w:tcMar>
                  <w:vAlign w:val="bottom"/>
                </w:tcPr>
                <w:p w14:paraId="3A382D5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440" w:type="dxa"/>
                  <w:tcBorders>
                    <w:top w:val="nil"/>
                    <w:left w:val="nil"/>
                    <w:bottom w:val="nil"/>
                    <w:right w:val="nil"/>
                    <w:tl2br w:val="nil"/>
                    <w:tr2bl w:val="nil"/>
                  </w:tcBorders>
                  <w:shd w:val="clear" w:color="auto" w:fill="auto"/>
                  <w:noWrap/>
                  <w:tcMar>
                    <w:left w:w="0" w:type="dxa"/>
                    <w:right w:w="0" w:type="dxa"/>
                  </w:tcMar>
                  <w:vAlign w:val="bottom"/>
                </w:tcPr>
                <w:p w14:paraId="18313CA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58" w:type="dxa"/>
                  <w:tcBorders>
                    <w:top w:val="nil"/>
                    <w:left w:val="nil"/>
                    <w:bottom w:val="nil"/>
                    <w:right w:val="nil"/>
                    <w:tl2br w:val="nil"/>
                    <w:tr2bl w:val="nil"/>
                  </w:tcBorders>
                  <w:shd w:val="clear" w:color="auto" w:fill="auto"/>
                  <w:noWrap/>
                  <w:tcMar>
                    <w:left w:w="0" w:type="dxa"/>
                    <w:right w:w="0" w:type="dxa"/>
                  </w:tcMar>
                  <w:vAlign w:val="bottom"/>
                </w:tcPr>
                <w:p w14:paraId="33EF98E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r>
            <w:tr w:rsidR="00213131" w:rsidRPr="004D7A72" w14:paraId="5A7965C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34809F1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Cash and cash equivalents</w:t>
                  </w:r>
                </w:p>
              </w:tc>
              <w:tc>
                <w:tcPr>
                  <w:tcW w:w="1370" w:type="dxa"/>
                  <w:tcBorders>
                    <w:top w:val="nil"/>
                    <w:left w:val="nil"/>
                    <w:bottom w:val="nil"/>
                    <w:right w:val="nil"/>
                    <w:tl2br w:val="nil"/>
                    <w:tr2bl w:val="nil"/>
                  </w:tcBorders>
                  <w:shd w:val="clear" w:color="auto" w:fill="auto"/>
                  <w:noWrap/>
                  <w:tcMar>
                    <w:left w:w="43" w:type="dxa"/>
                    <w:right w:w="178" w:type="dxa"/>
                  </w:tcMar>
                  <w:vAlign w:val="bottom"/>
                </w:tcPr>
                <w:p w14:paraId="4563E05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845</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23A333A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nil"/>
                    <w:right w:val="nil"/>
                    <w:tl2br w:val="nil"/>
                    <w:tr2bl w:val="nil"/>
                  </w:tcBorders>
                  <w:shd w:val="clear" w:color="auto" w:fill="auto"/>
                  <w:noWrap/>
                  <w:tcMar>
                    <w:left w:w="43" w:type="dxa"/>
                    <w:right w:w="178" w:type="dxa"/>
                  </w:tcMar>
                  <w:vAlign w:val="bottom"/>
                </w:tcPr>
                <w:p w14:paraId="4701DF7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695</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2DE6C8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nil"/>
                    <w:right w:val="nil"/>
                    <w:tl2br w:val="nil"/>
                    <w:tr2bl w:val="nil"/>
                  </w:tcBorders>
                  <w:shd w:val="clear" w:color="auto" w:fill="auto"/>
                  <w:noWrap/>
                  <w:tcMar>
                    <w:left w:w="43" w:type="dxa"/>
                    <w:right w:w="178" w:type="dxa"/>
                  </w:tcMar>
                  <w:vAlign w:val="bottom"/>
                </w:tcPr>
                <w:p w14:paraId="09B406E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638</w:t>
                  </w:r>
                </w:p>
              </w:tc>
            </w:tr>
            <w:tr w:rsidR="00213131" w:rsidRPr="004D7A72" w14:paraId="63679F5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7E42039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Short-term investments and loans</w:t>
                  </w:r>
                </w:p>
              </w:tc>
              <w:tc>
                <w:tcPr>
                  <w:tcW w:w="1370" w:type="dxa"/>
                  <w:tcBorders>
                    <w:top w:val="nil"/>
                    <w:left w:val="nil"/>
                    <w:bottom w:val="nil"/>
                    <w:right w:val="nil"/>
                    <w:tl2br w:val="nil"/>
                    <w:tr2bl w:val="nil"/>
                  </w:tcBorders>
                  <w:shd w:val="clear" w:color="auto" w:fill="auto"/>
                  <w:noWrap/>
                  <w:tcMar>
                    <w:left w:w="43" w:type="dxa"/>
                    <w:right w:w="178" w:type="dxa"/>
                  </w:tcMar>
                  <w:vAlign w:val="bottom"/>
                </w:tcPr>
                <w:p w14:paraId="4590AD9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34</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5A5F7B4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nil"/>
                    <w:right w:val="nil"/>
                    <w:tl2br w:val="nil"/>
                    <w:tr2bl w:val="nil"/>
                  </w:tcBorders>
                  <w:shd w:val="clear" w:color="auto" w:fill="auto"/>
                  <w:noWrap/>
                  <w:tcMar>
                    <w:left w:w="43" w:type="dxa"/>
                    <w:right w:w="178" w:type="dxa"/>
                  </w:tcMar>
                  <w:vAlign w:val="bottom"/>
                </w:tcPr>
                <w:p w14:paraId="1C0A1AD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195</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4AB4196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nil"/>
                    <w:right w:val="nil"/>
                    <w:tl2br w:val="nil"/>
                    <w:tr2bl w:val="nil"/>
                  </w:tcBorders>
                  <w:shd w:val="clear" w:color="auto" w:fill="auto"/>
                  <w:noWrap/>
                  <w:tcMar>
                    <w:left w:w="43" w:type="dxa"/>
                    <w:right w:w="178" w:type="dxa"/>
                  </w:tcMar>
                  <w:vAlign w:val="bottom"/>
                </w:tcPr>
                <w:p w14:paraId="7A3F247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31</w:t>
                  </w:r>
                </w:p>
              </w:tc>
            </w:tr>
            <w:tr w:rsidR="00213131" w:rsidRPr="004D7A72" w14:paraId="25AB65F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19595F1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Financial assets</w:t>
                  </w:r>
                </w:p>
              </w:tc>
              <w:tc>
                <w:tcPr>
                  <w:tcW w:w="1370" w:type="dxa"/>
                  <w:tcBorders>
                    <w:top w:val="nil"/>
                    <w:left w:val="nil"/>
                    <w:bottom w:val="nil"/>
                    <w:right w:val="nil"/>
                    <w:tl2br w:val="nil"/>
                    <w:tr2bl w:val="nil"/>
                  </w:tcBorders>
                  <w:shd w:val="clear" w:color="auto" w:fill="auto"/>
                  <w:noWrap/>
                  <w:tcMar>
                    <w:left w:w="43" w:type="dxa"/>
                    <w:right w:w="178" w:type="dxa"/>
                  </w:tcMar>
                  <w:vAlign w:val="bottom"/>
                </w:tcPr>
                <w:p w14:paraId="14A0F66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7E1A98F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nil"/>
                    <w:right w:val="nil"/>
                    <w:tl2br w:val="nil"/>
                    <w:tr2bl w:val="nil"/>
                  </w:tcBorders>
                  <w:shd w:val="clear" w:color="auto" w:fill="auto"/>
                  <w:noWrap/>
                  <w:tcMar>
                    <w:left w:w="43" w:type="dxa"/>
                    <w:right w:w="178" w:type="dxa"/>
                  </w:tcMar>
                  <w:vAlign w:val="bottom"/>
                </w:tcPr>
                <w:p w14:paraId="5D6B7F7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102</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0004FCF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nil"/>
                    <w:right w:val="nil"/>
                    <w:tl2br w:val="nil"/>
                    <w:tr2bl w:val="nil"/>
                  </w:tcBorders>
                  <w:shd w:val="clear" w:color="auto" w:fill="auto"/>
                  <w:noWrap/>
                  <w:tcMar>
                    <w:left w:w="43" w:type="dxa"/>
                    <w:right w:w="178" w:type="dxa"/>
                  </w:tcMar>
                  <w:vAlign w:val="bottom"/>
                </w:tcPr>
                <w:p w14:paraId="5A69BE0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26</w:t>
                  </w:r>
                </w:p>
              </w:tc>
            </w:tr>
            <w:tr w:rsidR="00213131" w:rsidRPr="004D7A72" w14:paraId="5021DBF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3B73732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Financial derivatives</w:t>
                  </w:r>
                </w:p>
              </w:tc>
              <w:tc>
                <w:tcPr>
                  <w:tcW w:w="1370" w:type="dxa"/>
                  <w:tcBorders>
                    <w:top w:val="nil"/>
                    <w:left w:val="nil"/>
                    <w:bottom w:val="nil"/>
                    <w:right w:val="nil"/>
                    <w:tl2br w:val="nil"/>
                    <w:tr2bl w:val="nil"/>
                  </w:tcBorders>
                  <w:shd w:val="clear" w:color="auto" w:fill="auto"/>
                  <w:noWrap/>
                  <w:tcMar>
                    <w:left w:w="43" w:type="dxa"/>
                    <w:right w:w="178" w:type="dxa"/>
                  </w:tcMar>
                  <w:vAlign w:val="bottom"/>
                </w:tcPr>
                <w:p w14:paraId="5715380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67</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6413E38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nil"/>
                    <w:right w:val="nil"/>
                    <w:tl2br w:val="nil"/>
                    <w:tr2bl w:val="nil"/>
                  </w:tcBorders>
                  <w:shd w:val="clear" w:color="auto" w:fill="auto"/>
                  <w:noWrap/>
                  <w:tcMar>
                    <w:left w:w="43" w:type="dxa"/>
                    <w:right w:w="178" w:type="dxa"/>
                  </w:tcMar>
                  <w:vAlign w:val="bottom"/>
                </w:tcPr>
                <w:p w14:paraId="6A0C6A3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105</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795488D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nil"/>
                    <w:right w:val="nil"/>
                    <w:tl2br w:val="nil"/>
                    <w:tr2bl w:val="nil"/>
                  </w:tcBorders>
                  <w:shd w:val="clear" w:color="auto" w:fill="auto"/>
                  <w:noWrap/>
                  <w:tcMar>
                    <w:left w:w="43" w:type="dxa"/>
                    <w:right w:w="178" w:type="dxa"/>
                  </w:tcMar>
                  <w:vAlign w:val="bottom"/>
                </w:tcPr>
                <w:p w14:paraId="3B12826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34</w:t>
                  </w:r>
                </w:p>
              </w:tc>
            </w:tr>
            <w:tr w:rsidR="00213131" w:rsidRPr="004D7A72" w14:paraId="1FB114D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3E00B38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Trade receivables</w:t>
                  </w:r>
                </w:p>
              </w:tc>
              <w:tc>
                <w:tcPr>
                  <w:tcW w:w="1370" w:type="dxa"/>
                  <w:tcBorders>
                    <w:top w:val="nil"/>
                    <w:left w:val="nil"/>
                    <w:bottom w:val="nil"/>
                    <w:right w:val="nil"/>
                    <w:tl2br w:val="nil"/>
                    <w:tr2bl w:val="nil"/>
                  </w:tcBorders>
                  <w:shd w:val="clear" w:color="auto" w:fill="auto"/>
                  <w:noWrap/>
                  <w:tcMar>
                    <w:left w:w="43" w:type="dxa"/>
                    <w:right w:w="178" w:type="dxa"/>
                  </w:tcMar>
                  <w:vAlign w:val="bottom"/>
                </w:tcPr>
                <w:p w14:paraId="3BF4143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92</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1DB94BF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nil"/>
                    <w:right w:val="nil"/>
                    <w:tl2br w:val="nil"/>
                    <w:tr2bl w:val="nil"/>
                  </w:tcBorders>
                  <w:shd w:val="clear" w:color="auto" w:fill="auto"/>
                  <w:noWrap/>
                  <w:tcMar>
                    <w:left w:w="43" w:type="dxa"/>
                    <w:right w:w="178" w:type="dxa"/>
                  </w:tcMar>
                  <w:vAlign w:val="bottom"/>
                </w:tcPr>
                <w:p w14:paraId="68A41A7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155</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7A98625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nil"/>
                    <w:right w:val="nil"/>
                    <w:tl2br w:val="nil"/>
                    <w:tr2bl w:val="nil"/>
                  </w:tcBorders>
                  <w:shd w:val="clear" w:color="auto" w:fill="auto"/>
                  <w:noWrap/>
                  <w:tcMar>
                    <w:left w:w="43" w:type="dxa"/>
                    <w:right w:w="178" w:type="dxa"/>
                  </w:tcMar>
                  <w:vAlign w:val="bottom"/>
                </w:tcPr>
                <w:p w14:paraId="4301309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143</w:t>
                  </w:r>
                </w:p>
              </w:tc>
            </w:tr>
            <w:tr w:rsidR="00213131" w:rsidRPr="004D7A72" w14:paraId="5379F35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6779B16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Other receivables</w:t>
                  </w:r>
                </w:p>
              </w:tc>
              <w:tc>
                <w:tcPr>
                  <w:tcW w:w="1370" w:type="dxa"/>
                  <w:tcBorders>
                    <w:top w:val="nil"/>
                    <w:left w:val="nil"/>
                    <w:bottom w:val="nil"/>
                    <w:right w:val="nil"/>
                    <w:tl2br w:val="nil"/>
                    <w:tr2bl w:val="nil"/>
                  </w:tcBorders>
                  <w:shd w:val="clear" w:color="auto" w:fill="auto"/>
                  <w:noWrap/>
                  <w:tcMar>
                    <w:left w:w="43" w:type="dxa"/>
                    <w:right w:w="178" w:type="dxa"/>
                  </w:tcMar>
                  <w:vAlign w:val="bottom"/>
                </w:tcPr>
                <w:p w14:paraId="4298B8A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456</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77F1BE6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nil"/>
                    <w:right w:val="nil"/>
                    <w:tl2br w:val="nil"/>
                    <w:tr2bl w:val="nil"/>
                  </w:tcBorders>
                  <w:shd w:val="clear" w:color="auto" w:fill="auto"/>
                  <w:noWrap/>
                  <w:tcMar>
                    <w:left w:w="43" w:type="dxa"/>
                    <w:right w:w="178" w:type="dxa"/>
                  </w:tcMar>
                  <w:vAlign w:val="bottom"/>
                </w:tcPr>
                <w:p w14:paraId="102180E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484</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705B0CE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nil"/>
                    <w:right w:val="nil"/>
                    <w:tl2br w:val="nil"/>
                    <w:tr2bl w:val="nil"/>
                  </w:tcBorders>
                  <w:shd w:val="clear" w:color="auto" w:fill="auto"/>
                  <w:noWrap/>
                  <w:tcMar>
                    <w:left w:w="43" w:type="dxa"/>
                    <w:right w:w="178" w:type="dxa"/>
                  </w:tcMar>
                  <w:vAlign w:val="bottom"/>
                </w:tcPr>
                <w:p w14:paraId="700A3AA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423</w:t>
                  </w:r>
                </w:p>
              </w:tc>
            </w:tr>
            <w:tr w:rsidR="00213131" w:rsidRPr="004D7A72" w14:paraId="31B15C7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0879FBA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Current tax assets</w:t>
                  </w:r>
                </w:p>
              </w:tc>
              <w:tc>
                <w:tcPr>
                  <w:tcW w:w="137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AB7C00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064DE91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5F4D5F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4CC0B20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779AB6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w:t>
                  </w:r>
                </w:p>
              </w:tc>
            </w:tr>
            <w:tr w:rsidR="00213131" w:rsidRPr="004D7A72" w14:paraId="570D0BE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0" w:type="dxa"/>
                    <w:right w:w="0" w:type="dxa"/>
                  </w:tcMar>
                  <w:vAlign w:val="bottom"/>
                </w:tcPr>
                <w:p w14:paraId="7C3631F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37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462731D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1,509</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68B0A50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5BB8E5A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1,740</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5F4EE9C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716BFE7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1,299</w:t>
                  </w:r>
                </w:p>
              </w:tc>
            </w:tr>
            <w:tr w:rsidR="00213131" w:rsidRPr="004D7A72" w14:paraId="3C3C7D5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2A8E17C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Assets held for sale</w:t>
                  </w:r>
                </w:p>
              </w:tc>
              <w:tc>
                <w:tcPr>
                  <w:tcW w:w="137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831E62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2,540</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1D5687D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BA5DC4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1,001</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4500913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1CEF93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2,977</w:t>
                  </w:r>
                </w:p>
              </w:tc>
            </w:tr>
            <w:tr w:rsidR="00213131" w:rsidRPr="004D7A72" w14:paraId="578BF46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0" w:type="dxa"/>
                    <w:right w:w="0" w:type="dxa"/>
                  </w:tcMar>
                  <w:vAlign w:val="bottom"/>
                </w:tcPr>
                <w:p w14:paraId="77A146D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37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126ECC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4,049</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4D56B6A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12AA2A7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2,741</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252CF27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485DF4F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4,276</w:t>
                  </w:r>
                </w:p>
              </w:tc>
            </w:tr>
            <w:tr w:rsidR="00213131" w:rsidRPr="004D7A72" w14:paraId="2ECF199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2F2D2975"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Non-current assets</w:t>
                  </w:r>
                </w:p>
              </w:tc>
              <w:tc>
                <w:tcPr>
                  <w:tcW w:w="137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29C2CE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6C731A4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6C485A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0C47A8B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41F460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675A7ED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5A15B0E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Equity accounted investments</w:t>
                  </w:r>
                </w:p>
              </w:tc>
              <w:tc>
                <w:tcPr>
                  <w:tcW w:w="1370" w:type="dxa"/>
                  <w:tcBorders>
                    <w:top w:val="nil"/>
                    <w:left w:val="nil"/>
                    <w:bottom w:val="nil"/>
                    <w:right w:val="nil"/>
                    <w:tl2br w:val="nil"/>
                    <w:tr2bl w:val="nil"/>
                  </w:tcBorders>
                  <w:shd w:val="clear" w:color="auto" w:fill="auto"/>
                  <w:noWrap/>
                  <w:tcMar>
                    <w:left w:w="43" w:type="dxa"/>
                    <w:right w:w="178" w:type="dxa"/>
                  </w:tcMar>
                  <w:vAlign w:val="bottom"/>
                </w:tcPr>
                <w:p w14:paraId="0D2FD80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998</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7F80073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nil"/>
                    <w:right w:val="nil"/>
                    <w:tl2br w:val="nil"/>
                    <w:tr2bl w:val="nil"/>
                  </w:tcBorders>
                  <w:shd w:val="clear" w:color="auto" w:fill="auto"/>
                  <w:noWrap/>
                  <w:tcMar>
                    <w:left w:w="43" w:type="dxa"/>
                    <w:right w:w="178" w:type="dxa"/>
                  </w:tcMar>
                  <w:vAlign w:val="bottom"/>
                </w:tcPr>
                <w:p w14:paraId="6DA0E3E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1,058</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5053ED8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nil"/>
                    <w:right w:val="nil"/>
                    <w:tl2br w:val="nil"/>
                    <w:tr2bl w:val="nil"/>
                  </w:tcBorders>
                  <w:shd w:val="clear" w:color="auto" w:fill="auto"/>
                  <w:noWrap/>
                  <w:tcMar>
                    <w:left w:w="43" w:type="dxa"/>
                    <w:right w:w="178" w:type="dxa"/>
                  </w:tcMar>
                  <w:vAlign w:val="bottom"/>
                </w:tcPr>
                <w:p w14:paraId="3ECD5C4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1,131</w:t>
                  </w:r>
                </w:p>
              </w:tc>
            </w:tr>
            <w:tr w:rsidR="00213131" w:rsidRPr="004D7A72" w14:paraId="20A5478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15BFDC0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Other investments, loans and receivables</w:t>
                  </w:r>
                </w:p>
              </w:tc>
              <w:tc>
                <w:tcPr>
                  <w:tcW w:w="1370" w:type="dxa"/>
                  <w:tcBorders>
                    <w:top w:val="nil"/>
                    <w:left w:val="nil"/>
                    <w:bottom w:val="nil"/>
                    <w:right w:val="nil"/>
                    <w:tl2br w:val="nil"/>
                    <w:tr2bl w:val="nil"/>
                  </w:tcBorders>
                  <w:shd w:val="clear" w:color="auto" w:fill="auto"/>
                  <w:noWrap/>
                  <w:tcMar>
                    <w:left w:w="43" w:type="dxa"/>
                    <w:right w:w="178" w:type="dxa"/>
                  </w:tcMar>
                  <w:vAlign w:val="bottom"/>
                </w:tcPr>
                <w:p w14:paraId="7C69236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621</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687F1F7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nil"/>
                    <w:right w:val="nil"/>
                    <w:tl2br w:val="nil"/>
                    <w:tr2bl w:val="nil"/>
                  </w:tcBorders>
                  <w:shd w:val="clear" w:color="auto" w:fill="auto"/>
                  <w:noWrap/>
                  <w:tcMar>
                    <w:left w:w="43" w:type="dxa"/>
                    <w:right w:w="178" w:type="dxa"/>
                  </w:tcMar>
                  <w:vAlign w:val="bottom"/>
                </w:tcPr>
                <w:p w14:paraId="6FE739B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655</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149D729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nil"/>
                    <w:right w:val="nil"/>
                    <w:tl2br w:val="nil"/>
                    <w:tr2bl w:val="nil"/>
                  </w:tcBorders>
                  <w:shd w:val="clear" w:color="auto" w:fill="auto"/>
                  <w:noWrap/>
                  <w:tcMar>
                    <w:left w:w="43" w:type="dxa"/>
                    <w:right w:w="178" w:type="dxa"/>
                  </w:tcMar>
                  <w:vAlign w:val="bottom"/>
                </w:tcPr>
                <w:p w14:paraId="774156A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592</w:t>
                  </w:r>
                </w:p>
              </w:tc>
            </w:tr>
            <w:tr w:rsidR="00213131" w:rsidRPr="004D7A72" w14:paraId="2AB906B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7FB6461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Financial assets</w:t>
                  </w:r>
                </w:p>
              </w:tc>
              <w:tc>
                <w:tcPr>
                  <w:tcW w:w="1370" w:type="dxa"/>
                  <w:tcBorders>
                    <w:top w:val="nil"/>
                    <w:left w:val="nil"/>
                    <w:bottom w:val="nil"/>
                    <w:right w:val="nil"/>
                    <w:tl2br w:val="nil"/>
                    <w:tr2bl w:val="nil"/>
                  </w:tcBorders>
                  <w:shd w:val="clear" w:color="auto" w:fill="auto"/>
                  <w:noWrap/>
                  <w:tcMar>
                    <w:left w:w="43" w:type="dxa"/>
                    <w:right w:w="178" w:type="dxa"/>
                  </w:tcMar>
                  <w:vAlign w:val="bottom"/>
                </w:tcPr>
                <w:p w14:paraId="0EAB826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101</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64B5625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nil"/>
                    <w:right w:val="nil"/>
                    <w:tl2br w:val="nil"/>
                    <w:tr2bl w:val="nil"/>
                  </w:tcBorders>
                  <w:shd w:val="clear" w:color="auto" w:fill="auto"/>
                  <w:noWrap/>
                  <w:tcMar>
                    <w:left w:w="43" w:type="dxa"/>
                    <w:right w:w="178" w:type="dxa"/>
                  </w:tcMar>
                  <w:vAlign w:val="bottom"/>
                </w:tcPr>
                <w:p w14:paraId="1D8A3F5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102</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5BAC5B4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nil"/>
                    <w:right w:val="nil"/>
                    <w:tl2br w:val="nil"/>
                    <w:tr2bl w:val="nil"/>
                  </w:tcBorders>
                  <w:shd w:val="clear" w:color="auto" w:fill="auto"/>
                  <w:noWrap/>
                  <w:tcMar>
                    <w:left w:w="43" w:type="dxa"/>
                    <w:right w:w="178" w:type="dxa"/>
                  </w:tcMar>
                  <w:vAlign w:val="bottom"/>
                </w:tcPr>
                <w:p w14:paraId="7E374E0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96</w:t>
                  </w:r>
                </w:p>
              </w:tc>
            </w:tr>
            <w:tr w:rsidR="00213131" w:rsidRPr="004D7A72" w14:paraId="73045A8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174429F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Financial derivatives</w:t>
                  </w:r>
                </w:p>
              </w:tc>
              <w:tc>
                <w:tcPr>
                  <w:tcW w:w="1370" w:type="dxa"/>
                  <w:tcBorders>
                    <w:top w:val="nil"/>
                    <w:left w:val="nil"/>
                    <w:bottom w:val="nil"/>
                    <w:right w:val="nil"/>
                    <w:tl2br w:val="nil"/>
                    <w:tr2bl w:val="nil"/>
                  </w:tcBorders>
                  <w:shd w:val="clear" w:color="auto" w:fill="auto"/>
                  <w:noWrap/>
                  <w:tcMar>
                    <w:left w:w="43" w:type="dxa"/>
                    <w:right w:w="178" w:type="dxa"/>
                  </w:tcMar>
                  <w:vAlign w:val="bottom"/>
                </w:tcPr>
                <w:p w14:paraId="2D0A05F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185</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7494123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nil"/>
                    <w:right w:val="nil"/>
                    <w:tl2br w:val="nil"/>
                    <w:tr2bl w:val="nil"/>
                  </w:tcBorders>
                  <w:shd w:val="clear" w:color="auto" w:fill="auto"/>
                  <w:noWrap/>
                  <w:tcMar>
                    <w:left w:w="43" w:type="dxa"/>
                    <w:right w:w="178" w:type="dxa"/>
                  </w:tcMar>
                  <w:vAlign w:val="bottom"/>
                </w:tcPr>
                <w:p w14:paraId="6F8BFCB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275</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686A8A1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nil"/>
                    <w:right w:val="nil"/>
                    <w:tl2br w:val="nil"/>
                    <w:tr2bl w:val="nil"/>
                  </w:tcBorders>
                  <w:shd w:val="clear" w:color="auto" w:fill="auto"/>
                  <w:noWrap/>
                  <w:tcMar>
                    <w:left w:w="43" w:type="dxa"/>
                    <w:right w:w="178" w:type="dxa"/>
                  </w:tcMar>
                  <w:vAlign w:val="bottom"/>
                </w:tcPr>
                <w:p w14:paraId="5A40623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290</w:t>
                  </w:r>
                </w:p>
              </w:tc>
            </w:tr>
            <w:tr w:rsidR="00213131" w:rsidRPr="004D7A72" w14:paraId="7942FC1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0911CDA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Investment property</w:t>
                  </w:r>
                </w:p>
              </w:tc>
              <w:tc>
                <w:tcPr>
                  <w:tcW w:w="1370" w:type="dxa"/>
                  <w:tcBorders>
                    <w:top w:val="nil"/>
                    <w:left w:val="nil"/>
                    <w:bottom w:val="nil"/>
                    <w:right w:val="nil"/>
                    <w:tl2br w:val="nil"/>
                    <w:tr2bl w:val="nil"/>
                  </w:tcBorders>
                  <w:shd w:val="clear" w:color="auto" w:fill="auto"/>
                  <w:noWrap/>
                  <w:tcMar>
                    <w:left w:w="43" w:type="dxa"/>
                    <w:right w:w="178" w:type="dxa"/>
                  </w:tcMar>
                  <w:vAlign w:val="bottom"/>
                </w:tcPr>
                <w:p w14:paraId="0B0A523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29,469</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2600A85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nil"/>
                    <w:right w:val="nil"/>
                    <w:tl2br w:val="nil"/>
                    <w:tr2bl w:val="nil"/>
                  </w:tcBorders>
                  <w:shd w:val="clear" w:color="auto" w:fill="auto"/>
                  <w:noWrap/>
                  <w:tcMar>
                    <w:left w:w="43" w:type="dxa"/>
                    <w:right w:w="178" w:type="dxa"/>
                  </w:tcMar>
                  <w:vAlign w:val="bottom"/>
                </w:tcPr>
                <w:p w14:paraId="02474A2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31,602</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03F4A29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nil"/>
                    <w:right w:val="nil"/>
                    <w:tl2br w:val="nil"/>
                    <w:tr2bl w:val="nil"/>
                  </w:tcBorders>
                  <w:shd w:val="clear" w:color="auto" w:fill="auto"/>
                  <w:noWrap/>
                  <w:tcMar>
                    <w:left w:w="43" w:type="dxa"/>
                    <w:right w:w="178" w:type="dxa"/>
                  </w:tcMar>
                  <w:vAlign w:val="bottom"/>
                </w:tcPr>
                <w:p w14:paraId="5B0F692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29,083</w:t>
                  </w:r>
                </w:p>
              </w:tc>
            </w:tr>
            <w:tr w:rsidR="00213131" w:rsidRPr="004D7A72" w14:paraId="217DC8E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19CEE37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Investment property under development</w:t>
                  </w:r>
                </w:p>
              </w:tc>
              <w:tc>
                <w:tcPr>
                  <w:tcW w:w="1370" w:type="dxa"/>
                  <w:tcBorders>
                    <w:top w:val="nil"/>
                    <w:left w:val="nil"/>
                    <w:bottom w:val="nil"/>
                    <w:right w:val="nil"/>
                    <w:tl2br w:val="nil"/>
                    <w:tr2bl w:val="nil"/>
                  </w:tcBorders>
                  <w:shd w:val="clear" w:color="auto" w:fill="auto"/>
                  <w:noWrap/>
                  <w:tcMar>
                    <w:left w:w="43" w:type="dxa"/>
                    <w:right w:w="178" w:type="dxa"/>
                  </w:tcMar>
                  <w:vAlign w:val="bottom"/>
                </w:tcPr>
                <w:p w14:paraId="30F91AA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2,770</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5F8165D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nil"/>
                    <w:right w:val="nil"/>
                    <w:tl2br w:val="nil"/>
                    <w:tr2bl w:val="nil"/>
                  </w:tcBorders>
                  <w:shd w:val="clear" w:color="auto" w:fill="auto"/>
                  <w:noWrap/>
                  <w:tcMar>
                    <w:left w:w="43" w:type="dxa"/>
                    <w:right w:w="178" w:type="dxa"/>
                  </w:tcMar>
                  <w:vAlign w:val="bottom"/>
                </w:tcPr>
                <w:p w14:paraId="022DDBA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2,972</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344F6B2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nil"/>
                    <w:right w:val="nil"/>
                    <w:tl2br w:val="nil"/>
                    <w:tr2bl w:val="nil"/>
                  </w:tcBorders>
                  <w:shd w:val="clear" w:color="auto" w:fill="auto"/>
                  <w:noWrap/>
                  <w:tcMar>
                    <w:left w:w="43" w:type="dxa"/>
                    <w:right w:w="178" w:type="dxa"/>
                  </w:tcMar>
                  <w:vAlign w:val="bottom"/>
                </w:tcPr>
                <w:p w14:paraId="65CDC14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2,759</w:t>
                  </w:r>
                </w:p>
              </w:tc>
            </w:tr>
            <w:tr w:rsidR="00213131" w:rsidRPr="004D7A72" w14:paraId="238495D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7190C0D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Fixed assets, net</w:t>
                  </w:r>
                </w:p>
              </w:tc>
              <w:tc>
                <w:tcPr>
                  <w:tcW w:w="1370" w:type="dxa"/>
                  <w:tcBorders>
                    <w:top w:val="nil"/>
                    <w:left w:val="nil"/>
                    <w:bottom w:val="nil"/>
                    <w:right w:val="nil"/>
                    <w:tl2br w:val="nil"/>
                    <w:tr2bl w:val="nil"/>
                  </w:tcBorders>
                  <w:shd w:val="clear" w:color="auto" w:fill="auto"/>
                  <w:noWrap/>
                  <w:tcMar>
                    <w:left w:w="43" w:type="dxa"/>
                    <w:right w:w="178" w:type="dxa"/>
                  </w:tcMar>
                  <w:vAlign w:val="bottom"/>
                </w:tcPr>
                <w:p w14:paraId="59422B0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120</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5A78A2C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nil"/>
                    <w:right w:val="nil"/>
                    <w:tl2br w:val="nil"/>
                    <w:tr2bl w:val="nil"/>
                  </w:tcBorders>
                  <w:shd w:val="clear" w:color="auto" w:fill="auto"/>
                  <w:noWrap/>
                  <w:tcMar>
                    <w:left w:w="43" w:type="dxa"/>
                    <w:right w:w="178" w:type="dxa"/>
                  </w:tcMar>
                  <w:vAlign w:val="bottom"/>
                </w:tcPr>
                <w:p w14:paraId="610A595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158</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6512CB7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nil"/>
                    <w:right w:val="nil"/>
                    <w:tl2br w:val="nil"/>
                    <w:tr2bl w:val="nil"/>
                  </w:tcBorders>
                  <w:shd w:val="clear" w:color="auto" w:fill="auto"/>
                  <w:noWrap/>
                  <w:tcMar>
                    <w:left w:w="43" w:type="dxa"/>
                    <w:right w:w="178" w:type="dxa"/>
                  </w:tcMar>
                  <w:vAlign w:val="bottom"/>
                </w:tcPr>
                <w:p w14:paraId="1D14015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133</w:t>
                  </w:r>
                </w:p>
              </w:tc>
            </w:tr>
            <w:tr w:rsidR="00213131" w:rsidRPr="004D7A72" w14:paraId="3EC11AF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307613A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Intangible assets, net</w:t>
                  </w:r>
                </w:p>
              </w:tc>
              <w:tc>
                <w:tcPr>
                  <w:tcW w:w="1370" w:type="dxa"/>
                  <w:tcBorders>
                    <w:top w:val="nil"/>
                    <w:left w:val="nil"/>
                    <w:bottom w:val="nil"/>
                    <w:right w:val="nil"/>
                    <w:tl2br w:val="nil"/>
                    <w:tr2bl w:val="nil"/>
                  </w:tcBorders>
                  <w:shd w:val="clear" w:color="auto" w:fill="auto"/>
                  <w:noWrap/>
                  <w:tcMar>
                    <w:left w:w="43" w:type="dxa"/>
                    <w:right w:w="178" w:type="dxa"/>
                  </w:tcMar>
                  <w:vAlign w:val="bottom"/>
                </w:tcPr>
                <w:p w14:paraId="3CDCDBB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431</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7FE6B4F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nil"/>
                    <w:right w:val="nil"/>
                    <w:tl2br w:val="nil"/>
                    <w:tr2bl w:val="nil"/>
                  </w:tcBorders>
                  <w:shd w:val="clear" w:color="auto" w:fill="auto"/>
                  <w:noWrap/>
                  <w:tcMar>
                    <w:left w:w="43" w:type="dxa"/>
                    <w:right w:w="178" w:type="dxa"/>
                  </w:tcMar>
                  <w:vAlign w:val="bottom"/>
                </w:tcPr>
                <w:p w14:paraId="50B9DA6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438</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04FD47F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nil"/>
                    <w:right w:val="nil"/>
                    <w:tl2br w:val="nil"/>
                    <w:tr2bl w:val="nil"/>
                  </w:tcBorders>
                  <w:shd w:val="clear" w:color="auto" w:fill="auto"/>
                  <w:noWrap/>
                  <w:tcMar>
                    <w:left w:w="43" w:type="dxa"/>
                    <w:right w:w="178" w:type="dxa"/>
                  </w:tcMar>
                  <w:vAlign w:val="bottom"/>
                </w:tcPr>
                <w:p w14:paraId="03BE835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447</w:t>
                  </w:r>
                </w:p>
              </w:tc>
            </w:tr>
            <w:tr w:rsidR="00213131" w:rsidRPr="004D7A72" w14:paraId="2395D6C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43" w:type="dxa"/>
                    <w:right w:w="43" w:type="dxa"/>
                  </w:tcMar>
                  <w:vAlign w:val="bottom"/>
                </w:tcPr>
                <w:p w14:paraId="11351DD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Deferred taxes</w:t>
                  </w:r>
                </w:p>
              </w:tc>
              <w:tc>
                <w:tcPr>
                  <w:tcW w:w="137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DC6E1A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67</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11CC8D8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F5D57A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67</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6AF911B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02A589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66</w:t>
                  </w:r>
                </w:p>
              </w:tc>
            </w:tr>
            <w:tr w:rsidR="00213131" w:rsidRPr="004D7A72" w14:paraId="737AB56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0" w:type="dxa"/>
                    <w:right w:w="0" w:type="dxa"/>
                  </w:tcMar>
                  <w:vAlign w:val="bottom"/>
                </w:tcPr>
                <w:p w14:paraId="465E3BA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37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2822826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34,762</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4EF281D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486CD53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37,327</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123BDE2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1DC6ECE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34,597</w:t>
                  </w:r>
                </w:p>
              </w:tc>
            </w:tr>
            <w:tr w:rsidR="00213131" w:rsidRPr="004D7A72" w14:paraId="71C76DF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0" w:type="dxa"/>
                    <w:right w:w="0" w:type="dxa"/>
                  </w:tcMar>
                  <w:vAlign w:val="bottom"/>
                </w:tcPr>
                <w:p w14:paraId="458F053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37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AC7068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6052988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BB235F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5ECCB35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E0931C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4F1EB8D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0" w:type="dxa"/>
                    <w:right w:w="0" w:type="dxa"/>
                  </w:tcMar>
                  <w:vAlign w:val="bottom"/>
                </w:tcPr>
                <w:p w14:paraId="0AD2927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37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4B48E0A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38,811</w:t>
                  </w:r>
                </w:p>
              </w:tc>
              <w:tc>
                <w:tcPr>
                  <w:tcW w:w="263" w:type="dxa"/>
                  <w:tcBorders>
                    <w:top w:val="nil"/>
                    <w:left w:val="nil"/>
                    <w:bottom w:val="nil"/>
                    <w:right w:val="nil"/>
                    <w:tl2br w:val="nil"/>
                    <w:tr2bl w:val="nil"/>
                  </w:tcBorders>
                  <w:shd w:val="clear" w:color="auto" w:fill="auto"/>
                  <w:noWrap/>
                  <w:tcMar>
                    <w:left w:w="0" w:type="dxa"/>
                    <w:right w:w="135" w:type="dxa"/>
                  </w:tcMar>
                  <w:vAlign w:val="bottom"/>
                </w:tcPr>
                <w:p w14:paraId="45E02EB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05"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446C91C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40,068</w:t>
                  </w:r>
                </w:p>
              </w:tc>
              <w:tc>
                <w:tcPr>
                  <w:tcW w:w="440" w:type="dxa"/>
                  <w:tcBorders>
                    <w:top w:val="nil"/>
                    <w:left w:val="nil"/>
                    <w:bottom w:val="nil"/>
                    <w:right w:val="nil"/>
                    <w:tl2br w:val="nil"/>
                    <w:tr2bl w:val="nil"/>
                  </w:tcBorders>
                  <w:shd w:val="clear" w:color="auto" w:fill="auto"/>
                  <w:noWrap/>
                  <w:tcMar>
                    <w:left w:w="0" w:type="dxa"/>
                    <w:right w:w="135" w:type="dxa"/>
                  </w:tcMar>
                  <w:vAlign w:val="bottom"/>
                </w:tcPr>
                <w:p w14:paraId="14211F5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58"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55BD02B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38,873</w:t>
                  </w:r>
                </w:p>
              </w:tc>
            </w:tr>
            <w:tr w:rsidR="00213131" w:rsidRPr="004D7A72" w14:paraId="1053179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186" w:type="dxa"/>
                  <w:tcBorders>
                    <w:top w:val="nil"/>
                    <w:left w:val="nil"/>
                    <w:bottom w:val="nil"/>
                    <w:right w:val="nil"/>
                    <w:tl2br w:val="nil"/>
                    <w:tr2bl w:val="nil"/>
                  </w:tcBorders>
                  <w:shd w:val="clear" w:color="auto" w:fill="auto"/>
                  <w:noWrap/>
                  <w:tcMar>
                    <w:left w:w="0" w:type="dxa"/>
                    <w:right w:w="0" w:type="dxa"/>
                  </w:tcMar>
                  <w:vAlign w:val="bottom"/>
                </w:tcPr>
                <w:p w14:paraId="68A6FCE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37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9421FF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63" w:type="dxa"/>
                  <w:tcBorders>
                    <w:top w:val="nil"/>
                    <w:left w:val="nil"/>
                    <w:bottom w:val="nil"/>
                    <w:right w:val="nil"/>
                    <w:tl2br w:val="nil"/>
                    <w:tr2bl w:val="nil"/>
                  </w:tcBorders>
                  <w:shd w:val="clear" w:color="auto" w:fill="auto"/>
                  <w:noWrap/>
                  <w:tcMar>
                    <w:left w:w="0" w:type="dxa"/>
                    <w:right w:w="0" w:type="dxa"/>
                  </w:tcMar>
                  <w:vAlign w:val="bottom"/>
                </w:tcPr>
                <w:p w14:paraId="28D0F09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0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2ABA57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440" w:type="dxa"/>
                  <w:tcBorders>
                    <w:top w:val="nil"/>
                    <w:left w:val="nil"/>
                    <w:bottom w:val="nil"/>
                    <w:right w:val="nil"/>
                    <w:tl2br w:val="nil"/>
                    <w:tr2bl w:val="nil"/>
                  </w:tcBorders>
                  <w:shd w:val="clear" w:color="auto" w:fill="auto"/>
                  <w:noWrap/>
                  <w:tcMar>
                    <w:left w:w="0" w:type="dxa"/>
                    <w:right w:w="0" w:type="dxa"/>
                  </w:tcMar>
                  <w:vAlign w:val="bottom"/>
                </w:tcPr>
                <w:p w14:paraId="3DF82F7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58"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5426CC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r>
            <w:tr w:rsidR="00213131" w:rsidRPr="004D7A72" w14:paraId="25FBC3D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9922" w:type="dxa"/>
                  <w:gridSpan w:val="6"/>
                  <w:tcBorders>
                    <w:top w:val="nil"/>
                    <w:left w:val="nil"/>
                    <w:bottom w:val="nil"/>
                    <w:right w:val="nil"/>
                    <w:tl2br w:val="nil"/>
                    <w:tr2bl w:val="nil"/>
                  </w:tcBorders>
                  <w:shd w:val="clear" w:color="auto" w:fill="auto"/>
                  <w:noWrap/>
                  <w:tcMar>
                    <w:left w:w="43" w:type="dxa"/>
                    <w:right w:w="43" w:type="dxa"/>
                  </w:tcMar>
                  <w:vAlign w:val="bottom"/>
                </w:tcPr>
                <w:p w14:paraId="5EBD79F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The accompanying notes constitute an integral part of these consolidated interim financial statements.</w:t>
                  </w:r>
                </w:p>
              </w:tc>
            </w:tr>
          </w:tbl>
          <w:p w14:paraId="46956FF7" w14:textId="77777777" w:rsidR="00213131" w:rsidRPr="004D7A72" w:rsidRDefault="00213131" w:rsidP="00A65A6F">
            <w:pPr>
              <w:rPr>
                <w:rFonts w:asciiTheme="majorBidi" w:hAnsiTheme="majorBidi" w:cstheme="majorBidi"/>
              </w:rPr>
            </w:pPr>
          </w:p>
        </w:tc>
      </w:tr>
    </w:tbl>
    <w:p w14:paraId="72ED7BDB" w14:textId="77777777" w:rsidR="00213131" w:rsidRPr="004D7A72" w:rsidRDefault="00213131" w:rsidP="00213131">
      <w:pPr>
        <w:rPr>
          <w:rFonts w:asciiTheme="majorBidi" w:hAnsiTheme="majorBidi" w:cstheme="majorBidi"/>
          <w:sz w:val="21"/>
          <w:szCs w:val="21"/>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213131" w:rsidRPr="004D7A72" w14:paraId="61270C0F" w14:textId="77777777" w:rsidTr="00A65A6F">
        <w:trPr>
          <w:cantSplit/>
        </w:trPr>
        <w:tc>
          <w:tcPr>
            <w:tcW w:w="9922" w:type="dxa"/>
          </w:tcPr>
          <w:tbl>
            <w:tblPr>
              <w:tblStyle w:val="CDMRange2"/>
              <w:tblW w:w="9922" w:type="dxa"/>
              <w:tblLook w:val="0600" w:firstRow="0" w:lastRow="0" w:firstColumn="0" w:lastColumn="0" w:noHBand="1" w:noVBand="1"/>
            </w:tblPr>
            <w:tblGrid>
              <w:gridCol w:w="5667"/>
              <w:gridCol w:w="1171"/>
              <w:gridCol w:w="283"/>
              <w:gridCol w:w="1069"/>
              <w:gridCol w:w="312"/>
              <w:gridCol w:w="1420"/>
            </w:tblGrid>
            <w:tr w:rsidR="00213131" w:rsidRPr="004D7A72" w14:paraId="55B21697" w14:textId="77777777" w:rsidTr="00A65A6F">
              <w:trPr>
                <w:cantSplit/>
                <w:trHeight w:hRule="exact" w:val="300"/>
              </w:trPr>
              <w:tc>
                <w:tcPr>
                  <w:tcW w:w="5709" w:type="dxa"/>
                  <w:tcBorders>
                    <w:top w:val="nil"/>
                    <w:left w:val="nil"/>
                    <w:bottom w:val="nil"/>
                    <w:right w:val="nil"/>
                    <w:tl2br w:val="nil"/>
                    <w:tr2bl w:val="nil"/>
                  </w:tcBorders>
                  <w:shd w:val="clear" w:color="auto" w:fill="auto"/>
                  <w:noWrap/>
                  <w:tcMar>
                    <w:left w:w="0" w:type="dxa"/>
                    <w:right w:w="0" w:type="dxa"/>
                  </w:tcMar>
                  <w:vAlign w:val="bottom"/>
                </w:tcPr>
                <w:p w14:paraId="1BB565C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65" w:type="dxa"/>
                  <w:tcBorders>
                    <w:top w:val="nil"/>
                    <w:left w:val="nil"/>
                    <w:bottom w:val="nil"/>
                    <w:right w:val="nil"/>
                    <w:tl2br w:val="nil"/>
                    <w:tr2bl w:val="nil"/>
                  </w:tcBorders>
                  <w:shd w:val="clear" w:color="auto" w:fill="auto"/>
                  <w:noWrap/>
                  <w:tcMar>
                    <w:left w:w="0" w:type="dxa"/>
                    <w:right w:w="0" w:type="dxa"/>
                  </w:tcMar>
                  <w:vAlign w:val="bottom"/>
                </w:tcPr>
                <w:p w14:paraId="190EB926" w14:textId="77777777" w:rsidR="00213131" w:rsidRPr="004D7A72" w:rsidRDefault="00213131" w:rsidP="00A65A6F">
                  <w:pPr>
                    <w:keepNext/>
                    <w:spacing w:before="0" w:after="0"/>
                    <w:jc w:val="left"/>
                    <w:rPr>
                      <w:rFonts w:asciiTheme="majorBidi" w:eastAsia="Ploni ML Medium AAA Medium" w:hAnsiTheme="majorBidi" w:cstheme="majorBidi"/>
                      <w:b/>
                      <w:color w:val="000000"/>
                    </w:rPr>
                  </w:pP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64E19436" w14:textId="77777777" w:rsidR="00213131" w:rsidRPr="004D7A72" w:rsidRDefault="00213131" w:rsidP="00A65A6F">
                  <w:pPr>
                    <w:keepNext/>
                    <w:spacing w:before="0" w:after="0"/>
                    <w:jc w:val="left"/>
                    <w:rPr>
                      <w:rFonts w:asciiTheme="majorBidi" w:eastAsia="Ploni ML Medium AAA Medium" w:hAnsiTheme="majorBidi" w:cstheme="majorBidi"/>
                      <w:b/>
                      <w:color w:val="000000"/>
                    </w:rPr>
                  </w:pPr>
                </w:p>
              </w:tc>
              <w:tc>
                <w:tcPr>
                  <w:tcW w:w="1062" w:type="dxa"/>
                  <w:tcBorders>
                    <w:top w:val="nil"/>
                    <w:left w:val="nil"/>
                    <w:bottom w:val="nil"/>
                    <w:right w:val="nil"/>
                    <w:tl2br w:val="nil"/>
                    <w:tr2bl w:val="nil"/>
                  </w:tcBorders>
                  <w:shd w:val="clear" w:color="auto" w:fill="auto"/>
                  <w:noWrap/>
                  <w:tcMar>
                    <w:left w:w="0" w:type="dxa"/>
                    <w:right w:w="0" w:type="dxa"/>
                  </w:tcMar>
                  <w:vAlign w:val="bottom"/>
                </w:tcPr>
                <w:p w14:paraId="3CFFB84E" w14:textId="77777777" w:rsidR="00213131" w:rsidRPr="004D7A72" w:rsidRDefault="00213131" w:rsidP="00A65A6F">
                  <w:pPr>
                    <w:keepNext/>
                    <w:spacing w:before="0" w:after="0"/>
                    <w:jc w:val="left"/>
                    <w:rPr>
                      <w:rFonts w:asciiTheme="majorBidi" w:eastAsia="Ploni ML Medium AAA Medium" w:hAnsiTheme="majorBidi" w:cstheme="majorBidi"/>
                      <w:b/>
                      <w:color w:val="000000"/>
                    </w:rPr>
                  </w:pP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394E5643" w14:textId="77777777" w:rsidR="00213131" w:rsidRPr="004D7A72" w:rsidRDefault="00213131" w:rsidP="00A65A6F">
                  <w:pPr>
                    <w:keepNext/>
                    <w:spacing w:before="0" w:after="0"/>
                    <w:jc w:val="left"/>
                    <w:rPr>
                      <w:rFonts w:asciiTheme="majorBidi" w:eastAsia="Ploni ML Medium AAA Medium" w:hAnsiTheme="majorBidi" w:cstheme="majorBidi"/>
                      <w:b/>
                      <w:color w:val="000000"/>
                    </w:rPr>
                  </w:pPr>
                </w:p>
              </w:tc>
              <w:tc>
                <w:tcPr>
                  <w:tcW w:w="1417" w:type="dxa"/>
                  <w:tcBorders>
                    <w:top w:val="nil"/>
                    <w:left w:val="nil"/>
                    <w:bottom w:val="nil"/>
                    <w:right w:val="nil"/>
                    <w:tl2br w:val="nil"/>
                    <w:tr2bl w:val="nil"/>
                  </w:tcBorders>
                  <w:shd w:val="clear" w:color="auto" w:fill="auto"/>
                  <w:noWrap/>
                  <w:tcMar>
                    <w:left w:w="40" w:type="dxa"/>
                    <w:right w:w="40" w:type="dxa"/>
                  </w:tcMar>
                  <w:vAlign w:val="bottom"/>
                </w:tcPr>
                <w:p w14:paraId="0D501E96"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r>
            <w:tr w:rsidR="00213131" w:rsidRPr="004D7A72" w14:paraId="6A6DB75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0" w:type="dxa"/>
                    <w:right w:w="0" w:type="dxa"/>
                  </w:tcMar>
                  <w:vAlign w:val="bottom"/>
                </w:tcPr>
                <w:p w14:paraId="2C197E3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497"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690CCCC3"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June 30</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2B18568B" w14:textId="77777777" w:rsidR="00213131" w:rsidRPr="004D7A72" w:rsidRDefault="00213131" w:rsidP="00A65A6F">
                  <w:pPr>
                    <w:keepNext/>
                    <w:spacing w:before="0" w:after="0"/>
                    <w:jc w:val="left"/>
                    <w:rPr>
                      <w:rFonts w:asciiTheme="majorBidi" w:eastAsia="Ploni ML Medium AAA Medium" w:hAnsiTheme="majorBidi" w:cstheme="majorBidi"/>
                      <w:b/>
                      <w:color w:val="000000"/>
                    </w:rPr>
                  </w:pPr>
                </w:p>
              </w:tc>
              <w:tc>
                <w:tcPr>
                  <w:tcW w:w="1417" w:type="dxa"/>
                  <w:tcBorders>
                    <w:top w:val="nil"/>
                    <w:left w:val="nil"/>
                    <w:bottom w:val="nil"/>
                    <w:right w:val="nil"/>
                    <w:tl2br w:val="nil"/>
                    <w:tr2bl w:val="nil"/>
                  </w:tcBorders>
                  <w:shd w:val="clear" w:color="auto" w:fill="auto"/>
                  <w:noWrap/>
                  <w:tcMar>
                    <w:left w:w="40" w:type="dxa"/>
                    <w:right w:w="40" w:type="dxa"/>
                  </w:tcMar>
                  <w:vAlign w:val="bottom"/>
                </w:tcPr>
                <w:p w14:paraId="5FBCD614"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December 31</w:t>
                  </w:r>
                </w:p>
              </w:tc>
            </w:tr>
            <w:tr w:rsidR="00213131" w:rsidRPr="004D7A72" w14:paraId="5B635C8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0" w:type="dxa"/>
                    <w:right w:w="0" w:type="dxa"/>
                  </w:tcMar>
                  <w:vAlign w:val="bottom"/>
                </w:tcPr>
                <w:p w14:paraId="0E1EC0E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CD9FD0F"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2024</w:t>
                  </w:r>
                </w:p>
              </w:tc>
              <w:tc>
                <w:tcPr>
                  <w:tcW w:w="2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CDFE51"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06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6A24969"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 xml:space="preserve">2023 </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0AE70EC6"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417"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D2E7C4C"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r>
            <w:tr w:rsidR="00213131" w:rsidRPr="004D7A72" w14:paraId="1F3E0D9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0" w:type="dxa"/>
                    <w:right w:w="0" w:type="dxa"/>
                  </w:tcMar>
                  <w:vAlign w:val="bottom"/>
                </w:tcPr>
                <w:p w14:paraId="0DE2917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497"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47F39949"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Unaudited</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674C668D"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41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90711AD"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Audited</w:t>
                  </w:r>
                </w:p>
              </w:tc>
            </w:tr>
            <w:tr w:rsidR="00213131" w:rsidRPr="004D7A72" w14:paraId="563F4E1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0" w:type="dxa"/>
                    <w:right w:w="0" w:type="dxa"/>
                  </w:tcMar>
                  <w:vAlign w:val="bottom"/>
                </w:tcPr>
                <w:p w14:paraId="2A9D0BF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4213" w:type="dxa"/>
                  <w:gridSpan w:val="5"/>
                  <w:tcBorders>
                    <w:top w:val="nil"/>
                    <w:left w:val="nil"/>
                    <w:bottom w:val="single" w:sz="4" w:space="0" w:color="000000"/>
                    <w:right w:val="nil"/>
                    <w:tl2br w:val="nil"/>
                    <w:tr2bl w:val="nil"/>
                  </w:tcBorders>
                  <w:shd w:val="clear" w:color="auto" w:fill="auto"/>
                  <w:noWrap/>
                  <w:tcMar>
                    <w:left w:w="40" w:type="dxa"/>
                    <w:right w:w="40" w:type="dxa"/>
                  </w:tcMar>
                  <w:vAlign w:val="bottom"/>
                </w:tcPr>
                <w:p w14:paraId="65DFD019"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NIS million</w:t>
                  </w:r>
                </w:p>
              </w:tc>
            </w:tr>
            <w:tr w:rsidR="00213131" w:rsidRPr="004D7A72" w14:paraId="1B24265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55A37742" w14:textId="77777777" w:rsidR="00213131" w:rsidRPr="004D7A72" w:rsidRDefault="00213131" w:rsidP="00A65A6F">
                  <w:pPr>
                    <w:keepNext/>
                    <w:spacing w:before="0" w:after="0"/>
                    <w:jc w:val="left"/>
                    <w:rPr>
                      <w:rFonts w:asciiTheme="majorBidi" w:eastAsia="Ploni ML Medium AAA Medium" w:hAnsiTheme="majorBidi" w:cstheme="majorBidi"/>
                      <w:b/>
                      <w:color w:val="000000"/>
                      <w:u w:val="single"/>
                    </w:rPr>
                  </w:pPr>
                  <w:r w:rsidRPr="004D7A72">
                    <w:rPr>
                      <w:rFonts w:asciiTheme="majorBidi" w:hAnsiTheme="majorBidi" w:cstheme="majorBidi"/>
                      <w:b/>
                      <w:color w:val="000000"/>
                      <w:u w:val="single"/>
                    </w:rPr>
                    <w:t>Liabilities and Equity</w:t>
                  </w:r>
                </w:p>
              </w:tc>
              <w:tc>
                <w:tcPr>
                  <w:tcW w:w="11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2313F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C0CCC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62"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7CF26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99"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6BC91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417"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0E140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r>
            <w:tr w:rsidR="00213131" w:rsidRPr="004D7A72" w14:paraId="5FD389D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54E0B059"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Current liabilities</w:t>
                  </w:r>
                </w:p>
              </w:tc>
              <w:tc>
                <w:tcPr>
                  <w:tcW w:w="1165" w:type="dxa"/>
                  <w:tcBorders>
                    <w:top w:val="nil"/>
                    <w:left w:val="nil"/>
                    <w:bottom w:val="nil"/>
                    <w:right w:val="nil"/>
                    <w:tl2br w:val="nil"/>
                    <w:tr2bl w:val="nil"/>
                  </w:tcBorders>
                  <w:shd w:val="clear" w:color="auto" w:fill="auto"/>
                  <w:noWrap/>
                  <w:tcMar>
                    <w:left w:w="0" w:type="dxa"/>
                    <w:right w:w="0" w:type="dxa"/>
                  </w:tcMar>
                  <w:vAlign w:val="bottom"/>
                </w:tcPr>
                <w:p w14:paraId="4ADA3C1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3141396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62" w:type="dxa"/>
                  <w:tcBorders>
                    <w:top w:val="nil"/>
                    <w:left w:val="nil"/>
                    <w:bottom w:val="nil"/>
                    <w:right w:val="nil"/>
                    <w:tl2br w:val="nil"/>
                    <w:tr2bl w:val="nil"/>
                  </w:tcBorders>
                  <w:shd w:val="clear" w:color="auto" w:fill="auto"/>
                  <w:noWrap/>
                  <w:tcMar>
                    <w:left w:w="0" w:type="dxa"/>
                    <w:right w:w="0" w:type="dxa"/>
                  </w:tcMar>
                  <w:vAlign w:val="bottom"/>
                </w:tcPr>
                <w:p w14:paraId="2E4494A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1807181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417" w:type="dxa"/>
                  <w:tcBorders>
                    <w:top w:val="nil"/>
                    <w:left w:val="nil"/>
                    <w:bottom w:val="nil"/>
                    <w:right w:val="nil"/>
                    <w:tl2br w:val="nil"/>
                    <w:tr2bl w:val="nil"/>
                  </w:tcBorders>
                  <w:shd w:val="clear" w:color="auto" w:fill="auto"/>
                  <w:noWrap/>
                  <w:tcMar>
                    <w:left w:w="0" w:type="dxa"/>
                    <w:right w:w="0" w:type="dxa"/>
                  </w:tcMar>
                  <w:vAlign w:val="bottom"/>
                </w:tcPr>
                <w:p w14:paraId="6334134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r>
            <w:tr w:rsidR="00213131" w:rsidRPr="004D7A72" w14:paraId="599E053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515BE62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Credit from banks and others</w:t>
                  </w:r>
                </w:p>
              </w:tc>
              <w:tc>
                <w:tcPr>
                  <w:tcW w:w="1165" w:type="dxa"/>
                  <w:tcBorders>
                    <w:top w:val="nil"/>
                    <w:left w:val="nil"/>
                    <w:bottom w:val="nil"/>
                    <w:right w:val="nil"/>
                    <w:tl2br w:val="nil"/>
                    <w:tr2bl w:val="nil"/>
                  </w:tcBorders>
                  <w:shd w:val="clear" w:color="auto" w:fill="auto"/>
                  <w:noWrap/>
                  <w:tcMar>
                    <w:left w:w="40" w:type="dxa"/>
                    <w:right w:w="175" w:type="dxa"/>
                  </w:tcMar>
                  <w:vAlign w:val="bottom"/>
                </w:tcPr>
                <w:p w14:paraId="4D99595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288</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0F04F2B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nil"/>
                    <w:right w:val="nil"/>
                    <w:tl2br w:val="nil"/>
                    <w:tr2bl w:val="nil"/>
                  </w:tcBorders>
                  <w:shd w:val="clear" w:color="auto" w:fill="auto"/>
                  <w:noWrap/>
                  <w:tcMar>
                    <w:left w:w="40" w:type="dxa"/>
                    <w:right w:w="175" w:type="dxa"/>
                  </w:tcMar>
                  <w:vAlign w:val="bottom"/>
                </w:tcPr>
                <w:p w14:paraId="4BDF177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65</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4894F02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14CEB90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185</w:t>
                  </w:r>
                </w:p>
              </w:tc>
            </w:tr>
            <w:tr w:rsidR="00213131" w:rsidRPr="004D7A72" w14:paraId="2FAE27A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1E3B9CA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Current maturities of non-current liabilities</w:t>
                  </w:r>
                </w:p>
              </w:tc>
              <w:tc>
                <w:tcPr>
                  <w:tcW w:w="1165" w:type="dxa"/>
                  <w:tcBorders>
                    <w:top w:val="nil"/>
                    <w:left w:val="nil"/>
                    <w:bottom w:val="nil"/>
                    <w:right w:val="nil"/>
                    <w:tl2br w:val="nil"/>
                    <w:tr2bl w:val="nil"/>
                  </w:tcBorders>
                  <w:shd w:val="clear" w:color="auto" w:fill="auto"/>
                  <w:noWrap/>
                  <w:tcMar>
                    <w:left w:w="40" w:type="dxa"/>
                    <w:right w:w="175" w:type="dxa"/>
                  </w:tcMar>
                  <w:vAlign w:val="bottom"/>
                </w:tcPr>
                <w:p w14:paraId="6FF55B9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2,526</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32C71D5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nil"/>
                    <w:right w:val="nil"/>
                    <w:tl2br w:val="nil"/>
                    <w:tr2bl w:val="nil"/>
                  </w:tcBorders>
                  <w:shd w:val="clear" w:color="auto" w:fill="auto"/>
                  <w:noWrap/>
                  <w:tcMar>
                    <w:left w:w="40" w:type="dxa"/>
                    <w:right w:w="175" w:type="dxa"/>
                  </w:tcMar>
                  <w:vAlign w:val="bottom"/>
                </w:tcPr>
                <w:p w14:paraId="1BBDBE6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2,333</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593ED59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5A9560C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4,053</w:t>
                  </w:r>
                </w:p>
              </w:tc>
            </w:tr>
            <w:tr w:rsidR="00213131" w:rsidRPr="004D7A72" w14:paraId="4EF02C1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4734137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Financial derivatives</w:t>
                  </w:r>
                </w:p>
              </w:tc>
              <w:tc>
                <w:tcPr>
                  <w:tcW w:w="1165" w:type="dxa"/>
                  <w:tcBorders>
                    <w:top w:val="nil"/>
                    <w:left w:val="nil"/>
                    <w:bottom w:val="nil"/>
                    <w:right w:val="nil"/>
                    <w:tl2br w:val="nil"/>
                    <w:tr2bl w:val="nil"/>
                  </w:tcBorders>
                  <w:shd w:val="clear" w:color="auto" w:fill="auto"/>
                  <w:noWrap/>
                  <w:tcMar>
                    <w:left w:w="40" w:type="dxa"/>
                    <w:right w:w="175" w:type="dxa"/>
                  </w:tcMar>
                  <w:vAlign w:val="bottom"/>
                </w:tcPr>
                <w:p w14:paraId="33DAFE3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14</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7356685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nil"/>
                    <w:right w:val="nil"/>
                    <w:tl2br w:val="nil"/>
                    <w:tr2bl w:val="nil"/>
                  </w:tcBorders>
                  <w:shd w:val="clear" w:color="auto" w:fill="auto"/>
                  <w:noWrap/>
                  <w:tcMar>
                    <w:left w:w="40" w:type="dxa"/>
                    <w:right w:w="175" w:type="dxa"/>
                  </w:tcMar>
                  <w:vAlign w:val="bottom"/>
                </w:tcPr>
                <w:p w14:paraId="54EE3AA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524C2F1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4FB7882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184</w:t>
                  </w:r>
                </w:p>
              </w:tc>
            </w:tr>
            <w:tr w:rsidR="00213131" w:rsidRPr="004D7A72" w14:paraId="6C4CB6A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6ED8775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Trade payables and service providers</w:t>
                  </w:r>
                </w:p>
              </w:tc>
              <w:tc>
                <w:tcPr>
                  <w:tcW w:w="1165" w:type="dxa"/>
                  <w:tcBorders>
                    <w:top w:val="nil"/>
                    <w:left w:val="nil"/>
                    <w:bottom w:val="nil"/>
                    <w:right w:val="nil"/>
                    <w:tl2br w:val="nil"/>
                    <w:tr2bl w:val="nil"/>
                  </w:tcBorders>
                  <w:shd w:val="clear" w:color="auto" w:fill="auto"/>
                  <w:noWrap/>
                  <w:tcMar>
                    <w:left w:w="40" w:type="dxa"/>
                    <w:right w:w="175" w:type="dxa"/>
                  </w:tcMar>
                  <w:vAlign w:val="bottom"/>
                </w:tcPr>
                <w:p w14:paraId="0166867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69</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5542536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nil"/>
                    <w:right w:val="nil"/>
                    <w:tl2br w:val="nil"/>
                    <w:tr2bl w:val="nil"/>
                  </w:tcBorders>
                  <w:shd w:val="clear" w:color="auto" w:fill="auto"/>
                  <w:noWrap/>
                  <w:tcMar>
                    <w:left w:w="40" w:type="dxa"/>
                    <w:right w:w="175" w:type="dxa"/>
                  </w:tcMar>
                  <w:vAlign w:val="bottom"/>
                </w:tcPr>
                <w:p w14:paraId="6C87A3F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112</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2AAAFDF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7CDE040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138</w:t>
                  </w:r>
                </w:p>
              </w:tc>
            </w:tr>
            <w:tr w:rsidR="00213131" w:rsidRPr="004D7A72" w14:paraId="13F1ABA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56086E0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Other payables</w:t>
                  </w:r>
                </w:p>
              </w:tc>
              <w:tc>
                <w:tcPr>
                  <w:tcW w:w="1165" w:type="dxa"/>
                  <w:tcBorders>
                    <w:top w:val="nil"/>
                    <w:left w:val="nil"/>
                    <w:bottom w:val="nil"/>
                    <w:right w:val="nil"/>
                    <w:tl2br w:val="nil"/>
                    <w:tr2bl w:val="nil"/>
                  </w:tcBorders>
                  <w:shd w:val="clear" w:color="auto" w:fill="auto"/>
                  <w:noWrap/>
                  <w:tcMar>
                    <w:left w:w="40" w:type="dxa"/>
                    <w:right w:w="175" w:type="dxa"/>
                  </w:tcMar>
                  <w:vAlign w:val="bottom"/>
                </w:tcPr>
                <w:p w14:paraId="1C70D28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590</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2F49B81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nil"/>
                    <w:right w:val="nil"/>
                    <w:tl2br w:val="nil"/>
                    <w:tr2bl w:val="nil"/>
                  </w:tcBorders>
                  <w:shd w:val="clear" w:color="auto" w:fill="auto"/>
                  <w:noWrap/>
                  <w:tcMar>
                    <w:left w:w="40" w:type="dxa"/>
                    <w:right w:w="175" w:type="dxa"/>
                  </w:tcMar>
                  <w:vAlign w:val="bottom"/>
                </w:tcPr>
                <w:p w14:paraId="3A295BB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633</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5FB18A1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390BC78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539</w:t>
                  </w:r>
                </w:p>
              </w:tc>
            </w:tr>
            <w:tr w:rsidR="00213131" w:rsidRPr="004D7A72" w14:paraId="412540E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395409C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Current tax liabilities</w:t>
                  </w:r>
                </w:p>
              </w:tc>
              <w:tc>
                <w:tcPr>
                  <w:tcW w:w="116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808E44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382A335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60139C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42</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3812233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ADED1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105</w:t>
                  </w:r>
                </w:p>
              </w:tc>
            </w:tr>
            <w:tr w:rsidR="00213131" w:rsidRPr="004D7A72" w14:paraId="5D88489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0" w:type="dxa"/>
                    <w:right w:w="0" w:type="dxa"/>
                  </w:tcMar>
                  <w:vAlign w:val="bottom"/>
                </w:tcPr>
                <w:p w14:paraId="4D36E9C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65"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4EB362A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3,495</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52DCF8C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024024F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3,189</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71D7B0B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7AA315C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5,204</w:t>
                  </w:r>
                </w:p>
              </w:tc>
            </w:tr>
            <w:tr w:rsidR="00213131" w:rsidRPr="004D7A72" w14:paraId="04DBA5B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5055B11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Liabilities attributed to assets held for sale</w:t>
                  </w:r>
                </w:p>
              </w:tc>
              <w:tc>
                <w:tcPr>
                  <w:tcW w:w="116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2773F8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683</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33CC1FA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8E6A00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470</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02955DD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73EF22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1,652</w:t>
                  </w:r>
                </w:p>
              </w:tc>
            </w:tr>
            <w:tr w:rsidR="00213131" w:rsidRPr="004D7A72" w14:paraId="016B901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0" w:type="dxa"/>
                    <w:right w:w="0" w:type="dxa"/>
                  </w:tcMar>
                  <w:vAlign w:val="bottom"/>
                </w:tcPr>
                <w:p w14:paraId="79716A7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6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0F0F5E2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4,178</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5B9B09A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5CE3A8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3,659</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33A9798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07A9353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6,856</w:t>
                  </w:r>
                </w:p>
              </w:tc>
            </w:tr>
            <w:tr w:rsidR="00213131" w:rsidRPr="004D7A72" w14:paraId="416F112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1684A285"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Non-current liabilities</w:t>
                  </w:r>
                </w:p>
              </w:tc>
              <w:tc>
                <w:tcPr>
                  <w:tcW w:w="116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95B971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49BF48D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A5A6AA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09BA368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7CA92D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6EB5C31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5CF0D11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Debentures and convertible debentures</w:t>
                  </w:r>
                </w:p>
              </w:tc>
              <w:tc>
                <w:tcPr>
                  <w:tcW w:w="1165" w:type="dxa"/>
                  <w:tcBorders>
                    <w:top w:val="nil"/>
                    <w:left w:val="nil"/>
                    <w:bottom w:val="nil"/>
                    <w:right w:val="nil"/>
                    <w:tl2br w:val="nil"/>
                    <w:tr2bl w:val="nil"/>
                  </w:tcBorders>
                  <w:shd w:val="clear" w:color="auto" w:fill="auto"/>
                  <w:noWrap/>
                  <w:tcMar>
                    <w:left w:w="40" w:type="dxa"/>
                    <w:right w:w="175" w:type="dxa"/>
                  </w:tcMar>
                  <w:vAlign w:val="bottom"/>
                </w:tcPr>
                <w:p w14:paraId="1D93333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14,004</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3321354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nil"/>
                    <w:right w:val="nil"/>
                    <w:tl2br w:val="nil"/>
                    <w:tr2bl w:val="nil"/>
                  </w:tcBorders>
                  <w:shd w:val="clear" w:color="auto" w:fill="auto"/>
                  <w:noWrap/>
                  <w:tcMar>
                    <w:left w:w="40" w:type="dxa"/>
                    <w:right w:w="175" w:type="dxa"/>
                  </w:tcMar>
                  <w:vAlign w:val="bottom"/>
                </w:tcPr>
                <w:p w14:paraId="1C05AC4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14,816</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20AEDE3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6F8F7CD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13,150</w:t>
                  </w:r>
                </w:p>
              </w:tc>
            </w:tr>
            <w:tr w:rsidR="00213131" w:rsidRPr="004D7A72" w14:paraId="1311B63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tcPr>
                <w:p w14:paraId="4E0A01A0" w14:textId="77777777" w:rsidR="00213131" w:rsidRPr="004D7A72" w:rsidRDefault="00213131" w:rsidP="00A65A6F">
                  <w:pPr>
                    <w:keepNext/>
                    <w:spacing w:before="0" w:after="0"/>
                    <w:rPr>
                      <w:rFonts w:asciiTheme="majorBidi" w:eastAsia="Ploni ML Medium AAA Medium" w:hAnsiTheme="majorBidi" w:cstheme="majorBidi"/>
                      <w:color w:val="000000"/>
                    </w:rPr>
                  </w:pPr>
                  <w:r w:rsidRPr="004D7A72">
                    <w:rPr>
                      <w:rFonts w:asciiTheme="majorBidi" w:hAnsiTheme="majorBidi" w:cstheme="majorBidi"/>
                      <w:color w:val="000000"/>
                    </w:rPr>
                    <w:t>Interest-bearing loans from banks and others</w:t>
                  </w:r>
                </w:p>
              </w:tc>
              <w:tc>
                <w:tcPr>
                  <w:tcW w:w="1165" w:type="dxa"/>
                  <w:tcBorders>
                    <w:top w:val="nil"/>
                    <w:left w:val="nil"/>
                    <w:bottom w:val="nil"/>
                    <w:right w:val="nil"/>
                    <w:tl2br w:val="nil"/>
                    <w:tr2bl w:val="nil"/>
                  </w:tcBorders>
                  <w:shd w:val="clear" w:color="auto" w:fill="auto"/>
                  <w:noWrap/>
                  <w:tcMar>
                    <w:left w:w="40" w:type="dxa"/>
                    <w:right w:w="175" w:type="dxa"/>
                  </w:tcMar>
                  <w:vAlign w:val="bottom"/>
                </w:tcPr>
                <w:p w14:paraId="70ED40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6,866</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58DDA9F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nil"/>
                    <w:right w:val="nil"/>
                    <w:tl2br w:val="nil"/>
                    <w:tr2bl w:val="nil"/>
                  </w:tcBorders>
                  <w:shd w:val="clear" w:color="auto" w:fill="auto"/>
                  <w:noWrap/>
                  <w:tcMar>
                    <w:left w:w="40" w:type="dxa"/>
                    <w:right w:w="175" w:type="dxa"/>
                  </w:tcMar>
                  <w:vAlign w:val="bottom"/>
                </w:tcPr>
                <w:p w14:paraId="4ACF0AC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6,808</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03DD532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5CCBD75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5,559</w:t>
                  </w:r>
                </w:p>
              </w:tc>
            </w:tr>
            <w:tr w:rsidR="00213131" w:rsidRPr="004D7A72" w14:paraId="610E2F2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29894FD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Financial derivatives</w:t>
                  </w:r>
                </w:p>
              </w:tc>
              <w:tc>
                <w:tcPr>
                  <w:tcW w:w="1165" w:type="dxa"/>
                  <w:tcBorders>
                    <w:top w:val="nil"/>
                    <w:left w:val="nil"/>
                    <w:bottom w:val="nil"/>
                    <w:right w:val="nil"/>
                    <w:tl2br w:val="nil"/>
                    <w:tr2bl w:val="nil"/>
                  </w:tcBorders>
                  <w:shd w:val="clear" w:color="auto" w:fill="auto"/>
                  <w:noWrap/>
                  <w:tcMar>
                    <w:left w:w="40" w:type="dxa"/>
                    <w:right w:w="175" w:type="dxa"/>
                  </w:tcMar>
                  <w:vAlign w:val="bottom"/>
                </w:tcPr>
                <w:p w14:paraId="13C9242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238</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267DC53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nil"/>
                    <w:right w:val="nil"/>
                    <w:tl2br w:val="nil"/>
                    <w:tr2bl w:val="nil"/>
                  </w:tcBorders>
                  <w:shd w:val="clear" w:color="auto" w:fill="auto"/>
                  <w:noWrap/>
                  <w:tcMar>
                    <w:left w:w="40" w:type="dxa"/>
                    <w:right w:w="175" w:type="dxa"/>
                  </w:tcMar>
                  <w:vAlign w:val="bottom"/>
                </w:tcPr>
                <w:p w14:paraId="420393E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232</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1E4E560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3E47BC4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319</w:t>
                  </w:r>
                </w:p>
              </w:tc>
            </w:tr>
            <w:tr w:rsidR="00213131" w:rsidRPr="004D7A72" w14:paraId="1376F1C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7832E83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Other liabilities</w:t>
                  </w:r>
                </w:p>
              </w:tc>
              <w:tc>
                <w:tcPr>
                  <w:tcW w:w="1165" w:type="dxa"/>
                  <w:tcBorders>
                    <w:top w:val="nil"/>
                    <w:left w:val="nil"/>
                    <w:bottom w:val="nil"/>
                    <w:right w:val="nil"/>
                    <w:tl2br w:val="nil"/>
                    <w:tr2bl w:val="nil"/>
                  </w:tcBorders>
                  <w:shd w:val="clear" w:color="auto" w:fill="auto"/>
                  <w:noWrap/>
                  <w:tcMar>
                    <w:left w:w="40" w:type="dxa"/>
                    <w:right w:w="175" w:type="dxa"/>
                  </w:tcMar>
                  <w:vAlign w:val="bottom"/>
                </w:tcPr>
                <w:p w14:paraId="54028C8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356</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00D5B9B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nil"/>
                    <w:right w:val="nil"/>
                    <w:tl2br w:val="nil"/>
                    <w:tr2bl w:val="nil"/>
                  </w:tcBorders>
                  <w:shd w:val="clear" w:color="auto" w:fill="auto"/>
                  <w:noWrap/>
                  <w:tcMar>
                    <w:left w:w="40" w:type="dxa"/>
                    <w:right w:w="175" w:type="dxa"/>
                  </w:tcMar>
                  <w:vAlign w:val="bottom"/>
                </w:tcPr>
                <w:p w14:paraId="22433EF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408</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08D318C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256AF64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339</w:t>
                  </w:r>
                </w:p>
              </w:tc>
            </w:tr>
            <w:tr w:rsidR="00213131" w:rsidRPr="004D7A72" w14:paraId="4B5FB62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5526114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Deferred taxes</w:t>
                  </w:r>
                </w:p>
              </w:tc>
              <w:tc>
                <w:tcPr>
                  <w:tcW w:w="116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072D3C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1,415</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4032A9B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2A5D56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1,531</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5EF9B1C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C2610D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1,320</w:t>
                  </w:r>
                </w:p>
              </w:tc>
            </w:tr>
            <w:tr w:rsidR="00213131" w:rsidRPr="004D7A72" w14:paraId="09A1AAC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0" w:type="dxa"/>
                    <w:right w:w="0" w:type="dxa"/>
                  </w:tcMar>
                  <w:vAlign w:val="bottom"/>
                </w:tcPr>
                <w:p w14:paraId="31DBF80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6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5EC6A95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22,879</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065B3A1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74CF27E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23,795</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4A3B2D6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5B488EF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20,687</w:t>
                  </w:r>
                </w:p>
              </w:tc>
            </w:tr>
            <w:tr w:rsidR="00213131" w:rsidRPr="004D7A72" w14:paraId="39FC6A9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0" w:type="dxa"/>
                    <w:right w:w="0" w:type="dxa"/>
                  </w:tcMar>
                  <w:vAlign w:val="bottom"/>
                </w:tcPr>
                <w:p w14:paraId="1A21FA6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6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48FEDE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40A772E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2EF6DD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6655C93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415236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7F23C65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23919E23"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Equity attributable to equity holders of the Company</w:t>
                  </w:r>
                </w:p>
              </w:tc>
              <w:tc>
                <w:tcPr>
                  <w:tcW w:w="1165" w:type="dxa"/>
                  <w:tcBorders>
                    <w:top w:val="nil"/>
                    <w:left w:val="nil"/>
                    <w:bottom w:val="nil"/>
                    <w:right w:val="nil"/>
                    <w:tl2br w:val="nil"/>
                    <w:tr2bl w:val="nil"/>
                  </w:tcBorders>
                  <w:shd w:val="clear" w:color="auto" w:fill="auto"/>
                  <w:noWrap/>
                  <w:tcMar>
                    <w:left w:w="0" w:type="dxa"/>
                    <w:right w:w="135" w:type="dxa"/>
                  </w:tcMar>
                  <w:vAlign w:val="bottom"/>
                </w:tcPr>
                <w:p w14:paraId="246C6D8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6EB35C9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nil"/>
                    <w:right w:val="nil"/>
                    <w:tl2br w:val="nil"/>
                    <w:tr2bl w:val="nil"/>
                  </w:tcBorders>
                  <w:shd w:val="clear" w:color="auto" w:fill="auto"/>
                  <w:noWrap/>
                  <w:tcMar>
                    <w:left w:w="0" w:type="dxa"/>
                    <w:right w:w="135" w:type="dxa"/>
                  </w:tcMar>
                  <w:vAlign w:val="bottom"/>
                </w:tcPr>
                <w:p w14:paraId="71F4DB2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5989867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nil"/>
                    <w:right w:val="nil"/>
                    <w:tl2br w:val="nil"/>
                    <w:tr2bl w:val="nil"/>
                  </w:tcBorders>
                  <w:shd w:val="clear" w:color="auto" w:fill="auto"/>
                  <w:noWrap/>
                  <w:tcMar>
                    <w:left w:w="0" w:type="dxa"/>
                    <w:right w:w="135" w:type="dxa"/>
                  </w:tcMar>
                  <w:vAlign w:val="bottom"/>
                </w:tcPr>
                <w:p w14:paraId="0BF989A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254E1C8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1A7D6B5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Share capital</w:t>
                  </w:r>
                </w:p>
              </w:tc>
              <w:tc>
                <w:tcPr>
                  <w:tcW w:w="1165" w:type="dxa"/>
                  <w:tcBorders>
                    <w:top w:val="nil"/>
                    <w:left w:val="nil"/>
                    <w:bottom w:val="nil"/>
                    <w:right w:val="nil"/>
                    <w:tl2br w:val="nil"/>
                    <w:tr2bl w:val="nil"/>
                  </w:tcBorders>
                  <w:shd w:val="clear" w:color="auto" w:fill="auto"/>
                  <w:noWrap/>
                  <w:tcMar>
                    <w:left w:w="40" w:type="dxa"/>
                    <w:right w:w="175" w:type="dxa"/>
                  </w:tcMar>
                  <w:vAlign w:val="bottom"/>
                </w:tcPr>
                <w:p w14:paraId="588C0A8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239</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0F7CA4A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nil"/>
                    <w:right w:val="nil"/>
                    <w:tl2br w:val="nil"/>
                    <w:tr2bl w:val="nil"/>
                  </w:tcBorders>
                  <w:shd w:val="clear" w:color="auto" w:fill="auto"/>
                  <w:noWrap/>
                  <w:tcMar>
                    <w:left w:w="40" w:type="dxa"/>
                    <w:right w:w="175" w:type="dxa"/>
                  </w:tcMar>
                  <w:vAlign w:val="bottom"/>
                </w:tcPr>
                <w:p w14:paraId="3BC64D3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231</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418C7AE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45533CB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239</w:t>
                  </w:r>
                </w:p>
              </w:tc>
            </w:tr>
            <w:tr w:rsidR="00213131" w:rsidRPr="004D7A72" w14:paraId="4178F7E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40A9B9F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Share premium</w:t>
                  </w:r>
                </w:p>
              </w:tc>
              <w:tc>
                <w:tcPr>
                  <w:tcW w:w="1165" w:type="dxa"/>
                  <w:tcBorders>
                    <w:top w:val="nil"/>
                    <w:left w:val="nil"/>
                    <w:bottom w:val="nil"/>
                    <w:right w:val="nil"/>
                    <w:tl2br w:val="nil"/>
                    <w:tr2bl w:val="nil"/>
                  </w:tcBorders>
                  <w:shd w:val="clear" w:color="auto" w:fill="auto"/>
                  <w:noWrap/>
                  <w:tcMar>
                    <w:left w:w="40" w:type="dxa"/>
                    <w:right w:w="175" w:type="dxa"/>
                  </w:tcMar>
                  <w:vAlign w:val="bottom"/>
                </w:tcPr>
                <w:p w14:paraId="4A501EC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4,782</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7EB9C7A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nil"/>
                    <w:right w:val="nil"/>
                    <w:tl2br w:val="nil"/>
                    <w:tr2bl w:val="nil"/>
                  </w:tcBorders>
                  <w:shd w:val="clear" w:color="auto" w:fill="auto"/>
                  <w:noWrap/>
                  <w:tcMar>
                    <w:left w:w="40" w:type="dxa"/>
                    <w:right w:w="175" w:type="dxa"/>
                  </w:tcMar>
                  <w:vAlign w:val="bottom"/>
                </w:tcPr>
                <w:p w14:paraId="382C57A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4,671</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182CB98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06D5570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4,754</w:t>
                  </w:r>
                </w:p>
              </w:tc>
            </w:tr>
            <w:tr w:rsidR="00213131" w:rsidRPr="004D7A72" w14:paraId="269EA4C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58CBD1A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Retained earnings</w:t>
                  </w:r>
                </w:p>
              </w:tc>
              <w:tc>
                <w:tcPr>
                  <w:tcW w:w="1165" w:type="dxa"/>
                  <w:tcBorders>
                    <w:top w:val="nil"/>
                    <w:left w:val="nil"/>
                    <w:bottom w:val="nil"/>
                    <w:right w:val="nil"/>
                    <w:tl2br w:val="nil"/>
                    <w:tr2bl w:val="nil"/>
                  </w:tcBorders>
                  <w:shd w:val="clear" w:color="auto" w:fill="auto"/>
                  <w:noWrap/>
                  <w:tcMar>
                    <w:left w:w="40" w:type="dxa"/>
                    <w:right w:w="175" w:type="dxa"/>
                  </w:tcMar>
                  <w:vAlign w:val="bottom"/>
                </w:tcPr>
                <w:p w14:paraId="1E37DBD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2,682</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5FF9F34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nil"/>
                    <w:right w:val="nil"/>
                    <w:tl2br w:val="nil"/>
                    <w:tr2bl w:val="nil"/>
                  </w:tcBorders>
                  <w:shd w:val="clear" w:color="auto" w:fill="auto"/>
                  <w:noWrap/>
                  <w:tcMar>
                    <w:left w:w="40" w:type="dxa"/>
                    <w:right w:w="175" w:type="dxa"/>
                  </w:tcMar>
                  <w:vAlign w:val="bottom"/>
                </w:tcPr>
                <w:p w14:paraId="12F7477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3,121</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337D2AB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63DCBF2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2,430</w:t>
                  </w:r>
                </w:p>
              </w:tc>
            </w:tr>
            <w:tr w:rsidR="00213131" w:rsidRPr="004D7A72" w14:paraId="4AE4C40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709" w:type="dxa"/>
                  <w:tcBorders>
                    <w:top w:val="nil"/>
                    <w:left w:val="nil"/>
                    <w:bottom w:val="nil"/>
                    <w:right w:val="nil"/>
                    <w:tl2br w:val="nil"/>
                    <w:tr2bl w:val="nil"/>
                  </w:tcBorders>
                  <w:shd w:val="clear" w:color="auto" w:fill="auto"/>
                  <w:tcMar>
                    <w:left w:w="40" w:type="dxa"/>
                    <w:right w:w="40" w:type="dxa"/>
                  </w:tcMar>
                  <w:vAlign w:val="bottom"/>
                </w:tcPr>
                <w:p w14:paraId="2F24E73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Adjustments due to translation of financial statements of foreign operations</w:t>
                  </w:r>
                </w:p>
              </w:tc>
              <w:tc>
                <w:tcPr>
                  <w:tcW w:w="1165" w:type="dxa"/>
                  <w:tcBorders>
                    <w:top w:val="nil"/>
                    <w:left w:val="nil"/>
                    <w:bottom w:val="nil"/>
                    <w:right w:val="nil"/>
                    <w:tl2br w:val="nil"/>
                    <w:tr2bl w:val="nil"/>
                  </w:tcBorders>
                  <w:shd w:val="clear" w:color="auto" w:fill="auto"/>
                  <w:noWrap/>
                  <w:tcMar>
                    <w:left w:w="40" w:type="dxa"/>
                    <w:right w:w="175" w:type="dxa"/>
                  </w:tcMar>
                  <w:vAlign w:val="bottom"/>
                </w:tcPr>
                <w:p w14:paraId="35C749A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(4,071)</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396069C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nil"/>
                    <w:right w:val="nil"/>
                    <w:tl2br w:val="nil"/>
                    <w:tr2bl w:val="nil"/>
                  </w:tcBorders>
                  <w:shd w:val="clear" w:color="auto" w:fill="auto"/>
                  <w:noWrap/>
                  <w:tcMar>
                    <w:left w:w="40" w:type="dxa"/>
                    <w:right w:w="175" w:type="dxa"/>
                  </w:tcMar>
                  <w:vAlign w:val="bottom"/>
                </w:tcPr>
                <w:p w14:paraId="42C5B06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(3,984)</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350E695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04EB1D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(3,998)</w:t>
                  </w:r>
                </w:p>
              </w:tc>
            </w:tr>
            <w:tr w:rsidR="00213131" w:rsidRPr="004D7A72" w14:paraId="7685134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454040B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Other reserves</w:t>
                  </w:r>
                </w:p>
              </w:tc>
              <w:tc>
                <w:tcPr>
                  <w:tcW w:w="1165" w:type="dxa"/>
                  <w:tcBorders>
                    <w:top w:val="nil"/>
                    <w:left w:val="nil"/>
                    <w:bottom w:val="nil"/>
                    <w:right w:val="nil"/>
                    <w:tl2br w:val="nil"/>
                    <w:tr2bl w:val="nil"/>
                  </w:tcBorders>
                  <w:shd w:val="clear" w:color="auto" w:fill="auto"/>
                  <w:noWrap/>
                  <w:tcMar>
                    <w:left w:w="40" w:type="dxa"/>
                    <w:right w:w="175" w:type="dxa"/>
                  </w:tcMar>
                  <w:vAlign w:val="bottom"/>
                </w:tcPr>
                <w:p w14:paraId="4CFF8AF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1,304</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0283017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nil"/>
                    <w:right w:val="nil"/>
                    <w:tl2br w:val="nil"/>
                    <w:tr2bl w:val="nil"/>
                  </w:tcBorders>
                  <w:shd w:val="clear" w:color="auto" w:fill="auto"/>
                  <w:noWrap/>
                  <w:tcMar>
                    <w:left w:w="40" w:type="dxa"/>
                    <w:right w:w="175" w:type="dxa"/>
                  </w:tcMar>
                  <w:vAlign w:val="bottom"/>
                </w:tcPr>
                <w:p w14:paraId="76DB327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1,358</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522C57C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nil"/>
                    <w:right w:val="nil"/>
                    <w:tl2br w:val="nil"/>
                    <w:tr2bl w:val="nil"/>
                  </w:tcBorders>
                  <w:shd w:val="clear" w:color="auto" w:fill="auto"/>
                  <w:noWrap/>
                  <w:tcMar>
                    <w:left w:w="40" w:type="dxa"/>
                    <w:right w:w="175" w:type="dxa"/>
                  </w:tcMar>
                  <w:vAlign w:val="bottom"/>
                </w:tcPr>
                <w:p w14:paraId="0A30359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1,413</w:t>
                  </w:r>
                </w:p>
              </w:tc>
            </w:tr>
            <w:tr w:rsidR="00213131" w:rsidRPr="004D7A72" w14:paraId="639C514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6A41B62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Treasury shares</w:t>
                  </w:r>
                </w:p>
              </w:tc>
              <w:tc>
                <w:tcPr>
                  <w:tcW w:w="116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5F5DFE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(11)</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749B12F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C34096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735A067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FB5FC4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w:t>
                  </w:r>
                </w:p>
              </w:tc>
            </w:tr>
            <w:tr w:rsidR="00213131" w:rsidRPr="004D7A72" w14:paraId="44E08F8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0" w:type="dxa"/>
                    <w:right w:w="0" w:type="dxa"/>
                  </w:tcMar>
                  <w:vAlign w:val="bottom"/>
                </w:tcPr>
                <w:p w14:paraId="7EE661E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65"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6746268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4,925</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09417DB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307F7E9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5,396</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26281C6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6BD77CE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4,837</w:t>
                  </w:r>
                </w:p>
              </w:tc>
            </w:tr>
            <w:tr w:rsidR="00213131" w:rsidRPr="004D7A72" w14:paraId="3168996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75EFED02"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Non-controlling interests</w:t>
                  </w:r>
                </w:p>
              </w:tc>
              <w:tc>
                <w:tcPr>
                  <w:tcW w:w="116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0646F4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6,829</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780E7CF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EDCFF1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7,218</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5F3252B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89D30D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6,493</w:t>
                  </w:r>
                </w:p>
              </w:tc>
            </w:tr>
            <w:tr w:rsidR="00213131" w:rsidRPr="004D7A72" w14:paraId="4485AFD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40" w:type="dxa"/>
                    <w:right w:w="40" w:type="dxa"/>
                  </w:tcMar>
                  <w:vAlign w:val="bottom"/>
                </w:tcPr>
                <w:p w14:paraId="14D2D034"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Total equity</w:t>
                  </w:r>
                </w:p>
              </w:tc>
              <w:tc>
                <w:tcPr>
                  <w:tcW w:w="116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768A1A0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11,754</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2B1669A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15DFC1C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12,614</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441992C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421ECC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11,330</w:t>
                  </w:r>
                </w:p>
              </w:tc>
            </w:tr>
            <w:tr w:rsidR="00213131" w:rsidRPr="004D7A72" w14:paraId="409DA59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0" w:type="dxa"/>
                    <w:right w:w="0" w:type="dxa"/>
                  </w:tcMar>
                  <w:vAlign w:val="bottom"/>
                </w:tcPr>
                <w:p w14:paraId="57B7964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6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90C42E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2670A65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AA91C9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54BA71F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FB2276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1B8FF24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0" w:type="dxa"/>
                    <w:right w:w="0" w:type="dxa"/>
                  </w:tcMar>
                  <w:vAlign w:val="bottom"/>
                </w:tcPr>
                <w:p w14:paraId="7AE6FE5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65"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AB7C04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38,811</w:t>
                  </w: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465701B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62"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2EA62C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40,068</w:t>
                  </w: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44DBA80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7"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39CA28E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38,873</w:t>
                  </w:r>
                </w:p>
              </w:tc>
            </w:tr>
            <w:tr w:rsidR="00213131" w:rsidRPr="004D7A72" w14:paraId="3F4B276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709" w:type="dxa"/>
                  <w:tcBorders>
                    <w:top w:val="nil"/>
                    <w:left w:val="nil"/>
                    <w:bottom w:val="nil"/>
                    <w:right w:val="nil"/>
                    <w:tl2br w:val="nil"/>
                    <w:tr2bl w:val="nil"/>
                  </w:tcBorders>
                  <w:shd w:val="clear" w:color="auto" w:fill="auto"/>
                  <w:noWrap/>
                  <w:tcMar>
                    <w:left w:w="0" w:type="dxa"/>
                    <w:right w:w="0" w:type="dxa"/>
                  </w:tcMar>
                  <w:vAlign w:val="bottom"/>
                </w:tcPr>
                <w:p w14:paraId="7C4E1E6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6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BF221E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70" w:type="dxa"/>
                  <w:tcBorders>
                    <w:top w:val="nil"/>
                    <w:left w:val="nil"/>
                    <w:bottom w:val="nil"/>
                    <w:right w:val="nil"/>
                    <w:tl2br w:val="nil"/>
                    <w:tr2bl w:val="nil"/>
                  </w:tcBorders>
                  <w:shd w:val="clear" w:color="auto" w:fill="auto"/>
                  <w:noWrap/>
                  <w:tcMar>
                    <w:left w:w="0" w:type="dxa"/>
                    <w:right w:w="0" w:type="dxa"/>
                  </w:tcMar>
                  <w:vAlign w:val="bottom"/>
                </w:tcPr>
                <w:p w14:paraId="730A65F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62"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0F69B8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99" w:type="dxa"/>
                  <w:tcBorders>
                    <w:top w:val="nil"/>
                    <w:left w:val="nil"/>
                    <w:bottom w:val="nil"/>
                    <w:right w:val="nil"/>
                    <w:tl2br w:val="nil"/>
                    <w:tr2bl w:val="nil"/>
                  </w:tcBorders>
                  <w:shd w:val="clear" w:color="auto" w:fill="auto"/>
                  <w:noWrap/>
                  <w:tcMar>
                    <w:left w:w="0" w:type="dxa"/>
                    <w:right w:w="0" w:type="dxa"/>
                  </w:tcMar>
                  <w:vAlign w:val="bottom"/>
                </w:tcPr>
                <w:p w14:paraId="3FB9925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417"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D2FD6A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r>
            <w:tr w:rsidR="00213131" w:rsidRPr="004D7A72" w14:paraId="6BF4B12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9922" w:type="dxa"/>
                  <w:gridSpan w:val="6"/>
                  <w:tcBorders>
                    <w:top w:val="nil"/>
                    <w:left w:val="nil"/>
                    <w:bottom w:val="nil"/>
                    <w:right w:val="nil"/>
                    <w:tl2br w:val="nil"/>
                    <w:tr2bl w:val="nil"/>
                  </w:tcBorders>
                  <w:shd w:val="clear" w:color="auto" w:fill="auto"/>
                  <w:noWrap/>
                  <w:tcMar>
                    <w:left w:w="40" w:type="dxa"/>
                    <w:right w:w="40" w:type="dxa"/>
                  </w:tcMar>
                  <w:vAlign w:val="bottom"/>
                </w:tcPr>
                <w:p w14:paraId="4133669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The accompanying notes constitute an integral part of these consolidated interim financial statements.</w:t>
                  </w:r>
                </w:p>
              </w:tc>
            </w:tr>
          </w:tbl>
          <w:p w14:paraId="253E4698" w14:textId="77777777" w:rsidR="00213131" w:rsidRPr="004D7A72" w:rsidRDefault="00213131" w:rsidP="00A65A6F">
            <w:pPr>
              <w:rPr>
                <w:rFonts w:asciiTheme="majorBidi" w:hAnsiTheme="majorBidi" w:cstheme="majorBidi"/>
              </w:rPr>
            </w:pPr>
          </w:p>
        </w:tc>
      </w:tr>
    </w:tbl>
    <w:p w14:paraId="3206894C" w14:textId="77777777" w:rsidR="00213131" w:rsidRPr="004D7A72" w:rsidRDefault="00213131" w:rsidP="00213131">
      <w:pPr>
        <w:rPr>
          <w:rFonts w:asciiTheme="majorBidi" w:hAnsiTheme="majorBidi" w:cstheme="majorBidi"/>
          <w:sz w:val="21"/>
          <w:szCs w:val="21"/>
        </w:rPr>
      </w:pPr>
    </w:p>
    <w:tbl>
      <w:tblPr>
        <w:tblStyle w:val="TableGrid"/>
        <w:tblW w:w="9975" w:type="dxa"/>
        <w:tblInd w:w="57" w:type="dxa"/>
        <w:tblBorders>
          <w:top w:val="none" w:sz="0" w:space="0" w:color="auto"/>
          <w:left w:val="none" w:sz="0" w:space="0" w:color="auto"/>
          <w:bottom w:val="none" w:sz="0" w:space="0" w:color="auto"/>
          <w:right w:val="none" w:sz="0" w:space="0" w:color="auto"/>
          <w:insideH w:val="nil"/>
          <w:insideV w:val="nil"/>
        </w:tblBorders>
        <w:tblLayout w:type="fixed"/>
        <w:tblLook w:val="0400" w:firstRow="0" w:lastRow="0" w:firstColumn="0" w:lastColumn="0" w:noHBand="0" w:noVBand="1"/>
      </w:tblPr>
      <w:tblGrid>
        <w:gridCol w:w="2308"/>
        <w:gridCol w:w="266"/>
        <w:gridCol w:w="2307"/>
        <w:gridCol w:w="240"/>
        <w:gridCol w:w="2307"/>
        <w:gridCol w:w="240"/>
        <w:gridCol w:w="2307"/>
      </w:tblGrid>
      <w:tr w:rsidR="00213131" w:rsidRPr="004D7A72" w14:paraId="034D0422" w14:textId="77777777" w:rsidTr="00A65A6F">
        <w:trPr>
          <w:cantSplit/>
        </w:trPr>
        <w:tc>
          <w:tcPr>
            <w:tcW w:w="2308" w:type="dxa"/>
            <w:tcBorders>
              <w:top w:val="nil"/>
              <w:left w:val="nil"/>
              <w:bottom w:val="single" w:sz="4" w:space="0" w:color="auto"/>
              <w:right w:val="nil"/>
            </w:tcBorders>
            <w:hideMark/>
          </w:tcPr>
          <w:p w14:paraId="3FCDE706" w14:textId="01C62C6C" w:rsidR="00213131" w:rsidRPr="004D7A72" w:rsidRDefault="00213131" w:rsidP="00A65A6F">
            <w:pPr>
              <w:keepNext/>
              <w:spacing w:before="0" w:after="0"/>
              <w:jc w:val="center"/>
              <w:rPr>
                <w:rFonts w:asciiTheme="majorBidi" w:hAnsiTheme="majorBidi" w:cstheme="majorBidi"/>
              </w:rPr>
            </w:pPr>
            <w:r w:rsidRPr="004D7A72">
              <w:rPr>
                <w:rFonts w:asciiTheme="majorBidi" w:hAnsiTheme="majorBidi" w:cstheme="majorBidi"/>
              </w:rPr>
              <w:t xml:space="preserve">August </w:t>
            </w:r>
            <w:r w:rsidR="004D7A72" w:rsidRPr="004D7A72">
              <w:rPr>
                <w:rFonts w:asciiTheme="majorBidi" w:hAnsiTheme="majorBidi" w:cstheme="majorBidi"/>
              </w:rPr>
              <w:t>14, 2024</w:t>
            </w:r>
          </w:p>
        </w:tc>
        <w:tc>
          <w:tcPr>
            <w:tcW w:w="266" w:type="dxa"/>
            <w:tcBorders>
              <w:top w:val="nil"/>
              <w:left w:val="nil"/>
              <w:bottom w:val="nil"/>
              <w:right w:val="nil"/>
            </w:tcBorders>
          </w:tcPr>
          <w:p w14:paraId="5924B6C8" w14:textId="77777777" w:rsidR="00213131" w:rsidRPr="004D7A72" w:rsidRDefault="00213131" w:rsidP="00A65A6F">
            <w:pPr>
              <w:keepNext/>
              <w:spacing w:before="0" w:after="0"/>
              <w:rPr>
                <w:rFonts w:asciiTheme="majorBidi" w:hAnsiTheme="majorBidi" w:cstheme="majorBidi"/>
                <w:rtl/>
              </w:rPr>
            </w:pPr>
          </w:p>
        </w:tc>
        <w:tc>
          <w:tcPr>
            <w:tcW w:w="2307" w:type="dxa"/>
            <w:tcBorders>
              <w:top w:val="nil"/>
              <w:left w:val="nil"/>
              <w:bottom w:val="single" w:sz="4" w:space="0" w:color="auto"/>
              <w:right w:val="nil"/>
            </w:tcBorders>
          </w:tcPr>
          <w:p w14:paraId="7084FC2E" w14:textId="77777777" w:rsidR="00213131" w:rsidRPr="004D7A72" w:rsidRDefault="00213131" w:rsidP="00A65A6F">
            <w:pPr>
              <w:keepNext/>
              <w:spacing w:before="0" w:after="0"/>
              <w:rPr>
                <w:rFonts w:asciiTheme="majorBidi" w:hAnsiTheme="majorBidi" w:cstheme="majorBidi"/>
                <w:rtl/>
              </w:rPr>
            </w:pPr>
          </w:p>
        </w:tc>
        <w:tc>
          <w:tcPr>
            <w:tcW w:w="240" w:type="dxa"/>
            <w:tcBorders>
              <w:top w:val="nil"/>
              <w:left w:val="nil"/>
              <w:bottom w:val="nil"/>
              <w:right w:val="nil"/>
            </w:tcBorders>
          </w:tcPr>
          <w:p w14:paraId="38CB75A2" w14:textId="77777777" w:rsidR="00213131" w:rsidRPr="004D7A72" w:rsidRDefault="00213131" w:rsidP="00A65A6F">
            <w:pPr>
              <w:keepNext/>
              <w:spacing w:before="0" w:after="0"/>
              <w:rPr>
                <w:rFonts w:asciiTheme="majorBidi" w:hAnsiTheme="majorBidi" w:cstheme="majorBidi"/>
                <w:rtl/>
              </w:rPr>
            </w:pPr>
          </w:p>
        </w:tc>
        <w:tc>
          <w:tcPr>
            <w:tcW w:w="2307" w:type="dxa"/>
            <w:tcBorders>
              <w:top w:val="nil"/>
              <w:left w:val="nil"/>
              <w:bottom w:val="single" w:sz="4" w:space="0" w:color="auto"/>
              <w:right w:val="nil"/>
            </w:tcBorders>
          </w:tcPr>
          <w:p w14:paraId="706CAAAE" w14:textId="77777777" w:rsidR="00213131" w:rsidRPr="004D7A72" w:rsidRDefault="00213131" w:rsidP="00A65A6F">
            <w:pPr>
              <w:keepNext/>
              <w:spacing w:before="0" w:after="0"/>
              <w:rPr>
                <w:rFonts w:asciiTheme="majorBidi" w:hAnsiTheme="majorBidi" w:cstheme="majorBidi"/>
                <w:rtl/>
              </w:rPr>
            </w:pPr>
          </w:p>
        </w:tc>
        <w:tc>
          <w:tcPr>
            <w:tcW w:w="240" w:type="dxa"/>
            <w:tcBorders>
              <w:top w:val="nil"/>
              <w:left w:val="nil"/>
              <w:bottom w:val="nil"/>
              <w:right w:val="nil"/>
            </w:tcBorders>
          </w:tcPr>
          <w:p w14:paraId="13DCC575" w14:textId="77777777" w:rsidR="00213131" w:rsidRPr="004D7A72" w:rsidRDefault="00213131" w:rsidP="00A65A6F">
            <w:pPr>
              <w:keepNext/>
              <w:spacing w:before="0" w:after="0"/>
              <w:rPr>
                <w:rFonts w:asciiTheme="majorBidi" w:hAnsiTheme="majorBidi" w:cstheme="majorBidi"/>
                <w:rtl/>
              </w:rPr>
            </w:pPr>
          </w:p>
        </w:tc>
        <w:tc>
          <w:tcPr>
            <w:tcW w:w="2307" w:type="dxa"/>
            <w:tcBorders>
              <w:top w:val="nil"/>
              <w:left w:val="nil"/>
              <w:bottom w:val="single" w:sz="4" w:space="0" w:color="auto"/>
              <w:right w:val="nil"/>
            </w:tcBorders>
          </w:tcPr>
          <w:p w14:paraId="178FD0E1" w14:textId="77777777" w:rsidR="00213131" w:rsidRPr="004D7A72" w:rsidRDefault="00213131" w:rsidP="00A65A6F">
            <w:pPr>
              <w:keepNext/>
              <w:spacing w:before="0" w:after="0"/>
              <w:rPr>
                <w:rFonts w:asciiTheme="majorBidi" w:hAnsiTheme="majorBidi" w:cstheme="majorBidi"/>
                <w:rtl/>
              </w:rPr>
            </w:pPr>
          </w:p>
        </w:tc>
      </w:tr>
      <w:tr w:rsidR="00213131" w:rsidRPr="004D7A72" w14:paraId="5930E7FD" w14:textId="77777777" w:rsidTr="00A65A6F">
        <w:trPr>
          <w:cantSplit/>
        </w:trPr>
        <w:tc>
          <w:tcPr>
            <w:tcW w:w="2308" w:type="dxa"/>
            <w:tcBorders>
              <w:top w:val="single" w:sz="4" w:space="0" w:color="auto"/>
              <w:left w:val="nil"/>
              <w:bottom w:val="nil"/>
              <w:right w:val="nil"/>
            </w:tcBorders>
            <w:hideMark/>
          </w:tcPr>
          <w:p w14:paraId="3CA44F43" w14:textId="77777777" w:rsidR="00213131" w:rsidRPr="004D7A72" w:rsidRDefault="00213131" w:rsidP="00A65A6F">
            <w:pPr>
              <w:keepNext/>
              <w:spacing w:before="0" w:after="0"/>
              <w:jc w:val="center"/>
              <w:rPr>
                <w:rFonts w:asciiTheme="majorBidi" w:hAnsiTheme="majorBidi" w:cstheme="majorBidi"/>
              </w:rPr>
            </w:pPr>
            <w:r w:rsidRPr="004D7A72">
              <w:rPr>
                <w:rFonts w:asciiTheme="majorBidi" w:hAnsiTheme="majorBidi" w:cstheme="majorBidi"/>
              </w:rPr>
              <w:t>Date of approval of the financial statements</w:t>
            </w:r>
          </w:p>
        </w:tc>
        <w:tc>
          <w:tcPr>
            <w:tcW w:w="266" w:type="dxa"/>
            <w:tcBorders>
              <w:top w:val="nil"/>
              <w:left w:val="nil"/>
              <w:bottom w:val="nil"/>
              <w:right w:val="nil"/>
            </w:tcBorders>
          </w:tcPr>
          <w:p w14:paraId="06819F0D" w14:textId="77777777" w:rsidR="00213131" w:rsidRPr="004D7A72" w:rsidRDefault="00213131" w:rsidP="00A65A6F">
            <w:pPr>
              <w:keepNext/>
              <w:spacing w:before="0" w:after="0"/>
              <w:jc w:val="center"/>
              <w:rPr>
                <w:rFonts w:asciiTheme="majorBidi" w:hAnsiTheme="majorBidi" w:cstheme="majorBidi"/>
                <w:rtl/>
              </w:rPr>
            </w:pPr>
          </w:p>
        </w:tc>
        <w:tc>
          <w:tcPr>
            <w:tcW w:w="2307" w:type="dxa"/>
            <w:tcBorders>
              <w:top w:val="single" w:sz="4" w:space="0" w:color="auto"/>
              <w:left w:val="nil"/>
              <w:bottom w:val="nil"/>
              <w:right w:val="nil"/>
            </w:tcBorders>
            <w:hideMark/>
          </w:tcPr>
          <w:p w14:paraId="35BF7ACF" w14:textId="77777777" w:rsidR="00213131" w:rsidRPr="004D7A72" w:rsidRDefault="00213131" w:rsidP="00A65A6F">
            <w:pPr>
              <w:keepNext/>
              <w:spacing w:before="0" w:after="0"/>
              <w:jc w:val="center"/>
              <w:rPr>
                <w:rFonts w:asciiTheme="majorBidi" w:hAnsiTheme="majorBidi" w:cstheme="majorBidi"/>
              </w:rPr>
            </w:pPr>
            <w:r w:rsidRPr="004D7A72">
              <w:rPr>
                <w:rFonts w:asciiTheme="majorBidi" w:hAnsiTheme="majorBidi" w:cstheme="majorBidi"/>
              </w:rPr>
              <w:t>Ehud Arnon</w:t>
            </w:r>
          </w:p>
          <w:p w14:paraId="0DD71CD0" w14:textId="77777777" w:rsidR="00213131" w:rsidRPr="004D7A72" w:rsidRDefault="00213131" w:rsidP="00A65A6F">
            <w:pPr>
              <w:keepNext/>
              <w:spacing w:before="0" w:after="0"/>
              <w:jc w:val="center"/>
              <w:rPr>
                <w:rFonts w:asciiTheme="majorBidi" w:hAnsiTheme="majorBidi" w:cstheme="majorBidi"/>
              </w:rPr>
            </w:pPr>
            <w:r w:rsidRPr="004D7A72">
              <w:rPr>
                <w:rFonts w:asciiTheme="majorBidi" w:hAnsiTheme="majorBidi" w:cstheme="majorBidi"/>
              </w:rPr>
              <w:t>Chairman of the Board of Directors</w:t>
            </w:r>
          </w:p>
        </w:tc>
        <w:tc>
          <w:tcPr>
            <w:tcW w:w="240" w:type="dxa"/>
            <w:tcBorders>
              <w:top w:val="nil"/>
              <w:left w:val="nil"/>
              <w:bottom w:val="nil"/>
              <w:right w:val="nil"/>
            </w:tcBorders>
          </w:tcPr>
          <w:p w14:paraId="1079013A" w14:textId="77777777" w:rsidR="00213131" w:rsidRPr="004D7A72" w:rsidRDefault="00213131" w:rsidP="00A65A6F">
            <w:pPr>
              <w:keepNext/>
              <w:spacing w:before="0" w:after="0"/>
              <w:jc w:val="center"/>
              <w:rPr>
                <w:rFonts w:asciiTheme="majorBidi" w:hAnsiTheme="majorBidi" w:cstheme="majorBidi"/>
                <w:rtl/>
              </w:rPr>
            </w:pPr>
          </w:p>
        </w:tc>
        <w:tc>
          <w:tcPr>
            <w:tcW w:w="2307" w:type="dxa"/>
            <w:tcBorders>
              <w:top w:val="single" w:sz="4" w:space="0" w:color="auto"/>
              <w:left w:val="nil"/>
              <w:bottom w:val="nil"/>
              <w:right w:val="nil"/>
            </w:tcBorders>
            <w:hideMark/>
          </w:tcPr>
          <w:p w14:paraId="0D30C140" w14:textId="77777777" w:rsidR="00213131" w:rsidRPr="004D7A72" w:rsidRDefault="00213131" w:rsidP="00A65A6F">
            <w:pPr>
              <w:keepNext/>
              <w:spacing w:before="0" w:after="0"/>
              <w:jc w:val="center"/>
              <w:rPr>
                <w:rFonts w:asciiTheme="majorBidi" w:hAnsiTheme="majorBidi" w:cstheme="majorBidi"/>
              </w:rPr>
            </w:pPr>
            <w:r w:rsidRPr="004D7A72">
              <w:rPr>
                <w:rFonts w:asciiTheme="majorBidi" w:hAnsiTheme="majorBidi" w:cstheme="majorBidi"/>
              </w:rPr>
              <w:t>Chaim Katzman</w:t>
            </w:r>
          </w:p>
          <w:p w14:paraId="22726A0D" w14:textId="77777777" w:rsidR="00213131" w:rsidRPr="004D7A72" w:rsidRDefault="00213131" w:rsidP="00A65A6F">
            <w:pPr>
              <w:keepNext/>
              <w:spacing w:before="0" w:after="0"/>
              <w:jc w:val="center"/>
              <w:rPr>
                <w:rFonts w:asciiTheme="majorBidi" w:hAnsiTheme="majorBidi" w:cstheme="majorBidi"/>
              </w:rPr>
            </w:pPr>
            <w:r w:rsidRPr="004D7A72">
              <w:rPr>
                <w:rFonts w:asciiTheme="majorBidi" w:hAnsiTheme="majorBidi" w:cstheme="majorBidi"/>
              </w:rPr>
              <w:t>CEO and Vice Chairman of the Board of Directors</w:t>
            </w:r>
          </w:p>
        </w:tc>
        <w:tc>
          <w:tcPr>
            <w:tcW w:w="240" w:type="dxa"/>
            <w:tcBorders>
              <w:top w:val="nil"/>
              <w:left w:val="nil"/>
              <w:bottom w:val="nil"/>
              <w:right w:val="nil"/>
            </w:tcBorders>
          </w:tcPr>
          <w:p w14:paraId="1A5B383C" w14:textId="77777777" w:rsidR="00213131" w:rsidRPr="004D7A72" w:rsidRDefault="00213131" w:rsidP="00A65A6F">
            <w:pPr>
              <w:keepNext/>
              <w:spacing w:before="0" w:after="0"/>
              <w:jc w:val="center"/>
              <w:rPr>
                <w:rFonts w:asciiTheme="majorBidi" w:hAnsiTheme="majorBidi" w:cstheme="majorBidi"/>
                <w:rtl/>
              </w:rPr>
            </w:pPr>
          </w:p>
        </w:tc>
        <w:tc>
          <w:tcPr>
            <w:tcW w:w="2307" w:type="dxa"/>
            <w:tcBorders>
              <w:top w:val="single" w:sz="4" w:space="0" w:color="auto"/>
              <w:left w:val="nil"/>
              <w:bottom w:val="nil"/>
              <w:right w:val="nil"/>
            </w:tcBorders>
          </w:tcPr>
          <w:p w14:paraId="38892286" w14:textId="77777777" w:rsidR="00213131" w:rsidRPr="004D7A72" w:rsidRDefault="00213131" w:rsidP="00A65A6F">
            <w:pPr>
              <w:keepNext/>
              <w:spacing w:before="0" w:after="0"/>
              <w:jc w:val="center"/>
              <w:rPr>
                <w:rFonts w:asciiTheme="majorBidi" w:hAnsiTheme="majorBidi" w:cstheme="majorBidi"/>
              </w:rPr>
            </w:pPr>
            <w:r w:rsidRPr="004D7A72">
              <w:rPr>
                <w:rFonts w:asciiTheme="majorBidi" w:hAnsiTheme="majorBidi" w:cstheme="majorBidi"/>
              </w:rPr>
              <w:t>Gil Kotler</w:t>
            </w:r>
          </w:p>
          <w:p w14:paraId="7FFE4884" w14:textId="77777777" w:rsidR="00213131" w:rsidRPr="004D7A72" w:rsidRDefault="00213131" w:rsidP="00A65A6F">
            <w:pPr>
              <w:keepNext/>
              <w:spacing w:before="0" w:after="0"/>
              <w:jc w:val="center"/>
              <w:rPr>
                <w:rFonts w:asciiTheme="majorBidi" w:hAnsiTheme="majorBidi" w:cstheme="majorBidi"/>
              </w:rPr>
            </w:pPr>
            <w:r w:rsidRPr="004D7A72">
              <w:rPr>
                <w:rFonts w:asciiTheme="majorBidi" w:hAnsiTheme="majorBidi" w:cstheme="majorBidi"/>
              </w:rPr>
              <w:t>CFO</w:t>
            </w:r>
          </w:p>
        </w:tc>
      </w:tr>
    </w:tbl>
    <w:p w14:paraId="4440AE73" w14:textId="77777777" w:rsidR="00213131" w:rsidRPr="004D7A72" w:rsidRDefault="00213131" w:rsidP="00213131">
      <w:pPr>
        <w:rPr>
          <w:rFonts w:asciiTheme="majorBidi" w:hAnsiTheme="majorBidi" w:cstheme="majorBidi"/>
          <w:vanish/>
          <w:sz w:val="21"/>
          <w:szCs w:val="21"/>
        </w:rPr>
        <w:sectPr w:rsidR="00213131" w:rsidRPr="004D7A72" w:rsidSect="001015E6">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pgMar w:top="1144" w:right="992" w:bottom="1134" w:left="992" w:header="567" w:footer="567" w:gutter="0"/>
          <w:pgBorders>
            <w:top w:val="nil"/>
            <w:left w:val="nil"/>
            <w:bottom w:val="nil"/>
            <w:right w:val="nil"/>
          </w:pgBorders>
          <w:cols w:space="720"/>
          <w:rtlGutter/>
          <w:docGrid w:linePitch="360"/>
        </w:sectPr>
      </w:pPr>
    </w:p>
    <w:p w14:paraId="00714DF1" w14:textId="77777777" w:rsidR="00213131" w:rsidRPr="004D7A72" w:rsidRDefault="00213131" w:rsidP="00213131">
      <w:pPr>
        <w:pageBreakBefore/>
        <w:rPr>
          <w:rFonts w:asciiTheme="majorBidi" w:hAnsiTheme="majorBidi" w:cstheme="majorBidi"/>
          <w:vanish/>
        </w:rPr>
      </w:pPr>
      <w:bookmarkStart w:id="129" w:name="RG_MARKER_56638"/>
      <w:bookmarkStart w:id="130" w:name="RG_MARKER_56583"/>
      <w:bookmarkEnd w:id="129"/>
      <w:bookmarkEnd w:id="1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213131" w:rsidRPr="004D7A72" w14:paraId="392AACF1" w14:textId="77777777" w:rsidTr="00A65A6F">
        <w:trPr>
          <w:cantSplit/>
        </w:trPr>
        <w:tc>
          <w:tcPr>
            <w:tcW w:w="9922" w:type="dxa"/>
          </w:tcPr>
          <w:tbl>
            <w:tblPr>
              <w:tblStyle w:val="CDMRange1"/>
              <w:tblW w:w="10065" w:type="dxa"/>
              <w:tblLook w:val="0600" w:firstRow="0" w:lastRow="0" w:firstColumn="0" w:lastColumn="0" w:noHBand="1" w:noVBand="1"/>
            </w:tblPr>
            <w:tblGrid>
              <w:gridCol w:w="319"/>
              <w:gridCol w:w="3670"/>
              <w:gridCol w:w="1102"/>
              <w:gridCol w:w="73"/>
              <w:gridCol w:w="1101"/>
              <w:gridCol w:w="72"/>
              <w:gridCol w:w="1101"/>
              <w:gridCol w:w="72"/>
              <w:gridCol w:w="1101"/>
              <w:gridCol w:w="72"/>
              <w:gridCol w:w="1239"/>
            </w:tblGrid>
            <w:tr w:rsidR="00213131" w:rsidRPr="004D7A72" w14:paraId="19A4385A" w14:textId="77777777" w:rsidTr="00A65A6F">
              <w:trPr>
                <w:cantSplit/>
                <w:trHeight w:val="1230"/>
              </w:trPr>
              <w:tc>
                <w:tcPr>
                  <w:tcW w:w="311" w:type="dxa"/>
                  <w:tcBorders>
                    <w:top w:val="nil"/>
                    <w:left w:val="nil"/>
                    <w:bottom w:val="nil"/>
                    <w:right w:val="nil"/>
                    <w:tl2br w:val="nil"/>
                    <w:tr2bl w:val="nil"/>
                  </w:tcBorders>
                  <w:shd w:val="clear" w:color="auto" w:fill="auto"/>
                  <w:noWrap/>
                  <w:tcMar>
                    <w:left w:w="0" w:type="dxa"/>
                    <w:right w:w="0" w:type="dxa"/>
                  </w:tcMar>
                  <w:vAlign w:val="bottom"/>
                </w:tcPr>
                <w:p w14:paraId="15C7DA1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788" w:type="dxa"/>
                  <w:tcBorders>
                    <w:top w:val="nil"/>
                    <w:left w:val="nil"/>
                    <w:bottom w:val="nil"/>
                    <w:right w:val="nil"/>
                    <w:tl2br w:val="nil"/>
                    <w:tr2bl w:val="nil"/>
                  </w:tcBorders>
                  <w:shd w:val="clear" w:color="auto" w:fill="auto"/>
                  <w:noWrap/>
                  <w:tcMar>
                    <w:left w:w="0" w:type="dxa"/>
                    <w:right w:w="0" w:type="dxa"/>
                  </w:tcMar>
                  <w:vAlign w:val="bottom"/>
                </w:tcPr>
                <w:p w14:paraId="2F05648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295"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7CEEE778"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 xml:space="preserve">Six months ended </w:t>
                  </w:r>
                </w:p>
                <w:p w14:paraId="7432ED46"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June 30</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60C596A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293"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1730969A"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 xml:space="preserve">Three months ended </w:t>
                  </w:r>
                </w:p>
                <w:p w14:paraId="3E0E4BF1"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June 30</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458426A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260" w:type="dxa"/>
                  <w:tcBorders>
                    <w:top w:val="nil"/>
                    <w:left w:val="nil"/>
                    <w:bottom w:val="nil"/>
                    <w:right w:val="nil"/>
                    <w:tl2br w:val="nil"/>
                    <w:tr2bl w:val="nil"/>
                  </w:tcBorders>
                  <w:shd w:val="clear" w:color="auto" w:fill="auto"/>
                  <w:tcMar>
                    <w:left w:w="40" w:type="dxa"/>
                    <w:right w:w="40" w:type="dxa"/>
                  </w:tcMar>
                  <w:vAlign w:val="bottom"/>
                </w:tcPr>
                <w:p w14:paraId="79CBC728"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Year ended December 31</w:t>
                  </w:r>
                </w:p>
              </w:tc>
            </w:tr>
            <w:tr w:rsidR="00213131" w:rsidRPr="004D7A72" w14:paraId="5F7DDA6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11" w:type="dxa"/>
                  <w:tcBorders>
                    <w:top w:val="nil"/>
                    <w:left w:val="nil"/>
                    <w:bottom w:val="nil"/>
                    <w:right w:val="nil"/>
                    <w:tl2br w:val="nil"/>
                    <w:tr2bl w:val="nil"/>
                  </w:tcBorders>
                  <w:shd w:val="clear" w:color="auto" w:fill="auto"/>
                  <w:noWrap/>
                  <w:tcMar>
                    <w:left w:w="0" w:type="dxa"/>
                    <w:right w:w="0" w:type="dxa"/>
                  </w:tcMar>
                  <w:vAlign w:val="bottom"/>
                </w:tcPr>
                <w:p w14:paraId="4C12A10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788" w:type="dxa"/>
                  <w:tcBorders>
                    <w:top w:val="nil"/>
                    <w:left w:val="nil"/>
                    <w:bottom w:val="nil"/>
                    <w:right w:val="nil"/>
                    <w:tl2br w:val="nil"/>
                    <w:tr2bl w:val="nil"/>
                  </w:tcBorders>
                  <w:shd w:val="clear" w:color="auto" w:fill="auto"/>
                  <w:noWrap/>
                  <w:tcMar>
                    <w:left w:w="0" w:type="dxa"/>
                    <w:right w:w="0" w:type="dxa"/>
                  </w:tcMar>
                  <w:vAlign w:val="bottom"/>
                </w:tcPr>
                <w:p w14:paraId="01B926B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70F471F"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2024</w:t>
                  </w:r>
                </w:p>
              </w:tc>
              <w:tc>
                <w:tcPr>
                  <w:tcW w:w="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2847C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4569422"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087D92F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47C4441"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2024</w:t>
                  </w:r>
                </w:p>
              </w:tc>
              <w:tc>
                <w:tcPr>
                  <w:tcW w:w="59"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535DBC"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11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F3FD342"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6E985C45"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26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618C657"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r>
            <w:tr w:rsidR="00213131" w:rsidRPr="004D7A72" w14:paraId="16897F1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11" w:type="dxa"/>
                  <w:tcBorders>
                    <w:top w:val="nil"/>
                    <w:left w:val="nil"/>
                    <w:bottom w:val="nil"/>
                    <w:right w:val="nil"/>
                    <w:tl2br w:val="nil"/>
                    <w:tr2bl w:val="nil"/>
                  </w:tcBorders>
                  <w:shd w:val="clear" w:color="auto" w:fill="auto"/>
                  <w:noWrap/>
                  <w:tcMar>
                    <w:left w:w="0" w:type="dxa"/>
                    <w:right w:w="0" w:type="dxa"/>
                  </w:tcMar>
                  <w:vAlign w:val="bottom"/>
                </w:tcPr>
                <w:p w14:paraId="7A31C49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788" w:type="dxa"/>
                  <w:tcBorders>
                    <w:top w:val="nil"/>
                    <w:left w:val="nil"/>
                    <w:bottom w:val="nil"/>
                    <w:right w:val="nil"/>
                    <w:tl2br w:val="nil"/>
                    <w:tr2bl w:val="nil"/>
                  </w:tcBorders>
                  <w:shd w:val="clear" w:color="auto" w:fill="auto"/>
                  <w:noWrap/>
                  <w:tcMar>
                    <w:left w:w="0" w:type="dxa"/>
                    <w:right w:w="0" w:type="dxa"/>
                  </w:tcMar>
                  <w:vAlign w:val="bottom"/>
                </w:tcPr>
                <w:p w14:paraId="624ECC4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4647" w:type="dxa"/>
                  <w:gridSpan w:val="7"/>
                  <w:tcBorders>
                    <w:top w:val="nil"/>
                    <w:left w:val="nil"/>
                    <w:bottom w:val="single" w:sz="4" w:space="0" w:color="000000"/>
                    <w:right w:val="nil"/>
                    <w:tl2br w:val="nil"/>
                    <w:tr2bl w:val="nil"/>
                  </w:tcBorders>
                  <w:shd w:val="clear" w:color="auto" w:fill="auto"/>
                  <w:noWrap/>
                  <w:tcMar>
                    <w:left w:w="40" w:type="dxa"/>
                    <w:right w:w="40" w:type="dxa"/>
                  </w:tcMar>
                  <w:vAlign w:val="bottom"/>
                </w:tcPr>
                <w:p w14:paraId="03FEFB3D"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Unaudited</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67F8FEEB" w14:textId="77777777" w:rsidR="00213131" w:rsidRPr="004D7A72" w:rsidRDefault="00213131" w:rsidP="00A65A6F">
                  <w:pPr>
                    <w:keepNext/>
                    <w:spacing w:before="0" w:after="0"/>
                    <w:jc w:val="left"/>
                    <w:rPr>
                      <w:rFonts w:asciiTheme="majorBidi" w:eastAsia="Ploni ML Medium AAA Medium" w:hAnsiTheme="majorBidi" w:cstheme="majorBidi"/>
                      <w:b/>
                      <w:color w:val="000000"/>
                    </w:rPr>
                  </w:pPr>
                </w:p>
              </w:tc>
              <w:tc>
                <w:tcPr>
                  <w:tcW w:w="12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6585A35"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Audited</w:t>
                  </w:r>
                </w:p>
              </w:tc>
            </w:tr>
            <w:tr w:rsidR="00213131" w:rsidRPr="004D7A72" w14:paraId="739E529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11" w:type="dxa"/>
                  <w:tcBorders>
                    <w:top w:val="nil"/>
                    <w:left w:val="nil"/>
                    <w:bottom w:val="nil"/>
                    <w:right w:val="nil"/>
                    <w:tl2br w:val="nil"/>
                    <w:tr2bl w:val="nil"/>
                  </w:tcBorders>
                  <w:shd w:val="clear" w:color="auto" w:fill="auto"/>
                  <w:noWrap/>
                  <w:tcMar>
                    <w:left w:w="0" w:type="dxa"/>
                    <w:right w:w="0" w:type="dxa"/>
                  </w:tcMar>
                  <w:vAlign w:val="bottom"/>
                </w:tcPr>
                <w:p w14:paraId="33DE6FE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788" w:type="dxa"/>
                  <w:tcBorders>
                    <w:top w:val="nil"/>
                    <w:left w:val="nil"/>
                    <w:bottom w:val="nil"/>
                    <w:right w:val="nil"/>
                    <w:tl2br w:val="nil"/>
                    <w:tr2bl w:val="nil"/>
                  </w:tcBorders>
                  <w:shd w:val="clear" w:color="auto" w:fill="auto"/>
                  <w:noWrap/>
                  <w:tcMar>
                    <w:left w:w="0" w:type="dxa"/>
                    <w:right w:w="0" w:type="dxa"/>
                  </w:tcMar>
                  <w:vAlign w:val="bottom"/>
                </w:tcPr>
                <w:p w14:paraId="7777A7C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5966" w:type="dxa"/>
                  <w:gridSpan w:val="9"/>
                  <w:tcBorders>
                    <w:top w:val="nil"/>
                    <w:left w:val="nil"/>
                    <w:bottom w:val="single" w:sz="4" w:space="0" w:color="000000"/>
                    <w:right w:val="nil"/>
                    <w:tl2br w:val="nil"/>
                    <w:tr2bl w:val="nil"/>
                  </w:tcBorders>
                  <w:shd w:val="clear" w:color="auto" w:fill="auto"/>
                  <w:tcMar>
                    <w:left w:w="40" w:type="dxa"/>
                    <w:right w:w="40" w:type="dxa"/>
                  </w:tcMar>
                  <w:vAlign w:val="bottom"/>
                </w:tcPr>
                <w:p w14:paraId="446BE28B"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NIS million</w:t>
                  </w:r>
                </w:p>
                <w:p w14:paraId="79DECE54"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(Other than earnings (loss) per share)</w:t>
                  </w:r>
                </w:p>
              </w:tc>
            </w:tr>
            <w:tr w:rsidR="00213131" w:rsidRPr="004D7A72" w14:paraId="5390E8C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1BD26DC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Rental and other income</w:t>
                  </w:r>
                </w:p>
              </w:tc>
              <w:tc>
                <w:tcPr>
                  <w:tcW w:w="1118"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72CB255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1,253</w:t>
                  </w:r>
                </w:p>
              </w:tc>
              <w:tc>
                <w:tcPr>
                  <w:tcW w:w="60" w:type="dxa"/>
                  <w:tcBorders>
                    <w:top w:val="single" w:sz="4" w:space="0" w:color="000000"/>
                    <w:left w:val="nil"/>
                    <w:bottom w:val="nil"/>
                    <w:right w:val="nil"/>
                    <w:tl2br w:val="nil"/>
                    <w:tr2bl w:val="nil"/>
                  </w:tcBorders>
                  <w:shd w:val="clear" w:color="auto" w:fill="auto"/>
                  <w:tcMar>
                    <w:left w:w="0" w:type="dxa"/>
                    <w:right w:w="0" w:type="dxa"/>
                  </w:tcMar>
                  <w:vAlign w:val="bottom"/>
                </w:tcPr>
                <w:p w14:paraId="7663781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6102879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1,189</w:t>
                  </w:r>
                </w:p>
              </w:tc>
              <w:tc>
                <w:tcPr>
                  <w:tcW w:w="59" w:type="dxa"/>
                  <w:tcBorders>
                    <w:top w:val="single" w:sz="4" w:space="0" w:color="000000"/>
                    <w:left w:val="nil"/>
                    <w:bottom w:val="nil"/>
                    <w:right w:val="nil"/>
                    <w:tl2br w:val="nil"/>
                    <w:tr2bl w:val="nil"/>
                  </w:tcBorders>
                  <w:shd w:val="clear" w:color="auto" w:fill="auto"/>
                  <w:tcMar>
                    <w:left w:w="0" w:type="dxa"/>
                    <w:right w:w="0" w:type="dxa"/>
                  </w:tcMar>
                  <w:vAlign w:val="bottom"/>
                </w:tcPr>
                <w:p w14:paraId="391843C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72EC412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632</w:t>
                  </w:r>
                </w:p>
              </w:tc>
              <w:tc>
                <w:tcPr>
                  <w:tcW w:w="59"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8BEFD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4F7D35B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585</w:t>
                  </w:r>
                </w:p>
              </w:tc>
              <w:tc>
                <w:tcPr>
                  <w:tcW w:w="59"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829E4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5AFDBEE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2,438</w:t>
                  </w:r>
                </w:p>
              </w:tc>
            </w:tr>
            <w:tr w:rsidR="00213131" w:rsidRPr="004D7A72" w14:paraId="749FB17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793FCE3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Property operating and other expenses</w:t>
                  </w:r>
                </w:p>
              </w:tc>
              <w:tc>
                <w:tcPr>
                  <w:tcW w:w="1118"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FD8358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397</w:t>
                  </w:r>
                </w:p>
              </w:tc>
              <w:tc>
                <w:tcPr>
                  <w:tcW w:w="60" w:type="dxa"/>
                  <w:tcBorders>
                    <w:top w:val="nil"/>
                    <w:left w:val="nil"/>
                    <w:bottom w:val="nil"/>
                    <w:right w:val="nil"/>
                    <w:tl2br w:val="nil"/>
                    <w:tr2bl w:val="nil"/>
                  </w:tcBorders>
                  <w:shd w:val="clear" w:color="auto" w:fill="auto"/>
                  <w:tcMar>
                    <w:left w:w="0" w:type="dxa"/>
                    <w:right w:w="0" w:type="dxa"/>
                  </w:tcMar>
                  <w:vAlign w:val="bottom"/>
                </w:tcPr>
                <w:p w14:paraId="448B6D5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3EF6E6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361</w:t>
                  </w:r>
                </w:p>
              </w:tc>
              <w:tc>
                <w:tcPr>
                  <w:tcW w:w="59" w:type="dxa"/>
                  <w:tcBorders>
                    <w:top w:val="nil"/>
                    <w:left w:val="nil"/>
                    <w:bottom w:val="nil"/>
                    <w:right w:val="nil"/>
                    <w:tl2br w:val="nil"/>
                    <w:tr2bl w:val="nil"/>
                  </w:tcBorders>
                  <w:shd w:val="clear" w:color="auto" w:fill="auto"/>
                  <w:tcMar>
                    <w:left w:w="0" w:type="dxa"/>
                    <w:right w:w="0" w:type="dxa"/>
                  </w:tcMar>
                  <w:vAlign w:val="bottom"/>
                </w:tcPr>
                <w:p w14:paraId="036AB17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F280D5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194</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2E94589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C16484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167</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4DDECB7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72F821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771</w:t>
                  </w:r>
                </w:p>
              </w:tc>
            </w:tr>
            <w:tr w:rsidR="00213131" w:rsidRPr="004D7A72" w14:paraId="1497213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0" w:type="dxa"/>
                    <w:right w:w="0" w:type="dxa"/>
                  </w:tcMar>
                  <w:vAlign w:val="bottom"/>
                </w:tcPr>
                <w:p w14:paraId="2D67B96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8"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F3FC36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4C377E3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7F0CD6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tcMar>
                    <w:left w:w="0" w:type="dxa"/>
                    <w:right w:w="0" w:type="dxa"/>
                  </w:tcMar>
                  <w:vAlign w:val="bottom"/>
                </w:tcPr>
                <w:p w14:paraId="3C03E93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D15C64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47657F7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BD6FB7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217A409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A0D202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69432A1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04E29C9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Operating income, net</w:t>
                  </w:r>
                </w:p>
              </w:tc>
              <w:tc>
                <w:tcPr>
                  <w:tcW w:w="1118"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49E23A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856</w:t>
                  </w:r>
                </w:p>
              </w:tc>
              <w:tc>
                <w:tcPr>
                  <w:tcW w:w="60" w:type="dxa"/>
                  <w:tcBorders>
                    <w:top w:val="nil"/>
                    <w:left w:val="nil"/>
                    <w:bottom w:val="nil"/>
                    <w:right w:val="nil"/>
                    <w:tl2br w:val="nil"/>
                    <w:tr2bl w:val="nil"/>
                  </w:tcBorders>
                  <w:shd w:val="clear" w:color="auto" w:fill="auto"/>
                  <w:tcMar>
                    <w:left w:w="0" w:type="dxa"/>
                    <w:right w:w="0" w:type="dxa"/>
                  </w:tcMar>
                  <w:vAlign w:val="bottom"/>
                </w:tcPr>
                <w:p w14:paraId="41C971A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819631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828</w:t>
                  </w:r>
                </w:p>
              </w:tc>
              <w:tc>
                <w:tcPr>
                  <w:tcW w:w="59" w:type="dxa"/>
                  <w:tcBorders>
                    <w:top w:val="nil"/>
                    <w:left w:val="nil"/>
                    <w:bottom w:val="nil"/>
                    <w:right w:val="nil"/>
                    <w:tl2br w:val="nil"/>
                    <w:tr2bl w:val="nil"/>
                  </w:tcBorders>
                  <w:shd w:val="clear" w:color="auto" w:fill="auto"/>
                  <w:tcMar>
                    <w:left w:w="0" w:type="dxa"/>
                    <w:right w:w="0" w:type="dxa"/>
                  </w:tcMar>
                  <w:vAlign w:val="bottom"/>
                </w:tcPr>
                <w:p w14:paraId="30FC34C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68105E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438</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2ECBC8A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ADCA94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418</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5E57962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1287CA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1,667</w:t>
                  </w:r>
                </w:p>
              </w:tc>
            </w:tr>
            <w:tr w:rsidR="00213131" w:rsidRPr="004D7A72" w14:paraId="02E07CC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0" w:type="dxa"/>
                    <w:right w:w="0" w:type="dxa"/>
                  </w:tcMar>
                  <w:vAlign w:val="bottom"/>
                </w:tcPr>
                <w:p w14:paraId="50B2DE9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8"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9123B1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4B70F0D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6D33C4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tcMar>
                    <w:left w:w="0" w:type="dxa"/>
                    <w:right w:w="0" w:type="dxa"/>
                  </w:tcMar>
                  <w:vAlign w:val="bottom"/>
                </w:tcPr>
                <w:p w14:paraId="30BCF63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C3D93A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4157914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76CBEB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01DE14C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FCEFD8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6C1BB64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4"/>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791FEE9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Appreciation (impairment) of investment property and investment property </w:t>
                  </w:r>
                </w:p>
                <w:p w14:paraId="5911840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   under development, net</w:t>
                  </w:r>
                </w:p>
              </w:tc>
              <w:tc>
                <w:tcPr>
                  <w:tcW w:w="1118" w:type="dxa"/>
                  <w:tcBorders>
                    <w:top w:val="nil"/>
                    <w:left w:val="nil"/>
                    <w:bottom w:val="nil"/>
                    <w:right w:val="nil"/>
                    <w:tl2br w:val="nil"/>
                    <w:tr2bl w:val="nil"/>
                  </w:tcBorders>
                  <w:shd w:val="clear" w:color="auto" w:fill="auto"/>
                  <w:noWrap/>
                  <w:tcMar>
                    <w:left w:w="40" w:type="dxa"/>
                    <w:right w:w="175" w:type="dxa"/>
                  </w:tcMar>
                  <w:vAlign w:val="bottom"/>
                </w:tcPr>
                <w:p w14:paraId="1002071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340</w:t>
                  </w:r>
                </w:p>
              </w:tc>
              <w:tc>
                <w:tcPr>
                  <w:tcW w:w="60" w:type="dxa"/>
                  <w:tcBorders>
                    <w:top w:val="nil"/>
                    <w:left w:val="nil"/>
                    <w:bottom w:val="nil"/>
                    <w:right w:val="nil"/>
                    <w:tl2br w:val="nil"/>
                    <w:tr2bl w:val="nil"/>
                  </w:tcBorders>
                  <w:shd w:val="clear" w:color="auto" w:fill="auto"/>
                  <w:tcMar>
                    <w:left w:w="0" w:type="dxa"/>
                    <w:right w:w="0" w:type="dxa"/>
                  </w:tcMar>
                  <w:vAlign w:val="bottom"/>
                </w:tcPr>
                <w:p w14:paraId="38D69FF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1CC3EA2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293</w:t>
                  </w:r>
                </w:p>
              </w:tc>
              <w:tc>
                <w:tcPr>
                  <w:tcW w:w="59" w:type="dxa"/>
                  <w:tcBorders>
                    <w:top w:val="nil"/>
                    <w:left w:val="nil"/>
                    <w:bottom w:val="nil"/>
                    <w:right w:val="nil"/>
                    <w:tl2br w:val="nil"/>
                    <w:tr2bl w:val="nil"/>
                  </w:tcBorders>
                  <w:shd w:val="clear" w:color="auto" w:fill="auto"/>
                  <w:tcMar>
                    <w:left w:w="0" w:type="dxa"/>
                    <w:right w:w="0" w:type="dxa"/>
                  </w:tcMar>
                  <w:vAlign w:val="bottom"/>
                </w:tcPr>
                <w:p w14:paraId="22FA93B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02019A2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344</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1283159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49DF484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138</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15E3914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nil"/>
                    <w:right w:val="nil"/>
                    <w:tl2br w:val="nil"/>
                    <w:tr2bl w:val="nil"/>
                  </w:tcBorders>
                  <w:shd w:val="clear" w:color="auto" w:fill="auto"/>
                  <w:noWrap/>
                  <w:tcMar>
                    <w:left w:w="40" w:type="dxa"/>
                    <w:right w:w="175" w:type="dxa"/>
                  </w:tcMar>
                  <w:vAlign w:val="bottom"/>
                </w:tcPr>
                <w:p w14:paraId="5649E67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(767)</w:t>
                  </w:r>
                </w:p>
              </w:tc>
            </w:tr>
            <w:tr w:rsidR="00213131" w:rsidRPr="004D7A72" w14:paraId="78F009D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7E2D9BF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General and administrative expenses</w:t>
                  </w:r>
                </w:p>
              </w:tc>
              <w:tc>
                <w:tcPr>
                  <w:tcW w:w="1118" w:type="dxa"/>
                  <w:tcBorders>
                    <w:top w:val="nil"/>
                    <w:left w:val="nil"/>
                    <w:bottom w:val="nil"/>
                    <w:right w:val="nil"/>
                    <w:tl2br w:val="nil"/>
                    <w:tr2bl w:val="nil"/>
                  </w:tcBorders>
                  <w:shd w:val="clear" w:color="auto" w:fill="auto"/>
                  <w:noWrap/>
                  <w:tcMar>
                    <w:left w:w="40" w:type="dxa"/>
                    <w:right w:w="175" w:type="dxa"/>
                  </w:tcMar>
                  <w:vAlign w:val="bottom"/>
                </w:tcPr>
                <w:p w14:paraId="36C50D1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(168)</w:t>
                  </w:r>
                </w:p>
              </w:tc>
              <w:tc>
                <w:tcPr>
                  <w:tcW w:w="60" w:type="dxa"/>
                  <w:tcBorders>
                    <w:top w:val="nil"/>
                    <w:left w:val="nil"/>
                    <w:bottom w:val="nil"/>
                    <w:right w:val="nil"/>
                    <w:tl2br w:val="nil"/>
                    <w:tr2bl w:val="nil"/>
                  </w:tcBorders>
                  <w:shd w:val="clear" w:color="auto" w:fill="auto"/>
                  <w:tcMar>
                    <w:left w:w="0" w:type="dxa"/>
                    <w:right w:w="0" w:type="dxa"/>
                  </w:tcMar>
                  <w:vAlign w:val="bottom"/>
                </w:tcPr>
                <w:p w14:paraId="4094651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17F77B4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(166)</w:t>
                  </w:r>
                </w:p>
              </w:tc>
              <w:tc>
                <w:tcPr>
                  <w:tcW w:w="59" w:type="dxa"/>
                  <w:tcBorders>
                    <w:top w:val="nil"/>
                    <w:left w:val="nil"/>
                    <w:bottom w:val="nil"/>
                    <w:right w:val="nil"/>
                    <w:tl2br w:val="nil"/>
                    <w:tr2bl w:val="nil"/>
                  </w:tcBorders>
                  <w:shd w:val="clear" w:color="auto" w:fill="auto"/>
                  <w:tcMar>
                    <w:left w:w="0" w:type="dxa"/>
                    <w:right w:w="0" w:type="dxa"/>
                  </w:tcMar>
                  <w:vAlign w:val="bottom"/>
                </w:tcPr>
                <w:p w14:paraId="0C41FF2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5AE7691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(71)</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7AB882D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1380048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(78)</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313AEFF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nil"/>
                    <w:right w:val="nil"/>
                    <w:tl2br w:val="nil"/>
                    <w:tr2bl w:val="nil"/>
                  </w:tcBorders>
                  <w:shd w:val="clear" w:color="auto" w:fill="auto"/>
                  <w:noWrap/>
                  <w:tcMar>
                    <w:left w:w="40" w:type="dxa"/>
                    <w:right w:w="175" w:type="dxa"/>
                  </w:tcMar>
                  <w:vAlign w:val="bottom"/>
                </w:tcPr>
                <w:p w14:paraId="3D1565D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(349)</w:t>
                  </w:r>
                </w:p>
              </w:tc>
            </w:tr>
            <w:tr w:rsidR="00213131" w:rsidRPr="004D7A72" w14:paraId="4192F92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2BB78F0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Other income</w:t>
                  </w:r>
                </w:p>
              </w:tc>
              <w:tc>
                <w:tcPr>
                  <w:tcW w:w="1118" w:type="dxa"/>
                  <w:tcBorders>
                    <w:top w:val="nil"/>
                    <w:left w:val="nil"/>
                    <w:bottom w:val="nil"/>
                    <w:right w:val="nil"/>
                    <w:tl2br w:val="nil"/>
                    <w:tr2bl w:val="nil"/>
                  </w:tcBorders>
                  <w:shd w:val="clear" w:color="auto" w:fill="auto"/>
                  <w:noWrap/>
                  <w:tcMar>
                    <w:left w:w="40" w:type="dxa"/>
                    <w:right w:w="175" w:type="dxa"/>
                  </w:tcMar>
                  <w:vAlign w:val="bottom"/>
                </w:tcPr>
                <w:p w14:paraId="3BF698F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185</w:t>
                  </w:r>
                </w:p>
              </w:tc>
              <w:tc>
                <w:tcPr>
                  <w:tcW w:w="60" w:type="dxa"/>
                  <w:tcBorders>
                    <w:top w:val="nil"/>
                    <w:left w:val="nil"/>
                    <w:bottom w:val="nil"/>
                    <w:right w:val="nil"/>
                    <w:tl2br w:val="nil"/>
                    <w:tr2bl w:val="nil"/>
                  </w:tcBorders>
                  <w:shd w:val="clear" w:color="auto" w:fill="auto"/>
                  <w:tcMar>
                    <w:left w:w="0" w:type="dxa"/>
                    <w:right w:w="0" w:type="dxa"/>
                  </w:tcMar>
                  <w:vAlign w:val="bottom"/>
                </w:tcPr>
                <w:p w14:paraId="7E56457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4EB4DA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w:t>
                  </w:r>
                </w:p>
              </w:tc>
              <w:tc>
                <w:tcPr>
                  <w:tcW w:w="59" w:type="dxa"/>
                  <w:tcBorders>
                    <w:top w:val="nil"/>
                    <w:left w:val="nil"/>
                    <w:bottom w:val="nil"/>
                    <w:right w:val="nil"/>
                    <w:tl2br w:val="nil"/>
                    <w:tr2bl w:val="nil"/>
                  </w:tcBorders>
                  <w:shd w:val="clear" w:color="auto" w:fill="auto"/>
                  <w:tcMar>
                    <w:left w:w="0" w:type="dxa"/>
                    <w:right w:w="0" w:type="dxa"/>
                  </w:tcMar>
                  <w:vAlign w:val="bottom"/>
                </w:tcPr>
                <w:p w14:paraId="0B3C9C3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2F41943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01E0D31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290EAE3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333D2DF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nil"/>
                    <w:right w:val="nil"/>
                    <w:tl2br w:val="nil"/>
                    <w:tr2bl w:val="nil"/>
                  </w:tcBorders>
                  <w:shd w:val="clear" w:color="auto" w:fill="auto"/>
                  <w:noWrap/>
                  <w:tcMar>
                    <w:left w:w="40" w:type="dxa"/>
                    <w:right w:w="175" w:type="dxa"/>
                  </w:tcMar>
                  <w:vAlign w:val="bottom"/>
                </w:tcPr>
                <w:p w14:paraId="4D188AD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w:t>
                  </w:r>
                </w:p>
              </w:tc>
            </w:tr>
            <w:tr w:rsidR="00213131" w:rsidRPr="004D7A72" w14:paraId="7A36914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3E6C221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Other expenses</w:t>
                  </w:r>
                </w:p>
              </w:tc>
              <w:tc>
                <w:tcPr>
                  <w:tcW w:w="1118" w:type="dxa"/>
                  <w:tcBorders>
                    <w:top w:val="nil"/>
                    <w:left w:val="nil"/>
                    <w:bottom w:val="nil"/>
                    <w:right w:val="nil"/>
                    <w:tl2br w:val="nil"/>
                    <w:tr2bl w:val="nil"/>
                  </w:tcBorders>
                  <w:shd w:val="clear" w:color="auto" w:fill="auto"/>
                  <w:noWrap/>
                  <w:tcMar>
                    <w:left w:w="40" w:type="dxa"/>
                    <w:right w:w="175" w:type="dxa"/>
                  </w:tcMar>
                  <w:vAlign w:val="bottom"/>
                </w:tcPr>
                <w:p w14:paraId="55654BB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(124)</w:t>
                  </w:r>
                </w:p>
              </w:tc>
              <w:tc>
                <w:tcPr>
                  <w:tcW w:w="60" w:type="dxa"/>
                  <w:tcBorders>
                    <w:top w:val="nil"/>
                    <w:left w:val="nil"/>
                    <w:bottom w:val="nil"/>
                    <w:right w:val="nil"/>
                    <w:tl2br w:val="nil"/>
                    <w:tr2bl w:val="nil"/>
                  </w:tcBorders>
                  <w:shd w:val="clear" w:color="auto" w:fill="auto"/>
                  <w:tcMar>
                    <w:left w:w="0" w:type="dxa"/>
                    <w:right w:w="0" w:type="dxa"/>
                  </w:tcMar>
                  <w:vAlign w:val="bottom"/>
                </w:tcPr>
                <w:p w14:paraId="2A16602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3773AC9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(680)</w:t>
                  </w:r>
                </w:p>
              </w:tc>
              <w:tc>
                <w:tcPr>
                  <w:tcW w:w="59" w:type="dxa"/>
                  <w:tcBorders>
                    <w:top w:val="nil"/>
                    <w:left w:val="nil"/>
                    <w:bottom w:val="nil"/>
                    <w:right w:val="nil"/>
                    <w:tl2br w:val="nil"/>
                    <w:tr2bl w:val="nil"/>
                  </w:tcBorders>
                  <w:shd w:val="clear" w:color="auto" w:fill="auto"/>
                  <w:tcMar>
                    <w:left w:w="0" w:type="dxa"/>
                    <w:right w:w="0" w:type="dxa"/>
                  </w:tcMar>
                  <w:vAlign w:val="bottom"/>
                </w:tcPr>
                <w:p w14:paraId="6BB19A7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178081A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37F9DD9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07B7F85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(158)</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37BE60A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nil"/>
                    <w:right w:val="nil"/>
                    <w:tl2br w:val="nil"/>
                    <w:tr2bl w:val="nil"/>
                  </w:tcBorders>
                  <w:shd w:val="clear" w:color="auto" w:fill="auto"/>
                  <w:noWrap/>
                  <w:tcMar>
                    <w:left w:w="40" w:type="dxa"/>
                    <w:right w:w="175" w:type="dxa"/>
                  </w:tcMar>
                  <w:vAlign w:val="bottom"/>
                </w:tcPr>
                <w:p w14:paraId="1D8E614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(686)</w:t>
                  </w:r>
                </w:p>
              </w:tc>
            </w:tr>
            <w:tr w:rsidR="00213131" w:rsidRPr="004D7A72" w14:paraId="060CDF9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1A6FF1E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Company's share in profits (losses) of </w:t>
                  </w:r>
                </w:p>
                <w:p w14:paraId="53A05C9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   equity accounted investees, net</w:t>
                  </w:r>
                </w:p>
              </w:tc>
              <w:tc>
                <w:tcPr>
                  <w:tcW w:w="1118"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A0C409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110</w:t>
                  </w:r>
                </w:p>
              </w:tc>
              <w:tc>
                <w:tcPr>
                  <w:tcW w:w="60" w:type="dxa"/>
                  <w:tcBorders>
                    <w:top w:val="nil"/>
                    <w:left w:val="nil"/>
                    <w:bottom w:val="nil"/>
                    <w:right w:val="nil"/>
                    <w:tl2br w:val="nil"/>
                    <w:tr2bl w:val="nil"/>
                  </w:tcBorders>
                  <w:shd w:val="clear" w:color="auto" w:fill="auto"/>
                  <w:tcMar>
                    <w:left w:w="0" w:type="dxa"/>
                    <w:right w:w="0" w:type="dxa"/>
                  </w:tcMar>
                  <w:vAlign w:val="bottom"/>
                </w:tcPr>
                <w:p w14:paraId="53164B0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94A110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53</w:t>
                  </w:r>
                </w:p>
              </w:tc>
              <w:tc>
                <w:tcPr>
                  <w:tcW w:w="59" w:type="dxa"/>
                  <w:tcBorders>
                    <w:top w:val="nil"/>
                    <w:left w:val="nil"/>
                    <w:bottom w:val="nil"/>
                    <w:right w:val="nil"/>
                    <w:tl2br w:val="nil"/>
                    <w:tr2bl w:val="nil"/>
                  </w:tcBorders>
                  <w:shd w:val="clear" w:color="auto" w:fill="auto"/>
                  <w:tcMar>
                    <w:left w:w="0" w:type="dxa"/>
                    <w:right w:w="0" w:type="dxa"/>
                  </w:tcMar>
                  <w:vAlign w:val="bottom"/>
                </w:tcPr>
                <w:p w14:paraId="497C3B8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E0522F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107</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661AD43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E4C193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99</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386F7D7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82DF49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w:t>
                  </w:r>
                </w:p>
              </w:tc>
            </w:tr>
            <w:tr w:rsidR="00213131" w:rsidRPr="004D7A72" w14:paraId="3C91EBE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0" w:type="dxa"/>
                    <w:right w:w="0" w:type="dxa"/>
                  </w:tcMar>
                  <w:vAlign w:val="bottom"/>
                </w:tcPr>
                <w:p w14:paraId="36EB113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8"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300C8B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00201A5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A9F9F7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tcMar>
                    <w:left w:w="0" w:type="dxa"/>
                    <w:right w:w="0" w:type="dxa"/>
                  </w:tcMar>
                  <w:vAlign w:val="bottom"/>
                </w:tcPr>
                <w:p w14:paraId="08B5C85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0D287B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67AE665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8988A5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7F00260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3C01FD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5E76198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45138EE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Operating profit (loss)</w:t>
                  </w:r>
                </w:p>
              </w:tc>
              <w:tc>
                <w:tcPr>
                  <w:tcW w:w="1118" w:type="dxa"/>
                  <w:tcBorders>
                    <w:top w:val="nil"/>
                    <w:left w:val="nil"/>
                    <w:bottom w:val="nil"/>
                    <w:right w:val="nil"/>
                    <w:tl2br w:val="nil"/>
                    <w:tr2bl w:val="nil"/>
                  </w:tcBorders>
                  <w:shd w:val="clear" w:color="auto" w:fill="auto"/>
                  <w:noWrap/>
                  <w:tcMar>
                    <w:left w:w="40" w:type="dxa"/>
                    <w:right w:w="175" w:type="dxa"/>
                  </w:tcMar>
                  <w:vAlign w:val="bottom"/>
                </w:tcPr>
                <w:p w14:paraId="1A5DFE2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1,199</w:t>
                  </w:r>
                </w:p>
              </w:tc>
              <w:tc>
                <w:tcPr>
                  <w:tcW w:w="60" w:type="dxa"/>
                  <w:tcBorders>
                    <w:top w:val="nil"/>
                    <w:left w:val="nil"/>
                    <w:bottom w:val="nil"/>
                    <w:right w:val="nil"/>
                    <w:tl2br w:val="nil"/>
                    <w:tr2bl w:val="nil"/>
                  </w:tcBorders>
                  <w:shd w:val="clear" w:color="auto" w:fill="auto"/>
                  <w:tcMar>
                    <w:left w:w="0" w:type="dxa"/>
                    <w:right w:w="0" w:type="dxa"/>
                  </w:tcMar>
                  <w:vAlign w:val="bottom"/>
                </w:tcPr>
                <w:p w14:paraId="22ECB80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6E5D8AE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333</w:t>
                  </w:r>
                </w:p>
              </w:tc>
              <w:tc>
                <w:tcPr>
                  <w:tcW w:w="59" w:type="dxa"/>
                  <w:tcBorders>
                    <w:top w:val="nil"/>
                    <w:left w:val="nil"/>
                    <w:bottom w:val="nil"/>
                    <w:right w:val="nil"/>
                    <w:tl2br w:val="nil"/>
                    <w:tr2bl w:val="nil"/>
                  </w:tcBorders>
                  <w:shd w:val="clear" w:color="auto" w:fill="auto"/>
                  <w:tcMar>
                    <w:left w:w="0" w:type="dxa"/>
                    <w:right w:w="0" w:type="dxa"/>
                  </w:tcMar>
                  <w:vAlign w:val="bottom"/>
                </w:tcPr>
                <w:p w14:paraId="15A7E63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65379B5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815</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214ECD1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671DE01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419</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0029AC5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nil"/>
                    <w:right w:val="nil"/>
                    <w:tl2br w:val="nil"/>
                    <w:tr2bl w:val="nil"/>
                  </w:tcBorders>
                  <w:shd w:val="clear" w:color="auto" w:fill="auto"/>
                  <w:noWrap/>
                  <w:tcMar>
                    <w:left w:w="40" w:type="dxa"/>
                    <w:right w:w="175" w:type="dxa"/>
                  </w:tcMar>
                  <w:vAlign w:val="bottom"/>
                </w:tcPr>
                <w:p w14:paraId="59C4657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(132)</w:t>
                  </w:r>
                </w:p>
              </w:tc>
            </w:tr>
            <w:tr w:rsidR="00213131" w:rsidRPr="004D7A72" w14:paraId="2DDE19A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0" w:type="dxa"/>
                    <w:right w:w="0" w:type="dxa"/>
                  </w:tcMar>
                  <w:vAlign w:val="bottom"/>
                </w:tcPr>
                <w:p w14:paraId="73BDD28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8" w:type="dxa"/>
                  <w:tcBorders>
                    <w:top w:val="nil"/>
                    <w:left w:val="nil"/>
                    <w:bottom w:val="nil"/>
                    <w:right w:val="nil"/>
                    <w:tl2br w:val="nil"/>
                    <w:tr2bl w:val="nil"/>
                  </w:tcBorders>
                  <w:shd w:val="clear" w:color="auto" w:fill="auto"/>
                  <w:noWrap/>
                  <w:tcMar>
                    <w:left w:w="0" w:type="dxa"/>
                    <w:right w:w="135" w:type="dxa"/>
                  </w:tcMar>
                  <w:vAlign w:val="bottom"/>
                </w:tcPr>
                <w:p w14:paraId="5441EB9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7FF6FCC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0" w:type="dxa"/>
                    <w:right w:w="135" w:type="dxa"/>
                  </w:tcMar>
                  <w:vAlign w:val="bottom"/>
                </w:tcPr>
                <w:p w14:paraId="414D509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tcMar>
                    <w:left w:w="0" w:type="dxa"/>
                    <w:right w:w="0" w:type="dxa"/>
                  </w:tcMar>
                  <w:vAlign w:val="bottom"/>
                </w:tcPr>
                <w:p w14:paraId="4E197E1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0" w:type="dxa"/>
                    <w:right w:w="135" w:type="dxa"/>
                  </w:tcMar>
                  <w:vAlign w:val="bottom"/>
                </w:tcPr>
                <w:p w14:paraId="4307B61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19E05F0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0" w:type="dxa"/>
                    <w:right w:w="135" w:type="dxa"/>
                  </w:tcMar>
                  <w:vAlign w:val="bottom"/>
                </w:tcPr>
                <w:p w14:paraId="4FA95F0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2FAED20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nil"/>
                    <w:right w:val="nil"/>
                    <w:tl2br w:val="nil"/>
                    <w:tr2bl w:val="nil"/>
                  </w:tcBorders>
                  <w:shd w:val="clear" w:color="auto" w:fill="auto"/>
                  <w:noWrap/>
                  <w:tcMar>
                    <w:left w:w="0" w:type="dxa"/>
                    <w:right w:w="135" w:type="dxa"/>
                  </w:tcMar>
                  <w:vAlign w:val="bottom"/>
                </w:tcPr>
                <w:p w14:paraId="60BC2B8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5D4A248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3C8C00E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Financing expenses</w:t>
                  </w:r>
                </w:p>
              </w:tc>
              <w:tc>
                <w:tcPr>
                  <w:tcW w:w="1118" w:type="dxa"/>
                  <w:tcBorders>
                    <w:top w:val="nil"/>
                    <w:left w:val="nil"/>
                    <w:bottom w:val="nil"/>
                    <w:right w:val="nil"/>
                    <w:tl2br w:val="nil"/>
                    <w:tr2bl w:val="nil"/>
                  </w:tcBorders>
                  <w:shd w:val="clear" w:color="auto" w:fill="auto"/>
                  <w:noWrap/>
                  <w:tcMar>
                    <w:left w:w="40" w:type="dxa"/>
                    <w:right w:w="175" w:type="dxa"/>
                  </w:tcMar>
                  <w:vAlign w:val="bottom"/>
                </w:tcPr>
                <w:p w14:paraId="620C605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(663)</w:t>
                  </w:r>
                </w:p>
              </w:tc>
              <w:tc>
                <w:tcPr>
                  <w:tcW w:w="60" w:type="dxa"/>
                  <w:tcBorders>
                    <w:top w:val="nil"/>
                    <w:left w:val="nil"/>
                    <w:bottom w:val="nil"/>
                    <w:right w:val="nil"/>
                    <w:tl2br w:val="nil"/>
                    <w:tr2bl w:val="nil"/>
                  </w:tcBorders>
                  <w:shd w:val="clear" w:color="auto" w:fill="auto"/>
                  <w:tcMar>
                    <w:left w:w="0" w:type="dxa"/>
                    <w:right w:w="0" w:type="dxa"/>
                  </w:tcMar>
                  <w:vAlign w:val="bottom"/>
                </w:tcPr>
                <w:p w14:paraId="0FD88DB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01C1BAD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(736)</w:t>
                  </w:r>
                </w:p>
              </w:tc>
              <w:tc>
                <w:tcPr>
                  <w:tcW w:w="59" w:type="dxa"/>
                  <w:tcBorders>
                    <w:top w:val="nil"/>
                    <w:left w:val="nil"/>
                    <w:bottom w:val="nil"/>
                    <w:right w:val="nil"/>
                    <w:tl2br w:val="nil"/>
                    <w:tr2bl w:val="nil"/>
                  </w:tcBorders>
                  <w:shd w:val="clear" w:color="auto" w:fill="auto"/>
                  <w:tcMar>
                    <w:left w:w="0" w:type="dxa"/>
                    <w:right w:w="0" w:type="dxa"/>
                  </w:tcMar>
                  <w:vAlign w:val="bottom"/>
                </w:tcPr>
                <w:p w14:paraId="002897C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30537B7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(370)</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0DB3A03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3F157B4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(395)</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36280A5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nil"/>
                    <w:right w:val="nil"/>
                    <w:tl2br w:val="nil"/>
                    <w:tr2bl w:val="nil"/>
                  </w:tcBorders>
                  <w:shd w:val="clear" w:color="auto" w:fill="auto"/>
                  <w:noWrap/>
                  <w:tcMar>
                    <w:left w:w="40" w:type="dxa"/>
                    <w:right w:w="175" w:type="dxa"/>
                  </w:tcMar>
                  <w:vAlign w:val="bottom"/>
                </w:tcPr>
                <w:p w14:paraId="3921B5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(1,340)</w:t>
                  </w:r>
                </w:p>
              </w:tc>
            </w:tr>
            <w:tr w:rsidR="00213131" w:rsidRPr="004D7A72" w14:paraId="4A78524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0068B2C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Financing income</w:t>
                  </w:r>
                </w:p>
              </w:tc>
              <w:tc>
                <w:tcPr>
                  <w:tcW w:w="1118"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B9E49D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90</w:t>
                  </w:r>
                </w:p>
              </w:tc>
              <w:tc>
                <w:tcPr>
                  <w:tcW w:w="60" w:type="dxa"/>
                  <w:tcBorders>
                    <w:top w:val="nil"/>
                    <w:left w:val="nil"/>
                    <w:bottom w:val="nil"/>
                    <w:right w:val="nil"/>
                    <w:tl2br w:val="nil"/>
                    <w:tr2bl w:val="nil"/>
                  </w:tcBorders>
                  <w:shd w:val="clear" w:color="auto" w:fill="auto"/>
                  <w:tcMar>
                    <w:left w:w="0" w:type="dxa"/>
                    <w:right w:w="0" w:type="dxa"/>
                  </w:tcMar>
                  <w:vAlign w:val="bottom"/>
                </w:tcPr>
                <w:p w14:paraId="1282972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6ED1B7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140</w:t>
                  </w:r>
                </w:p>
              </w:tc>
              <w:tc>
                <w:tcPr>
                  <w:tcW w:w="59" w:type="dxa"/>
                  <w:tcBorders>
                    <w:top w:val="nil"/>
                    <w:left w:val="nil"/>
                    <w:bottom w:val="nil"/>
                    <w:right w:val="nil"/>
                    <w:tl2br w:val="nil"/>
                    <w:tr2bl w:val="nil"/>
                  </w:tcBorders>
                  <w:shd w:val="clear" w:color="auto" w:fill="auto"/>
                  <w:tcMar>
                    <w:left w:w="0" w:type="dxa"/>
                    <w:right w:w="0" w:type="dxa"/>
                  </w:tcMar>
                  <w:vAlign w:val="bottom"/>
                </w:tcPr>
                <w:p w14:paraId="41447B5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B3C151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51</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4B01E97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365AF6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147</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0F05E47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01AAD5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272</w:t>
                  </w:r>
                </w:p>
              </w:tc>
            </w:tr>
            <w:tr w:rsidR="00213131" w:rsidRPr="004D7A72" w14:paraId="6864BD4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0" w:type="dxa"/>
                    <w:right w:w="0" w:type="dxa"/>
                  </w:tcMar>
                  <w:vAlign w:val="bottom"/>
                </w:tcPr>
                <w:p w14:paraId="04F90A7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8"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1144D0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62DCDE4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E488C4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tcMar>
                    <w:left w:w="0" w:type="dxa"/>
                    <w:right w:w="0" w:type="dxa"/>
                  </w:tcMar>
                  <w:vAlign w:val="bottom"/>
                </w:tcPr>
                <w:p w14:paraId="503B7AD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4E4FA5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2F64290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086DA7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4077064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138BAD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631D1E5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7BBDE0D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Income (loss) before taxes on income</w:t>
                  </w:r>
                </w:p>
              </w:tc>
              <w:tc>
                <w:tcPr>
                  <w:tcW w:w="1118" w:type="dxa"/>
                  <w:tcBorders>
                    <w:top w:val="nil"/>
                    <w:left w:val="nil"/>
                    <w:bottom w:val="nil"/>
                    <w:right w:val="nil"/>
                    <w:tl2br w:val="nil"/>
                    <w:tr2bl w:val="nil"/>
                  </w:tcBorders>
                  <w:shd w:val="clear" w:color="auto" w:fill="auto"/>
                  <w:noWrap/>
                  <w:tcMar>
                    <w:left w:w="40" w:type="dxa"/>
                    <w:right w:w="175" w:type="dxa"/>
                  </w:tcMar>
                  <w:vAlign w:val="bottom"/>
                </w:tcPr>
                <w:p w14:paraId="3E68BEE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626</w:t>
                  </w:r>
                </w:p>
              </w:tc>
              <w:tc>
                <w:tcPr>
                  <w:tcW w:w="60" w:type="dxa"/>
                  <w:tcBorders>
                    <w:top w:val="nil"/>
                    <w:left w:val="nil"/>
                    <w:bottom w:val="nil"/>
                    <w:right w:val="nil"/>
                    <w:tl2br w:val="nil"/>
                    <w:tr2bl w:val="nil"/>
                  </w:tcBorders>
                  <w:shd w:val="clear" w:color="auto" w:fill="auto"/>
                  <w:tcMar>
                    <w:left w:w="0" w:type="dxa"/>
                    <w:right w:w="0" w:type="dxa"/>
                  </w:tcMar>
                  <w:vAlign w:val="bottom"/>
                </w:tcPr>
                <w:p w14:paraId="537163F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4013BFD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(263)</w:t>
                  </w:r>
                </w:p>
              </w:tc>
              <w:tc>
                <w:tcPr>
                  <w:tcW w:w="59" w:type="dxa"/>
                  <w:tcBorders>
                    <w:top w:val="nil"/>
                    <w:left w:val="nil"/>
                    <w:bottom w:val="nil"/>
                    <w:right w:val="nil"/>
                    <w:tl2br w:val="nil"/>
                    <w:tr2bl w:val="nil"/>
                  </w:tcBorders>
                  <w:shd w:val="clear" w:color="auto" w:fill="auto"/>
                  <w:tcMar>
                    <w:left w:w="0" w:type="dxa"/>
                    <w:right w:w="0" w:type="dxa"/>
                  </w:tcMar>
                  <w:vAlign w:val="bottom"/>
                </w:tcPr>
                <w:p w14:paraId="50B4345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2C47AF4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496</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551C75A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3FD9BA3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171</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1EC8CAA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nil"/>
                    <w:right w:val="nil"/>
                    <w:tl2br w:val="nil"/>
                    <w:tr2bl w:val="nil"/>
                  </w:tcBorders>
                  <w:shd w:val="clear" w:color="auto" w:fill="auto"/>
                  <w:noWrap/>
                  <w:tcMar>
                    <w:left w:w="40" w:type="dxa"/>
                    <w:right w:w="175" w:type="dxa"/>
                  </w:tcMar>
                  <w:vAlign w:val="bottom"/>
                </w:tcPr>
                <w:p w14:paraId="1814701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(1,200)</w:t>
                  </w:r>
                </w:p>
              </w:tc>
            </w:tr>
            <w:tr w:rsidR="00213131" w:rsidRPr="004D7A72" w14:paraId="736B9B0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6F22A0D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Taxes on income</w:t>
                  </w:r>
                </w:p>
              </w:tc>
              <w:tc>
                <w:tcPr>
                  <w:tcW w:w="1118"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E82184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122</w:t>
                  </w:r>
                </w:p>
              </w:tc>
              <w:tc>
                <w:tcPr>
                  <w:tcW w:w="60" w:type="dxa"/>
                  <w:tcBorders>
                    <w:top w:val="nil"/>
                    <w:left w:val="nil"/>
                    <w:bottom w:val="nil"/>
                    <w:right w:val="nil"/>
                    <w:tl2br w:val="nil"/>
                    <w:tr2bl w:val="nil"/>
                  </w:tcBorders>
                  <w:shd w:val="clear" w:color="auto" w:fill="auto"/>
                  <w:tcMar>
                    <w:left w:w="0" w:type="dxa"/>
                    <w:right w:w="0" w:type="dxa"/>
                  </w:tcMar>
                  <w:vAlign w:val="bottom"/>
                </w:tcPr>
                <w:p w14:paraId="7FEA151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238D1A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37</w:t>
                  </w:r>
                </w:p>
              </w:tc>
              <w:tc>
                <w:tcPr>
                  <w:tcW w:w="59" w:type="dxa"/>
                  <w:tcBorders>
                    <w:top w:val="nil"/>
                    <w:left w:val="nil"/>
                    <w:bottom w:val="nil"/>
                    <w:right w:val="nil"/>
                    <w:tl2br w:val="nil"/>
                    <w:tr2bl w:val="nil"/>
                  </w:tcBorders>
                  <w:shd w:val="clear" w:color="auto" w:fill="auto"/>
                  <w:tcMar>
                    <w:left w:w="0" w:type="dxa"/>
                    <w:right w:w="0" w:type="dxa"/>
                  </w:tcMar>
                  <w:vAlign w:val="bottom"/>
                </w:tcPr>
                <w:p w14:paraId="68CFBE8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4CCDFC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78</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42B127D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151269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73</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4142220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120691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120</w:t>
                  </w:r>
                </w:p>
              </w:tc>
            </w:tr>
            <w:tr w:rsidR="00213131" w:rsidRPr="004D7A72" w14:paraId="1ED9132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02280E7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Net profit (loss)</w:t>
                  </w:r>
                </w:p>
              </w:tc>
              <w:tc>
                <w:tcPr>
                  <w:tcW w:w="1118"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55BF2B9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504</w:t>
                  </w:r>
                </w:p>
              </w:tc>
              <w:tc>
                <w:tcPr>
                  <w:tcW w:w="60" w:type="dxa"/>
                  <w:tcBorders>
                    <w:top w:val="nil"/>
                    <w:left w:val="nil"/>
                    <w:bottom w:val="nil"/>
                    <w:right w:val="nil"/>
                    <w:tl2br w:val="nil"/>
                    <w:tr2bl w:val="nil"/>
                  </w:tcBorders>
                  <w:shd w:val="clear" w:color="auto" w:fill="auto"/>
                  <w:tcMar>
                    <w:left w:w="0" w:type="dxa"/>
                    <w:right w:w="0" w:type="dxa"/>
                  </w:tcMar>
                  <w:vAlign w:val="bottom"/>
                </w:tcPr>
                <w:p w14:paraId="21F91E1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D0388E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(300)</w:t>
                  </w:r>
                </w:p>
              </w:tc>
              <w:tc>
                <w:tcPr>
                  <w:tcW w:w="59" w:type="dxa"/>
                  <w:tcBorders>
                    <w:top w:val="nil"/>
                    <w:left w:val="nil"/>
                    <w:bottom w:val="nil"/>
                    <w:right w:val="nil"/>
                    <w:tl2br w:val="nil"/>
                    <w:tr2bl w:val="nil"/>
                  </w:tcBorders>
                  <w:shd w:val="clear" w:color="auto" w:fill="auto"/>
                  <w:tcMar>
                    <w:left w:w="0" w:type="dxa"/>
                    <w:right w:w="0" w:type="dxa"/>
                  </w:tcMar>
                  <w:vAlign w:val="bottom"/>
                </w:tcPr>
                <w:p w14:paraId="3BA8FDF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5D24793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418</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5B4A6C6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512D5A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98</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54030F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1483C99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(1,320)</w:t>
                  </w:r>
                </w:p>
              </w:tc>
            </w:tr>
            <w:tr w:rsidR="00213131" w:rsidRPr="004D7A72" w14:paraId="72B9787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11" w:type="dxa"/>
                  <w:tcBorders>
                    <w:top w:val="nil"/>
                    <w:left w:val="nil"/>
                    <w:bottom w:val="nil"/>
                    <w:right w:val="nil"/>
                    <w:tl2br w:val="nil"/>
                    <w:tr2bl w:val="nil"/>
                  </w:tcBorders>
                  <w:shd w:val="clear" w:color="auto" w:fill="auto"/>
                  <w:tcMar>
                    <w:left w:w="0" w:type="dxa"/>
                    <w:right w:w="0" w:type="dxa"/>
                  </w:tcMar>
                  <w:vAlign w:val="bottom"/>
                </w:tcPr>
                <w:p w14:paraId="08BF7CB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788" w:type="dxa"/>
                  <w:tcBorders>
                    <w:top w:val="nil"/>
                    <w:left w:val="nil"/>
                    <w:bottom w:val="nil"/>
                    <w:right w:val="nil"/>
                    <w:tl2br w:val="nil"/>
                    <w:tr2bl w:val="nil"/>
                  </w:tcBorders>
                  <w:shd w:val="clear" w:color="auto" w:fill="auto"/>
                  <w:tcMar>
                    <w:left w:w="0" w:type="dxa"/>
                    <w:right w:w="0" w:type="dxa"/>
                  </w:tcMar>
                  <w:vAlign w:val="bottom"/>
                </w:tcPr>
                <w:p w14:paraId="3520DE1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8"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8F3D44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4D23275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8A9315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tcMar>
                    <w:left w:w="0" w:type="dxa"/>
                    <w:right w:w="0" w:type="dxa"/>
                  </w:tcMar>
                  <w:vAlign w:val="bottom"/>
                </w:tcPr>
                <w:p w14:paraId="6DD780D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F75CF6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65A3926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F33E1A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146520B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6A4937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0ADD444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5050722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Attributable to:</w:t>
                  </w:r>
                </w:p>
              </w:tc>
              <w:tc>
                <w:tcPr>
                  <w:tcW w:w="1118" w:type="dxa"/>
                  <w:tcBorders>
                    <w:top w:val="nil"/>
                    <w:left w:val="nil"/>
                    <w:bottom w:val="nil"/>
                    <w:right w:val="nil"/>
                    <w:tl2br w:val="nil"/>
                    <w:tr2bl w:val="nil"/>
                  </w:tcBorders>
                  <w:shd w:val="clear" w:color="auto" w:fill="auto"/>
                  <w:noWrap/>
                  <w:tcMar>
                    <w:left w:w="0" w:type="dxa"/>
                    <w:right w:w="135" w:type="dxa"/>
                  </w:tcMar>
                  <w:vAlign w:val="bottom"/>
                </w:tcPr>
                <w:p w14:paraId="39394B0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65FFBF6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0" w:type="dxa"/>
                    <w:right w:w="135" w:type="dxa"/>
                  </w:tcMar>
                  <w:vAlign w:val="bottom"/>
                </w:tcPr>
                <w:p w14:paraId="1F5EC24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tcMar>
                    <w:left w:w="0" w:type="dxa"/>
                    <w:right w:w="0" w:type="dxa"/>
                  </w:tcMar>
                  <w:vAlign w:val="bottom"/>
                </w:tcPr>
                <w:p w14:paraId="11504BA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0" w:type="dxa"/>
                    <w:right w:w="135" w:type="dxa"/>
                  </w:tcMar>
                  <w:vAlign w:val="bottom"/>
                </w:tcPr>
                <w:p w14:paraId="5072228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45A4448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0" w:type="dxa"/>
                    <w:right w:w="135" w:type="dxa"/>
                  </w:tcMar>
                  <w:vAlign w:val="bottom"/>
                </w:tcPr>
                <w:p w14:paraId="49E4D51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6ACEBC9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nil"/>
                    <w:right w:val="nil"/>
                    <w:tl2br w:val="nil"/>
                    <w:tr2bl w:val="nil"/>
                  </w:tcBorders>
                  <w:shd w:val="clear" w:color="auto" w:fill="auto"/>
                  <w:noWrap/>
                  <w:tcMar>
                    <w:left w:w="0" w:type="dxa"/>
                    <w:right w:w="135" w:type="dxa"/>
                  </w:tcMar>
                  <w:vAlign w:val="bottom"/>
                </w:tcPr>
                <w:p w14:paraId="1826281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4D6F473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6591925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Equity holders of the Company</w:t>
                  </w:r>
                </w:p>
              </w:tc>
              <w:tc>
                <w:tcPr>
                  <w:tcW w:w="1118" w:type="dxa"/>
                  <w:tcBorders>
                    <w:top w:val="nil"/>
                    <w:left w:val="nil"/>
                    <w:bottom w:val="nil"/>
                    <w:right w:val="nil"/>
                    <w:tl2br w:val="nil"/>
                    <w:tr2bl w:val="nil"/>
                  </w:tcBorders>
                  <w:shd w:val="clear" w:color="auto" w:fill="auto"/>
                  <w:noWrap/>
                  <w:tcMar>
                    <w:left w:w="40" w:type="dxa"/>
                    <w:right w:w="175" w:type="dxa"/>
                  </w:tcMar>
                  <w:vAlign w:val="bottom"/>
                </w:tcPr>
                <w:p w14:paraId="1CA8DE9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252</w:t>
                  </w:r>
                </w:p>
              </w:tc>
              <w:tc>
                <w:tcPr>
                  <w:tcW w:w="60" w:type="dxa"/>
                  <w:tcBorders>
                    <w:top w:val="nil"/>
                    <w:left w:val="nil"/>
                    <w:bottom w:val="nil"/>
                    <w:right w:val="nil"/>
                    <w:tl2br w:val="nil"/>
                    <w:tr2bl w:val="nil"/>
                  </w:tcBorders>
                  <w:shd w:val="clear" w:color="auto" w:fill="auto"/>
                  <w:tcMar>
                    <w:left w:w="0" w:type="dxa"/>
                    <w:right w:w="0" w:type="dxa"/>
                  </w:tcMar>
                  <w:vAlign w:val="bottom"/>
                </w:tcPr>
                <w:p w14:paraId="156F1FE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6328398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(512)</w:t>
                  </w:r>
                </w:p>
              </w:tc>
              <w:tc>
                <w:tcPr>
                  <w:tcW w:w="59" w:type="dxa"/>
                  <w:tcBorders>
                    <w:top w:val="nil"/>
                    <w:left w:val="nil"/>
                    <w:bottom w:val="nil"/>
                    <w:right w:val="nil"/>
                    <w:tl2br w:val="nil"/>
                    <w:tr2bl w:val="nil"/>
                  </w:tcBorders>
                  <w:shd w:val="clear" w:color="auto" w:fill="auto"/>
                  <w:tcMar>
                    <w:left w:w="0" w:type="dxa"/>
                    <w:right w:w="0" w:type="dxa"/>
                  </w:tcMar>
                  <w:vAlign w:val="bottom"/>
                </w:tcPr>
                <w:p w14:paraId="19341B5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7F09483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329</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2223887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40" w:type="dxa"/>
                    <w:right w:w="175" w:type="dxa"/>
                  </w:tcMar>
                  <w:vAlign w:val="bottom"/>
                </w:tcPr>
                <w:p w14:paraId="4837496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0C08884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nil"/>
                    <w:right w:val="nil"/>
                    <w:tl2br w:val="nil"/>
                    <w:tr2bl w:val="nil"/>
                  </w:tcBorders>
                  <w:shd w:val="clear" w:color="auto" w:fill="auto"/>
                  <w:noWrap/>
                  <w:tcMar>
                    <w:left w:w="40" w:type="dxa"/>
                    <w:right w:w="175" w:type="dxa"/>
                  </w:tcMar>
                  <w:vAlign w:val="bottom"/>
                </w:tcPr>
                <w:p w14:paraId="3E61EA8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(1,203)</w:t>
                  </w:r>
                </w:p>
              </w:tc>
            </w:tr>
            <w:tr w:rsidR="00213131" w:rsidRPr="004D7A72" w14:paraId="7D526A7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410BBA5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Non-controlling interests</w:t>
                  </w:r>
                </w:p>
              </w:tc>
              <w:tc>
                <w:tcPr>
                  <w:tcW w:w="1118"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9F929C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252</w:t>
                  </w:r>
                </w:p>
              </w:tc>
              <w:tc>
                <w:tcPr>
                  <w:tcW w:w="60" w:type="dxa"/>
                  <w:tcBorders>
                    <w:top w:val="nil"/>
                    <w:left w:val="nil"/>
                    <w:bottom w:val="nil"/>
                    <w:right w:val="nil"/>
                    <w:tl2br w:val="nil"/>
                    <w:tr2bl w:val="nil"/>
                  </w:tcBorders>
                  <w:shd w:val="clear" w:color="auto" w:fill="auto"/>
                  <w:tcMar>
                    <w:left w:w="0" w:type="dxa"/>
                    <w:right w:w="0" w:type="dxa"/>
                  </w:tcMar>
                  <w:vAlign w:val="bottom"/>
                </w:tcPr>
                <w:p w14:paraId="66C550C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AB98C4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212</w:t>
                  </w:r>
                </w:p>
              </w:tc>
              <w:tc>
                <w:tcPr>
                  <w:tcW w:w="59" w:type="dxa"/>
                  <w:tcBorders>
                    <w:top w:val="nil"/>
                    <w:left w:val="nil"/>
                    <w:bottom w:val="nil"/>
                    <w:right w:val="nil"/>
                    <w:tl2br w:val="nil"/>
                    <w:tr2bl w:val="nil"/>
                  </w:tcBorders>
                  <w:shd w:val="clear" w:color="auto" w:fill="auto"/>
                  <w:tcMar>
                    <w:left w:w="0" w:type="dxa"/>
                    <w:right w:w="0" w:type="dxa"/>
                  </w:tcMar>
                  <w:vAlign w:val="bottom"/>
                </w:tcPr>
                <w:p w14:paraId="7B478EC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33C71D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89</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40E7CBA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77B8B6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101</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799FA37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C4EFD2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(117)</w:t>
                  </w:r>
                </w:p>
              </w:tc>
            </w:tr>
            <w:tr w:rsidR="00213131" w:rsidRPr="004D7A72" w14:paraId="61D7908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0" w:type="dxa"/>
                    <w:right w:w="0" w:type="dxa"/>
                  </w:tcMar>
                  <w:vAlign w:val="bottom"/>
                </w:tcPr>
                <w:p w14:paraId="5DCAC14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8"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4665923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504</w:t>
                  </w:r>
                </w:p>
              </w:tc>
              <w:tc>
                <w:tcPr>
                  <w:tcW w:w="60" w:type="dxa"/>
                  <w:tcBorders>
                    <w:top w:val="nil"/>
                    <w:left w:val="nil"/>
                    <w:bottom w:val="nil"/>
                    <w:right w:val="nil"/>
                    <w:tl2br w:val="nil"/>
                    <w:tr2bl w:val="nil"/>
                  </w:tcBorders>
                  <w:shd w:val="clear" w:color="auto" w:fill="auto"/>
                  <w:tcMar>
                    <w:left w:w="0" w:type="dxa"/>
                    <w:right w:w="0" w:type="dxa"/>
                  </w:tcMar>
                  <w:vAlign w:val="bottom"/>
                </w:tcPr>
                <w:p w14:paraId="41A8190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8D43C5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(300)</w:t>
                  </w:r>
                </w:p>
              </w:tc>
              <w:tc>
                <w:tcPr>
                  <w:tcW w:w="59" w:type="dxa"/>
                  <w:tcBorders>
                    <w:top w:val="nil"/>
                    <w:left w:val="nil"/>
                    <w:bottom w:val="nil"/>
                    <w:right w:val="nil"/>
                    <w:tl2br w:val="nil"/>
                    <w:tr2bl w:val="nil"/>
                  </w:tcBorders>
                  <w:shd w:val="clear" w:color="auto" w:fill="auto"/>
                  <w:tcMar>
                    <w:left w:w="0" w:type="dxa"/>
                    <w:right w:w="0" w:type="dxa"/>
                  </w:tcMar>
                  <w:vAlign w:val="bottom"/>
                </w:tcPr>
                <w:p w14:paraId="311ABA0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96081A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418</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3659CF7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2E78B0C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98</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6722334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26172AF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(1,320)</w:t>
                  </w:r>
                </w:p>
              </w:tc>
            </w:tr>
            <w:tr w:rsidR="00213131" w:rsidRPr="004D7A72" w14:paraId="3ED2B16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11" w:type="dxa"/>
                  <w:tcBorders>
                    <w:top w:val="nil"/>
                    <w:left w:val="nil"/>
                    <w:bottom w:val="nil"/>
                    <w:right w:val="nil"/>
                    <w:tl2br w:val="nil"/>
                    <w:tr2bl w:val="nil"/>
                  </w:tcBorders>
                  <w:shd w:val="clear" w:color="auto" w:fill="auto"/>
                  <w:noWrap/>
                  <w:tcMar>
                    <w:left w:w="0" w:type="dxa"/>
                    <w:right w:w="0" w:type="dxa"/>
                  </w:tcMar>
                  <w:vAlign w:val="bottom"/>
                </w:tcPr>
                <w:p w14:paraId="25D08C9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788" w:type="dxa"/>
                  <w:tcBorders>
                    <w:top w:val="nil"/>
                    <w:left w:val="nil"/>
                    <w:bottom w:val="nil"/>
                    <w:right w:val="nil"/>
                    <w:tl2br w:val="nil"/>
                    <w:tr2bl w:val="nil"/>
                  </w:tcBorders>
                  <w:shd w:val="clear" w:color="auto" w:fill="auto"/>
                  <w:noWrap/>
                  <w:tcMar>
                    <w:left w:w="0" w:type="dxa"/>
                    <w:right w:w="0" w:type="dxa"/>
                  </w:tcMar>
                  <w:vAlign w:val="bottom"/>
                </w:tcPr>
                <w:p w14:paraId="4CAE7F3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8"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D53D65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7453CF7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E4B7AC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40B1D6B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187340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3AE49D1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F6AF79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75A9FDD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57B860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33A295C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33ECD952"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Net earnings (loss) per share attributable to equity holders of the Company (NIS)</w:t>
                  </w:r>
                </w:p>
              </w:tc>
              <w:tc>
                <w:tcPr>
                  <w:tcW w:w="1118" w:type="dxa"/>
                  <w:tcBorders>
                    <w:top w:val="nil"/>
                    <w:left w:val="nil"/>
                    <w:bottom w:val="nil"/>
                    <w:right w:val="nil"/>
                    <w:tl2br w:val="nil"/>
                    <w:tr2bl w:val="nil"/>
                  </w:tcBorders>
                  <w:shd w:val="clear" w:color="auto" w:fill="auto"/>
                  <w:noWrap/>
                  <w:tcMar>
                    <w:left w:w="0" w:type="dxa"/>
                    <w:right w:w="0" w:type="dxa"/>
                  </w:tcMar>
                  <w:vAlign w:val="bottom"/>
                </w:tcPr>
                <w:p w14:paraId="2059DFE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32EF74D7"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117" w:type="dxa"/>
                  <w:tcBorders>
                    <w:top w:val="nil"/>
                    <w:left w:val="nil"/>
                    <w:bottom w:val="nil"/>
                    <w:right w:val="nil"/>
                    <w:tl2br w:val="nil"/>
                    <w:tr2bl w:val="nil"/>
                  </w:tcBorders>
                  <w:shd w:val="clear" w:color="auto" w:fill="auto"/>
                  <w:noWrap/>
                  <w:tcMar>
                    <w:left w:w="0" w:type="dxa"/>
                    <w:right w:w="0" w:type="dxa"/>
                  </w:tcMar>
                  <w:vAlign w:val="bottom"/>
                </w:tcPr>
                <w:p w14:paraId="2762205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tcMar>
                    <w:left w:w="0" w:type="dxa"/>
                    <w:right w:w="0" w:type="dxa"/>
                  </w:tcMar>
                  <w:vAlign w:val="bottom"/>
                </w:tcPr>
                <w:p w14:paraId="7A807BD4"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117" w:type="dxa"/>
                  <w:tcBorders>
                    <w:top w:val="nil"/>
                    <w:left w:val="nil"/>
                    <w:bottom w:val="nil"/>
                    <w:right w:val="nil"/>
                    <w:tl2br w:val="nil"/>
                    <w:tr2bl w:val="nil"/>
                  </w:tcBorders>
                  <w:shd w:val="clear" w:color="auto" w:fill="auto"/>
                  <w:noWrap/>
                  <w:tcMar>
                    <w:left w:w="0" w:type="dxa"/>
                    <w:right w:w="0" w:type="dxa"/>
                  </w:tcMar>
                  <w:vAlign w:val="bottom"/>
                </w:tcPr>
                <w:p w14:paraId="2E1B715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6DD91F0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nil"/>
                    <w:right w:val="nil"/>
                    <w:tl2br w:val="nil"/>
                    <w:tr2bl w:val="nil"/>
                  </w:tcBorders>
                  <w:shd w:val="clear" w:color="auto" w:fill="auto"/>
                  <w:noWrap/>
                  <w:tcMar>
                    <w:left w:w="0" w:type="dxa"/>
                    <w:right w:w="0" w:type="dxa"/>
                  </w:tcMar>
                  <w:vAlign w:val="bottom"/>
                </w:tcPr>
                <w:p w14:paraId="3D874CD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0A9CC2E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nil"/>
                    <w:right w:val="nil"/>
                    <w:tl2br w:val="nil"/>
                    <w:tr2bl w:val="nil"/>
                  </w:tcBorders>
                  <w:shd w:val="clear" w:color="auto" w:fill="auto"/>
                  <w:noWrap/>
                  <w:tcMar>
                    <w:left w:w="0" w:type="dxa"/>
                    <w:right w:w="0" w:type="dxa"/>
                  </w:tcMar>
                  <w:vAlign w:val="bottom"/>
                </w:tcPr>
                <w:p w14:paraId="3AED109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45A1334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099" w:type="dxa"/>
                  <w:gridSpan w:val="2"/>
                  <w:tcBorders>
                    <w:top w:val="nil"/>
                    <w:left w:val="nil"/>
                    <w:bottom w:val="nil"/>
                    <w:right w:val="nil"/>
                    <w:tl2br w:val="nil"/>
                    <w:tr2bl w:val="nil"/>
                  </w:tcBorders>
                  <w:shd w:val="clear" w:color="auto" w:fill="auto"/>
                  <w:tcMar>
                    <w:left w:w="40" w:type="dxa"/>
                    <w:right w:w="40" w:type="dxa"/>
                  </w:tcMar>
                  <w:vAlign w:val="bottom"/>
                </w:tcPr>
                <w:p w14:paraId="7F589EB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Total basic net earnings (loss)</w:t>
                  </w:r>
                </w:p>
              </w:tc>
              <w:tc>
                <w:tcPr>
                  <w:tcW w:w="1118"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5CF131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1.36</w:t>
                  </w:r>
                </w:p>
              </w:tc>
              <w:tc>
                <w:tcPr>
                  <w:tcW w:w="60" w:type="dxa"/>
                  <w:tcBorders>
                    <w:top w:val="nil"/>
                    <w:left w:val="nil"/>
                    <w:bottom w:val="nil"/>
                    <w:right w:val="nil"/>
                    <w:tl2br w:val="nil"/>
                    <w:tr2bl w:val="nil"/>
                  </w:tcBorders>
                  <w:shd w:val="clear" w:color="auto" w:fill="auto"/>
                  <w:tcMar>
                    <w:left w:w="0" w:type="dxa"/>
                    <w:right w:w="0" w:type="dxa"/>
                  </w:tcMar>
                  <w:vAlign w:val="bottom"/>
                </w:tcPr>
                <w:p w14:paraId="741BAC5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4AEBF9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(2.93)</w:t>
                  </w:r>
                </w:p>
              </w:tc>
              <w:tc>
                <w:tcPr>
                  <w:tcW w:w="59" w:type="dxa"/>
                  <w:tcBorders>
                    <w:top w:val="nil"/>
                    <w:left w:val="nil"/>
                    <w:bottom w:val="nil"/>
                    <w:right w:val="nil"/>
                    <w:tl2br w:val="nil"/>
                    <w:tr2bl w:val="nil"/>
                  </w:tcBorders>
                  <w:shd w:val="clear" w:color="auto" w:fill="auto"/>
                  <w:tcMar>
                    <w:left w:w="0" w:type="dxa"/>
                    <w:right w:w="0" w:type="dxa"/>
                  </w:tcMar>
                  <w:vAlign w:val="bottom"/>
                </w:tcPr>
                <w:p w14:paraId="1EFA1E1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7C611E5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1.77</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34D5BC1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69E432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(0.01)</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008420B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7E7E09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(6.79)</w:t>
                  </w:r>
                </w:p>
              </w:tc>
            </w:tr>
            <w:tr w:rsidR="00213131" w:rsidRPr="004D7A72" w14:paraId="2907512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9"/>
              </w:trPr>
              <w:tc>
                <w:tcPr>
                  <w:tcW w:w="4099" w:type="dxa"/>
                  <w:gridSpan w:val="2"/>
                  <w:tcBorders>
                    <w:top w:val="nil"/>
                    <w:left w:val="nil"/>
                    <w:bottom w:val="nil"/>
                    <w:right w:val="nil"/>
                    <w:tl2br w:val="nil"/>
                    <w:tr2bl w:val="nil"/>
                  </w:tcBorders>
                  <w:shd w:val="clear" w:color="auto" w:fill="auto"/>
                  <w:noWrap/>
                  <w:tcMar>
                    <w:left w:w="40" w:type="dxa"/>
                    <w:right w:w="40" w:type="dxa"/>
                  </w:tcMar>
                  <w:vAlign w:val="bottom"/>
                </w:tcPr>
                <w:p w14:paraId="5439890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Total diluted net earnings (loss)</w:t>
                  </w:r>
                </w:p>
              </w:tc>
              <w:tc>
                <w:tcPr>
                  <w:tcW w:w="1118"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3E4AC80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1.22</w:t>
                  </w: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55E7AED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342C790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(2.94)</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292CD1F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378006A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1.54</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458C6CF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373E1FD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(0.01)</w:t>
                  </w: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6557831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260" w:type="dxa"/>
                  <w:tcBorders>
                    <w:top w:val="double" w:sz="6" w:space="0" w:color="000000"/>
                    <w:left w:val="nil"/>
                    <w:bottom w:val="double" w:sz="6" w:space="0" w:color="000000"/>
                    <w:right w:val="nil"/>
                    <w:tl2br w:val="nil"/>
                    <w:tr2bl w:val="nil"/>
                  </w:tcBorders>
                  <w:shd w:val="clear" w:color="auto" w:fill="auto"/>
                  <w:noWrap/>
                  <w:tcMar>
                    <w:left w:w="40" w:type="dxa"/>
                    <w:right w:w="175" w:type="dxa"/>
                  </w:tcMar>
                  <w:vAlign w:val="bottom"/>
                </w:tcPr>
                <w:p w14:paraId="694C23D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(6.79)</w:t>
                  </w:r>
                </w:p>
              </w:tc>
            </w:tr>
            <w:tr w:rsidR="00213131" w:rsidRPr="004D7A72" w14:paraId="27DDE42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11" w:type="dxa"/>
                  <w:tcBorders>
                    <w:top w:val="nil"/>
                    <w:left w:val="nil"/>
                    <w:bottom w:val="nil"/>
                    <w:right w:val="nil"/>
                    <w:tl2br w:val="nil"/>
                    <w:tr2bl w:val="nil"/>
                  </w:tcBorders>
                  <w:shd w:val="clear" w:color="auto" w:fill="auto"/>
                  <w:noWrap/>
                  <w:tcMar>
                    <w:left w:w="0" w:type="dxa"/>
                    <w:right w:w="0" w:type="dxa"/>
                  </w:tcMar>
                  <w:vAlign w:val="bottom"/>
                </w:tcPr>
                <w:p w14:paraId="18C06C6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788" w:type="dxa"/>
                  <w:tcBorders>
                    <w:top w:val="nil"/>
                    <w:left w:val="nil"/>
                    <w:bottom w:val="nil"/>
                    <w:right w:val="nil"/>
                    <w:tl2br w:val="nil"/>
                    <w:tr2bl w:val="nil"/>
                  </w:tcBorders>
                  <w:shd w:val="clear" w:color="auto" w:fill="auto"/>
                  <w:noWrap/>
                  <w:tcMar>
                    <w:left w:w="0" w:type="dxa"/>
                    <w:right w:w="0" w:type="dxa"/>
                  </w:tcMar>
                  <w:vAlign w:val="bottom"/>
                </w:tcPr>
                <w:p w14:paraId="290A95B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8"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61E441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2227833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0E2CDA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77F810E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7"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2AD3F3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4B5EFDF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7"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641D68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59" w:type="dxa"/>
                  <w:tcBorders>
                    <w:top w:val="nil"/>
                    <w:left w:val="nil"/>
                    <w:bottom w:val="nil"/>
                    <w:right w:val="nil"/>
                    <w:tl2br w:val="nil"/>
                    <w:tr2bl w:val="nil"/>
                  </w:tcBorders>
                  <w:shd w:val="clear" w:color="auto" w:fill="auto"/>
                  <w:noWrap/>
                  <w:tcMar>
                    <w:left w:w="0" w:type="dxa"/>
                    <w:right w:w="0" w:type="dxa"/>
                  </w:tcMar>
                  <w:vAlign w:val="bottom"/>
                </w:tcPr>
                <w:p w14:paraId="76CFFC2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26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409D28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r>
            <w:tr w:rsidR="00213131" w:rsidRPr="004D7A72" w14:paraId="6D8E5D6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10065" w:type="dxa"/>
                  <w:gridSpan w:val="11"/>
                  <w:tcBorders>
                    <w:top w:val="nil"/>
                    <w:left w:val="nil"/>
                    <w:bottom w:val="nil"/>
                    <w:right w:val="nil"/>
                    <w:tl2br w:val="nil"/>
                    <w:tr2bl w:val="nil"/>
                  </w:tcBorders>
                  <w:shd w:val="clear" w:color="auto" w:fill="auto"/>
                  <w:noWrap/>
                  <w:tcMar>
                    <w:left w:w="40" w:type="dxa"/>
                    <w:right w:w="40" w:type="dxa"/>
                  </w:tcMar>
                  <w:vAlign w:val="bottom"/>
                </w:tcPr>
                <w:p w14:paraId="0686699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The accompanying notes constitute an integral part of these consolidated interim financial statements.</w:t>
                  </w:r>
                </w:p>
              </w:tc>
            </w:tr>
          </w:tbl>
          <w:p w14:paraId="09A279E3" w14:textId="77777777" w:rsidR="00213131" w:rsidRPr="004D7A72" w:rsidRDefault="00213131" w:rsidP="00A65A6F">
            <w:pPr>
              <w:rPr>
                <w:rFonts w:asciiTheme="majorBidi" w:hAnsiTheme="majorBidi" w:cstheme="majorBidi"/>
              </w:rPr>
            </w:pPr>
          </w:p>
        </w:tc>
      </w:tr>
    </w:tbl>
    <w:p w14:paraId="35396B39" w14:textId="77777777" w:rsidR="00213131" w:rsidRPr="004D7A72" w:rsidRDefault="00213131" w:rsidP="00213131">
      <w:pPr>
        <w:spacing w:after="200"/>
        <w:rPr>
          <w:rFonts w:asciiTheme="majorBidi" w:hAnsiTheme="majorBidi" w:cstheme="majorBidi"/>
          <w:vanish/>
        </w:rPr>
        <w:sectPr w:rsidR="00213131" w:rsidRPr="004D7A72" w:rsidSect="001015E6">
          <w:headerReference w:type="even" r:id="rId40"/>
          <w:headerReference w:type="default" r:id="rId41"/>
          <w:footerReference w:type="even" r:id="rId42"/>
          <w:footerReference w:type="default" r:id="rId43"/>
          <w:headerReference w:type="first" r:id="rId44"/>
          <w:footerReference w:type="first" r:id="rId45"/>
          <w:footnotePr>
            <w:numRestart w:val="eachPage"/>
          </w:footnotePr>
          <w:type w:val="continuous"/>
          <w:pgSz w:w="11906" w:h="16838"/>
          <w:pgMar w:top="1159" w:right="992" w:bottom="1134" w:left="992" w:header="567" w:footer="567" w:gutter="0"/>
          <w:pgBorders>
            <w:top w:val="nil"/>
            <w:left w:val="nil"/>
            <w:bottom w:val="nil"/>
            <w:right w:val="nil"/>
          </w:pgBorders>
          <w:cols w:space="720"/>
          <w:rtlGutter/>
          <w:docGrid w:linePitch="360"/>
        </w:sectPr>
      </w:pPr>
    </w:p>
    <w:p w14:paraId="76D34318" w14:textId="77777777" w:rsidR="00213131" w:rsidRPr="004D7A72" w:rsidRDefault="00213131" w:rsidP="00213131">
      <w:pPr>
        <w:pageBreakBefore/>
        <w:rPr>
          <w:rFonts w:asciiTheme="majorBidi" w:hAnsiTheme="majorBidi" w:cstheme="majorBidi"/>
          <w:vanish/>
        </w:rPr>
      </w:pPr>
      <w:bookmarkStart w:id="131" w:name="RG_MARKER_56639"/>
      <w:bookmarkStart w:id="132" w:name="RG_MARKER_56584"/>
      <w:bookmarkEnd w:id="131"/>
      <w:bookmarkEnd w:id="1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213131" w:rsidRPr="004D7A72" w14:paraId="57916DB2" w14:textId="77777777" w:rsidTr="00A65A6F">
        <w:trPr>
          <w:cantSplit/>
        </w:trPr>
        <w:tc>
          <w:tcPr>
            <w:tcW w:w="9922" w:type="dxa"/>
          </w:tcPr>
          <w:tbl>
            <w:tblPr>
              <w:tblStyle w:val="CDMRange1"/>
              <w:tblW w:w="10206" w:type="dxa"/>
              <w:tblLook w:val="0600" w:firstRow="0" w:lastRow="0" w:firstColumn="0" w:lastColumn="0" w:noHBand="1" w:noVBand="1"/>
            </w:tblPr>
            <w:tblGrid>
              <w:gridCol w:w="340"/>
              <w:gridCol w:w="340"/>
              <w:gridCol w:w="3376"/>
              <w:gridCol w:w="1084"/>
              <w:gridCol w:w="44"/>
              <w:gridCol w:w="1084"/>
              <w:gridCol w:w="44"/>
              <w:gridCol w:w="1084"/>
              <w:gridCol w:w="44"/>
              <w:gridCol w:w="1084"/>
              <w:gridCol w:w="44"/>
              <w:gridCol w:w="1354"/>
            </w:tblGrid>
            <w:tr w:rsidR="00213131" w:rsidRPr="004D7A72" w14:paraId="37F4D2AF" w14:textId="77777777" w:rsidTr="00A65A6F">
              <w:trPr>
                <w:cantSplit/>
                <w:trHeight w:val="300"/>
              </w:trPr>
              <w:tc>
                <w:tcPr>
                  <w:tcW w:w="338" w:type="dxa"/>
                  <w:tcBorders>
                    <w:top w:val="nil"/>
                    <w:left w:val="nil"/>
                    <w:bottom w:val="nil"/>
                    <w:right w:val="nil"/>
                    <w:tl2br w:val="nil"/>
                    <w:tr2bl w:val="nil"/>
                  </w:tcBorders>
                  <w:shd w:val="clear" w:color="auto" w:fill="auto"/>
                  <w:noWrap/>
                  <w:tcMar>
                    <w:left w:w="0" w:type="dxa"/>
                    <w:right w:w="0" w:type="dxa"/>
                  </w:tcMar>
                  <w:vAlign w:val="bottom"/>
                </w:tcPr>
                <w:p w14:paraId="21C1E44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38" w:type="dxa"/>
                  <w:tcBorders>
                    <w:top w:val="nil"/>
                    <w:left w:val="nil"/>
                    <w:bottom w:val="nil"/>
                    <w:right w:val="nil"/>
                    <w:tl2br w:val="nil"/>
                    <w:tr2bl w:val="nil"/>
                  </w:tcBorders>
                  <w:shd w:val="clear" w:color="auto" w:fill="auto"/>
                  <w:noWrap/>
                  <w:tcMar>
                    <w:left w:w="0" w:type="dxa"/>
                    <w:right w:w="0" w:type="dxa"/>
                  </w:tcMar>
                  <w:vAlign w:val="bottom"/>
                </w:tcPr>
                <w:p w14:paraId="2660767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546" w:type="dxa"/>
                  <w:tcBorders>
                    <w:top w:val="nil"/>
                    <w:left w:val="nil"/>
                    <w:bottom w:val="nil"/>
                    <w:right w:val="nil"/>
                    <w:tl2br w:val="nil"/>
                    <w:tr2bl w:val="nil"/>
                  </w:tcBorders>
                  <w:shd w:val="clear" w:color="auto" w:fill="auto"/>
                  <w:noWrap/>
                  <w:tcMar>
                    <w:left w:w="0" w:type="dxa"/>
                    <w:right w:w="0" w:type="dxa"/>
                  </w:tcMar>
                  <w:vAlign w:val="bottom"/>
                </w:tcPr>
                <w:p w14:paraId="5DAD0C1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262"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52B6BBC8"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 xml:space="preserve">Six months ended </w:t>
                  </w:r>
                </w:p>
                <w:p w14:paraId="474EBC2D"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June 30</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295DFF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262"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3ABEDE5A"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 xml:space="preserve">Three months ended </w:t>
                  </w:r>
                </w:p>
                <w:p w14:paraId="4764FCAF"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June 30</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83EA53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400" w:type="dxa"/>
                  <w:tcBorders>
                    <w:top w:val="nil"/>
                    <w:left w:val="nil"/>
                    <w:bottom w:val="nil"/>
                    <w:right w:val="nil"/>
                    <w:tl2br w:val="nil"/>
                    <w:tr2bl w:val="nil"/>
                  </w:tcBorders>
                  <w:shd w:val="clear" w:color="auto" w:fill="auto"/>
                  <w:tcMar>
                    <w:left w:w="43" w:type="dxa"/>
                    <w:right w:w="43" w:type="dxa"/>
                  </w:tcMar>
                  <w:vAlign w:val="bottom"/>
                </w:tcPr>
                <w:p w14:paraId="6653CD38"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Year ended December 31</w:t>
                  </w:r>
                </w:p>
              </w:tc>
            </w:tr>
            <w:tr w:rsidR="00213131" w:rsidRPr="004D7A72" w14:paraId="4F8358E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8" w:type="dxa"/>
                  <w:tcBorders>
                    <w:top w:val="nil"/>
                    <w:left w:val="nil"/>
                    <w:bottom w:val="nil"/>
                    <w:right w:val="nil"/>
                    <w:tl2br w:val="nil"/>
                    <w:tr2bl w:val="nil"/>
                  </w:tcBorders>
                  <w:shd w:val="clear" w:color="auto" w:fill="auto"/>
                  <w:noWrap/>
                  <w:tcMar>
                    <w:left w:w="0" w:type="dxa"/>
                    <w:right w:w="0" w:type="dxa"/>
                  </w:tcMar>
                  <w:vAlign w:val="bottom"/>
                </w:tcPr>
                <w:p w14:paraId="4643484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38" w:type="dxa"/>
                  <w:tcBorders>
                    <w:top w:val="nil"/>
                    <w:left w:val="nil"/>
                    <w:bottom w:val="nil"/>
                    <w:right w:val="nil"/>
                    <w:tl2br w:val="nil"/>
                    <w:tr2bl w:val="nil"/>
                  </w:tcBorders>
                  <w:shd w:val="clear" w:color="auto" w:fill="auto"/>
                  <w:noWrap/>
                  <w:tcMar>
                    <w:left w:w="0" w:type="dxa"/>
                    <w:right w:w="0" w:type="dxa"/>
                  </w:tcMar>
                  <w:vAlign w:val="bottom"/>
                </w:tcPr>
                <w:p w14:paraId="1E38E1A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546" w:type="dxa"/>
                  <w:tcBorders>
                    <w:top w:val="nil"/>
                    <w:left w:val="nil"/>
                    <w:bottom w:val="nil"/>
                    <w:right w:val="nil"/>
                    <w:tl2br w:val="nil"/>
                    <w:tr2bl w:val="nil"/>
                  </w:tcBorders>
                  <w:shd w:val="clear" w:color="auto" w:fill="auto"/>
                  <w:noWrap/>
                  <w:tcMar>
                    <w:left w:w="0" w:type="dxa"/>
                    <w:right w:w="0" w:type="dxa"/>
                  </w:tcMar>
                  <w:vAlign w:val="bottom"/>
                </w:tcPr>
                <w:p w14:paraId="073581F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2AC6857E"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2024</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FBFA2F"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116"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09B99486"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F839C0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670610C9"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2024</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BED119"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116"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2968A35F"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E502D95"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400" w:type="dxa"/>
                  <w:tcBorders>
                    <w:top w:val="nil"/>
                    <w:left w:val="nil"/>
                    <w:bottom w:val="single" w:sz="4" w:space="0" w:color="000000"/>
                    <w:right w:val="nil"/>
                    <w:tl2br w:val="nil"/>
                    <w:tr2bl w:val="nil"/>
                  </w:tcBorders>
                  <w:shd w:val="clear" w:color="auto" w:fill="auto"/>
                  <w:noWrap/>
                  <w:tcMar>
                    <w:left w:w="43" w:type="dxa"/>
                    <w:right w:w="43" w:type="dxa"/>
                  </w:tcMar>
                  <w:vAlign w:val="bottom"/>
                </w:tcPr>
                <w:p w14:paraId="54F17E33"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r>
            <w:tr w:rsidR="00213131" w:rsidRPr="004D7A72" w14:paraId="7C38974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8" w:type="dxa"/>
                  <w:tcBorders>
                    <w:top w:val="nil"/>
                    <w:left w:val="nil"/>
                    <w:bottom w:val="nil"/>
                    <w:right w:val="nil"/>
                    <w:tl2br w:val="nil"/>
                    <w:tr2bl w:val="nil"/>
                  </w:tcBorders>
                  <w:shd w:val="clear" w:color="auto" w:fill="auto"/>
                  <w:noWrap/>
                  <w:tcMar>
                    <w:left w:w="0" w:type="dxa"/>
                    <w:right w:w="0" w:type="dxa"/>
                  </w:tcMar>
                  <w:vAlign w:val="bottom"/>
                </w:tcPr>
                <w:p w14:paraId="7CF6386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38" w:type="dxa"/>
                  <w:tcBorders>
                    <w:top w:val="nil"/>
                    <w:left w:val="nil"/>
                    <w:bottom w:val="nil"/>
                    <w:right w:val="nil"/>
                    <w:tl2br w:val="nil"/>
                    <w:tr2bl w:val="nil"/>
                  </w:tcBorders>
                  <w:shd w:val="clear" w:color="auto" w:fill="auto"/>
                  <w:noWrap/>
                  <w:tcMar>
                    <w:left w:w="0" w:type="dxa"/>
                    <w:right w:w="0" w:type="dxa"/>
                  </w:tcMar>
                  <w:vAlign w:val="bottom"/>
                </w:tcPr>
                <w:p w14:paraId="0CDDF6B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546" w:type="dxa"/>
                  <w:tcBorders>
                    <w:top w:val="nil"/>
                    <w:left w:val="nil"/>
                    <w:bottom w:val="nil"/>
                    <w:right w:val="nil"/>
                    <w:tl2br w:val="nil"/>
                    <w:tr2bl w:val="nil"/>
                  </w:tcBorders>
                  <w:shd w:val="clear" w:color="auto" w:fill="auto"/>
                  <w:noWrap/>
                  <w:tcMar>
                    <w:left w:w="0" w:type="dxa"/>
                    <w:right w:w="0" w:type="dxa"/>
                  </w:tcMar>
                  <w:vAlign w:val="bottom"/>
                </w:tcPr>
                <w:p w14:paraId="3A4ED91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4554" w:type="dxa"/>
                  <w:gridSpan w:val="7"/>
                  <w:tcBorders>
                    <w:top w:val="nil"/>
                    <w:left w:val="nil"/>
                    <w:bottom w:val="single" w:sz="4" w:space="0" w:color="000000"/>
                    <w:right w:val="nil"/>
                    <w:tl2br w:val="nil"/>
                    <w:tr2bl w:val="nil"/>
                  </w:tcBorders>
                  <w:shd w:val="clear" w:color="auto" w:fill="auto"/>
                  <w:noWrap/>
                  <w:tcMar>
                    <w:left w:w="43" w:type="dxa"/>
                    <w:right w:w="43" w:type="dxa"/>
                  </w:tcMar>
                  <w:vAlign w:val="bottom"/>
                </w:tcPr>
                <w:p w14:paraId="7DEA5469"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Unaudited</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1B54E49" w14:textId="77777777" w:rsidR="00213131" w:rsidRPr="004D7A72" w:rsidRDefault="00213131" w:rsidP="00A65A6F">
                  <w:pPr>
                    <w:keepNext/>
                    <w:spacing w:before="0" w:after="0"/>
                    <w:jc w:val="left"/>
                    <w:rPr>
                      <w:rFonts w:asciiTheme="majorBidi" w:eastAsia="Ploni ML Medium AAA Medium" w:hAnsiTheme="majorBidi" w:cstheme="majorBidi"/>
                      <w:b/>
                      <w:color w:val="000000"/>
                    </w:rPr>
                  </w:pPr>
                </w:p>
              </w:tc>
              <w:tc>
                <w:tcPr>
                  <w:tcW w:w="1400"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43891006"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Audited</w:t>
                  </w:r>
                </w:p>
              </w:tc>
            </w:tr>
            <w:tr w:rsidR="00213131" w:rsidRPr="004D7A72" w14:paraId="01F45F8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38" w:type="dxa"/>
                  <w:tcBorders>
                    <w:top w:val="nil"/>
                    <w:left w:val="nil"/>
                    <w:bottom w:val="nil"/>
                    <w:right w:val="nil"/>
                    <w:tl2br w:val="nil"/>
                    <w:tr2bl w:val="nil"/>
                  </w:tcBorders>
                  <w:shd w:val="clear" w:color="auto" w:fill="auto"/>
                  <w:noWrap/>
                  <w:tcMar>
                    <w:left w:w="0" w:type="dxa"/>
                    <w:right w:w="0" w:type="dxa"/>
                  </w:tcMar>
                  <w:vAlign w:val="bottom"/>
                </w:tcPr>
                <w:p w14:paraId="2210B4F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38" w:type="dxa"/>
                  <w:tcBorders>
                    <w:top w:val="nil"/>
                    <w:left w:val="nil"/>
                    <w:bottom w:val="nil"/>
                    <w:right w:val="nil"/>
                    <w:tl2br w:val="nil"/>
                    <w:tr2bl w:val="nil"/>
                  </w:tcBorders>
                  <w:shd w:val="clear" w:color="auto" w:fill="auto"/>
                  <w:noWrap/>
                  <w:tcMar>
                    <w:left w:w="0" w:type="dxa"/>
                    <w:right w:w="0" w:type="dxa"/>
                  </w:tcMar>
                  <w:vAlign w:val="bottom"/>
                </w:tcPr>
                <w:p w14:paraId="75FA714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546" w:type="dxa"/>
                  <w:tcBorders>
                    <w:top w:val="nil"/>
                    <w:left w:val="nil"/>
                    <w:bottom w:val="nil"/>
                    <w:right w:val="nil"/>
                    <w:tl2br w:val="nil"/>
                    <w:tr2bl w:val="nil"/>
                  </w:tcBorders>
                  <w:shd w:val="clear" w:color="auto" w:fill="auto"/>
                  <w:noWrap/>
                  <w:tcMar>
                    <w:left w:w="0" w:type="dxa"/>
                    <w:right w:w="0" w:type="dxa"/>
                  </w:tcMar>
                  <w:vAlign w:val="bottom"/>
                </w:tcPr>
                <w:p w14:paraId="23D8373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5984" w:type="dxa"/>
                  <w:gridSpan w:val="9"/>
                  <w:tcBorders>
                    <w:top w:val="nil"/>
                    <w:left w:val="nil"/>
                    <w:bottom w:val="single" w:sz="4" w:space="0" w:color="000000"/>
                    <w:right w:val="nil"/>
                    <w:tl2br w:val="nil"/>
                    <w:tr2bl w:val="nil"/>
                  </w:tcBorders>
                  <w:shd w:val="clear" w:color="auto" w:fill="auto"/>
                  <w:tcMar>
                    <w:left w:w="43" w:type="dxa"/>
                    <w:right w:w="43" w:type="dxa"/>
                  </w:tcMar>
                  <w:vAlign w:val="bottom"/>
                </w:tcPr>
                <w:p w14:paraId="38CBEA9D"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NIS million</w:t>
                  </w:r>
                </w:p>
              </w:tc>
            </w:tr>
            <w:tr w:rsidR="00213131" w:rsidRPr="004D7A72" w14:paraId="7771304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22" w:type="dxa"/>
                  <w:gridSpan w:val="3"/>
                  <w:tcBorders>
                    <w:top w:val="nil"/>
                    <w:left w:val="nil"/>
                    <w:bottom w:val="nil"/>
                    <w:right w:val="nil"/>
                    <w:tl2br w:val="nil"/>
                    <w:tr2bl w:val="nil"/>
                  </w:tcBorders>
                  <w:shd w:val="clear" w:color="auto" w:fill="auto"/>
                  <w:noWrap/>
                  <w:tcMar>
                    <w:left w:w="43" w:type="dxa"/>
                    <w:right w:w="43" w:type="dxa"/>
                  </w:tcMar>
                  <w:vAlign w:val="bottom"/>
                </w:tcPr>
                <w:p w14:paraId="1700A2D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Net profit (loss)</w:t>
                  </w:r>
                </w:p>
              </w:tc>
              <w:tc>
                <w:tcPr>
                  <w:tcW w:w="1116"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E74F1A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504</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6827D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31CDC44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(300)</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EF380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1D45176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418</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A04A8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6657CAA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98</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071A2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188312B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(1,320)</w:t>
                  </w:r>
                </w:p>
              </w:tc>
            </w:tr>
            <w:tr w:rsidR="00213131" w:rsidRPr="004D7A72" w14:paraId="10B9147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8" w:type="dxa"/>
                  <w:tcBorders>
                    <w:top w:val="nil"/>
                    <w:left w:val="nil"/>
                    <w:bottom w:val="nil"/>
                    <w:right w:val="nil"/>
                    <w:tl2br w:val="nil"/>
                    <w:tr2bl w:val="nil"/>
                  </w:tcBorders>
                  <w:shd w:val="clear" w:color="auto" w:fill="auto"/>
                  <w:noWrap/>
                  <w:tcMar>
                    <w:left w:w="0" w:type="dxa"/>
                    <w:right w:w="0" w:type="dxa"/>
                  </w:tcMar>
                  <w:vAlign w:val="bottom"/>
                </w:tcPr>
                <w:p w14:paraId="4C55BFB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38" w:type="dxa"/>
                  <w:tcBorders>
                    <w:top w:val="nil"/>
                    <w:left w:val="nil"/>
                    <w:bottom w:val="nil"/>
                    <w:right w:val="nil"/>
                    <w:tl2br w:val="nil"/>
                    <w:tr2bl w:val="nil"/>
                  </w:tcBorders>
                  <w:shd w:val="clear" w:color="auto" w:fill="auto"/>
                  <w:noWrap/>
                  <w:tcMar>
                    <w:left w:w="0" w:type="dxa"/>
                    <w:right w:w="0" w:type="dxa"/>
                  </w:tcMar>
                  <w:vAlign w:val="bottom"/>
                </w:tcPr>
                <w:p w14:paraId="10A820F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546" w:type="dxa"/>
                  <w:tcBorders>
                    <w:top w:val="nil"/>
                    <w:left w:val="nil"/>
                    <w:bottom w:val="nil"/>
                    <w:right w:val="nil"/>
                    <w:tl2br w:val="nil"/>
                    <w:tr2bl w:val="nil"/>
                  </w:tcBorders>
                  <w:shd w:val="clear" w:color="auto" w:fill="auto"/>
                  <w:noWrap/>
                  <w:tcMar>
                    <w:left w:w="0" w:type="dxa"/>
                    <w:right w:w="0" w:type="dxa"/>
                  </w:tcMar>
                  <w:vAlign w:val="bottom"/>
                </w:tcPr>
                <w:p w14:paraId="1D04EBD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0D8373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1CC692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9EB651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691443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DF2184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B9ABED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A978CB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2FEA0F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D715AE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64D1EC4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222" w:type="dxa"/>
                  <w:gridSpan w:val="3"/>
                  <w:tcBorders>
                    <w:top w:val="nil"/>
                    <w:left w:val="nil"/>
                    <w:bottom w:val="nil"/>
                    <w:right w:val="nil"/>
                    <w:tl2br w:val="nil"/>
                    <w:tr2bl w:val="nil"/>
                  </w:tcBorders>
                  <w:shd w:val="clear" w:color="auto" w:fill="auto"/>
                  <w:tcMar>
                    <w:left w:w="43" w:type="dxa"/>
                    <w:right w:w="43" w:type="dxa"/>
                  </w:tcMar>
                  <w:vAlign w:val="bottom"/>
                </w:tcPr>
                <w:p w14:paraId="27536DE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Other comprehensive income (loss) (net of tax effect):</w:t>
                  </w: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46AB173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CA7A2C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361D874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5DBDC2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7E9A905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A9FA22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291CC8D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052116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nil"/>
                    <w:left w:val="nil"/>
                    <w:bottom w:val="nil"/>
                    <w:right w:val="nil"/>
                    <w:tl2br w:val="nil"/>
                    <w:tr2bl w:val="nil"/>
                  </w:tcBorders>
                  <w:shd w:val="clear" w:color="auto" w:fill="auto"/>
                  <w:noWrap/>
                  <w:tcMar>
                    <w:left w:w="0" w:type="dxa"/>
                    <w:right w:w="135" w:type="dxa"/>
                  </w:tcMar>
                  <w:vAlign w:val="bottom"/>
                </w:tcPr>
                <w:p w14:paraId="7771D3A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28D492F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8" w:type="dxa"/>
                  <w:tcBorders>
                    <w:top w:val="nil"/>
                    <w:left w:val="nil"/>
                    <w:bottom w:val="nil"/>
                    <w:right w:val="nil"/>
                    <w:tl2br w:val="nil"/>
                    <w:tr2bl w:val="nil"/>
                  </w:tcBorders>
                  <w:shd w:val="clear" w:color="auto" w:fill="auto"/>
                  <w:noWrap/>
                  <w:tcMar>
                    <w:left w:w="0" w:type="dxa"/>
                    <w:right w:w="0" w:type="dxa"/>
                  </w:tcMar>
                  <w:vAlign w:val="bottom"/>
                </w:tcPr>
                <w:p w14:paraId="646289F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38" w:type="dxa"/>
                  <w:tcBorders>
                    <w:top w:val="nil"/>
                    <w:left w:val="nil"/>
                    <w:bottom w:val="nil"/>
                    <w:right w:val="nil"/>
                    <w:tl2br w:val="nil"/>
                    <w:tr2bl w:val="nil"/>
                  </w:tcBorders>
                  <w:shd w:val="clear" w:color="auto" w:fill="auto"/>
                  <w:noWrap/>
                  <w:tcMar>
                    <w:left w:w="0" w:type="dxa"/>
                    <w:right w:w="0" w:type="dxa"/>
                  </w:tcMar>
                  <w:vAlign w:val="bottom"/>
                </w:tcPr>
                <w:p w14:paraId="335342E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546" w:type="dxa"/>
                  <w:tcBorders>
                    <w:top w:val="nil"/>
                    <w:left w:val="nil"/>
                    <w:bottom w:val="nil"/>
                    <w:right w:val="nil"/>
                    <w:tl2br w:val="nil"/>
                    <w:tr2bl w:val="nil"/>
                  </w:tcBorders>
                  <w:shd w:val="clear" w:color="auto" w:fill="auto"/>
                  <w:noWrap/>
                  <w:tcMar>
                    <w:left w:w="0" w:type="dxa"/>
                    <w:right w:w="0" w:type="dxa"/>
                  </w:tcMar>
                  <w:vAlign w:val="bottom"/>
                </w:tcPr>
                <w:p w14:paraId="1C39D1D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7134C52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07B658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68F273C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84FCE8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68B26D2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0124AC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78CBBDC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B3CADC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nil"/>
                    <w:left w:val="nil"/>
                    <w:bottom w:val="nil"/>
                    <w:right w:val="nil"/>
                    <w:tl2br w:val="nil"/>
                    <w:tr2bl w:val="nil"/>
                  </w:tcBorders>
                  <w:shd w:val="clear" w:color="auto" w:fill="auto"/>
                  <w:noWrap/>
                  <w:tcMar>
                    <w:left w:w="0" w:type="dxa"/>
                    <w:right w:w="135" w:type="dxa"/>
                  </w:tcMar>
                  <w:vAlign w:val="bottom"/>
                </w:tcPr>
                <w:p w14:paraId="21E3522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6F4CE16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338" w:type="dxa"/>
                  <w:gridSpan w:val="4"/>
                  <w:tcBorders>
                    <w:top w:val="nil"/>
                    <w:left w:val="nil"/>
                    <w:bottom w:val="nil"/>
                    <w:right w:val="nil"/>
                    <w:tl2br w:val="nil"/>
                    <w:tr2bl w:val="nil"/>
                  </w:tcBorders>
                  <w:shd w:val="clear" w:color="auto" w:fill="auto"/>
                  <w:noWrap/>
                  <w:tcMar>
                    <w:left w:w="43" w:type="dxa"/>
                    <w:right w:w="43" w:type="dxa"/>
                  </w:tcMar>
                  <w:vAlign w:val="bottom"/>
                </w:tcPr>
                <w:p w14:paraId="7E16E8EA"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Amounts not subsequently reclassified to profit or loss</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FF25B62"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1FA89A8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23D751B"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2AC23F8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90C437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6685C84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561631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400" w:type="dxa"/>
                  <w:tcBorders>
                    <w:top w:val="nil"/>
                    <w:left w:val="nil"/>
                    <w:bottom w:val="nil"/>
                    <w:right w:val="nil"/>
                    <w:tl2br w:val="nil"/>
                    <w:tr2bl w:val="nil"/>
                  </w:tcBorders>
                  <w:shd w:val="clear" w:color="auto" w:fill="auto"/>
                  <w:noWrap/>
                  <w:tcMar>
                    <w:left w:w="0" w:type="dxa"/>
                    <w:right w:w="135" w:type="dxa"/>
                  </w:tcMar>
                  <w:vAlign w:val="bottom"/>
                </w:tcPr>
                <w:p w14:paraId="74229F7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3746681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trPr>
              <w:tc>
                <w:tcPr>
                  <w:tcW w:w="4222" w:type="dxa"/>
                  <w:gridSpan w:val="3"/>
                  <w:tcBorders>
                    <w:top w:val="nil"/>
                    <w:left w:val="nil"/>
                    <w:bottom w:val="nil"/>
                    <w:right w:val="nil"/>
                    <w:tl2br w:val="nil"/>
                    <w:tr2bl w:val="nil"/>
                  </w:tcBorders>
                  <w:shd w:val="clear" w:color="auto" w:fill="auto"/>
                  <w:tcMar>
                    <w:left w:w="43" w:type="dxa"/>
                    <w:right w:w="43" w:type="dxa"/>
                  </w:tcMar>
                  <w:vAlign w:val="bottom"/>
                </w:tcPr>
                <w:p w14:paraId="73706E1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Loss with regard to financial assets at fair value </w:t>
                  </w:r>
                </w:p>
                <w:p w14:paraId="3B3CF07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   through other comprehensive income</w:t>
                  </w: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2BE25D1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61A6DB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5EEEB81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(33)</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7199C0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7C82B50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D68494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64D0F4C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(33)</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F4C308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nil"/>
                    <w:left w:val="nil"/>
                    <w:bottom w:val="nil"/>
                    <w:right w:val="nil"/>
                    <w:tl2br w:val="nil"/>
                    <w:tr2bl w:val="nil"/>
                  </w:tcBorders>
                  <w:shd w:val="clear" w:color="auto" w:fill="auto"/>
                  <w:noWrap/>
                  <w:tcMar>
                    <w:left w:w="43" w:type="dxa"/>
                    <w:right w:w="178" w:type="dxa"/>
                  </w:tcMar>
                  <w:vAlign w:val="bottom"/>
                </w:tcPr>
                <w:p w14:paraId="68EF16B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(51)</w:t>
                  </w:r>
                </w:p>
              </w:tc>
            </w:tr>
            <w:tr w:rsidR="00213131" w:rsidRPr="004D7A72" w14:paraId="111DFD4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8" w:type="dxa"/>
                  <w:tcBorders>
                    <w:top w:val="nil"/>
                    <w:left w:val="nil"/>
                    <w:bottom w:val="nil"/>
                    <w:right w:val="nil"/>
                    <w:tl2br w:val="nil"/>
                    <w:tr2bl w:val="nil"/>
                  </w:tcBorders>
                  <w:shd w:val="clear" w:color="auto" w:fill="auto"/>
                  <w:noWrap/>
                  <w:tcMar>
                    <w:left w:w="0" w:type="dxa"/>
                    <w:right w:w="0" w:type="dxa"/>
                  </w:tcMar>
                  <w:vAlign w:val="bottom"/>
                </w:tcPr>
                <w:p w14:paraId="2314AB8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38" w:type="dxa"/>
                  <w:tcBorders>
                    <w:top w:val="nil"/>
                    <w:left w:val="nil"/>
                    <w:bottom w:val="nil"/>
                    <w:right w:val="nil"/>
                    <w:tl2br w:val="nil"/>
                    <w:tr2bl w:val="nil"/>
                  </w:tcBorders>
                  <w:shd w:val="clear" w:color="auto" w:fill="auto"/>
                  <w:noWrap/>
                  <w:tcMar>
                    <w:left w:w="0" w:type="dxa"/>
                    <w:right w:w="0" w:type="dxa"/>
                  </w:tcMar>
                  <w:vAlign w:val="bottom"/>
                </w:tcPr>
                <w:p w14:paraId="6B060E9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546" w:type="dxa"/>
                  <w:tcBorders>
                    <w:top w:val="nil"/>
                    <w:left w:val="nil"/>
                    <w:bottom w:val="nil"/>
                    <w:right w:val="nil"/>
                    <w:tl2br w:val="nil"/>
                    <w:tr2bl w:val="nil"/>
                  </w:tcBorders>
                  <w:shd w:val="clear" w:color="auto" w:fill="auto"/>
                  <w:noWrap/>
                  <w:tcMar>
                    <w:left w:w="0" w:type="dxa"/>
                    <w:right w:w="0" w:type="dxa"/>
                  </w:tcMar>
                  <w:vAlign w:val="bottom"/>
                </w:tcPr>
                <w:p w14:paraId="626ADD4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38B78A3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43F2EC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36F1B83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234296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5625736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5C9946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5150218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A22B1F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nil"/>
                    <w:left w:val="nil"/>
                    <w:bottom w:val="nil"/>
                    <w:right w:val="nil"/>
                    <w:tl2br w:val="nil"/>
                    <w:tr2bl w:val="nil"/>
                  </w:tcBorders>
                  <w:shd w:val="clear" w:color="auto" w:fill="auto"/>
                  <w:noWrap/>
                  <w:tcMar>
                    <w:left w:w="0" w:type="dxa"/>
                    <w:right w:w="135" w:type="dxa"/>
                  </w:tcMar>
                  <w:vAlign w:val="bottom"/>
                </w:tcPr>
                <w:p w14:paraId="7012824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3542365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22" w:type="dxa"/>
                  <w:gridSpan w:val="3"/>
                  <w:tcBorders>
                    <w:top w:val="nil"/>
                    <w:left w:val="nil"/>
                    <w:bottom w:val="nil"/>
                    <w:right w:val="nil"/>
                    <w:tl2br w:val="nil"/>
                    <w:tr2bl w:val="nil"/>
                  </w:tcBorders>
                  <w:shd w:val="clear" w:color="auto" w:fill="auto"/>
                  <w:noWrap/>
                  <w:tcMar>
                    <w:left w:w="43" w:type="dxa"/>
                    <w:right w:w="43" w:type="dxa"/>
                  </w:tcMar>
                  <w:vAlign w:val="bottom"/>
                </w:tcPr>
                <w:p w14:paraId="468A218C"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Amounts classified or reclassified to profit or loss</w:t>
                  </w: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3C35DDC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9895CE0"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25BCF1D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C959CE4"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72B0B8F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0B5737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4C1A6C1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CB0ED5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nil"/>
                    <w:left w:val="nil"/>
                    <w:bottom w:val="nil"/>
                    <w:right w:val="nil"/>
                    <w:tl2br w:val="nil"/>
                    <w:tr2bl w:val="nil"/>
                  </w:tcBorders>
                  <w:shd w:val="clear" w:color="auto" w:fill="auto"/>
                  <w:noWrap/>
                  <w:tcMar>
                    <w:left w:w="0" w:type="dxa"/>
                    <w:right w:w="135" w:type="dxa"/>
                  </w:tcMar>
                  <w:vAlign w:val="bottom"/>
                </w:tcPr>
                <w:p w14:paraId="1A8D2E9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7B8F2AF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222" w:type="dxa"/>
                  <w:gridSpan w:val="3"/>
                  <w:tcBorders>
                    <w:top w:val="nil"/>
                    <w:left w:val="nil"/>
                    <w:bottom w:val="nil"/>
                    <w:right w:val="nil"/>
                    <w:tl2br w:val="nil"/>
                    <w:tr2bl w:val="nil"/>
                  </w:tcBorders>
                  <w:shd w:val="clear" w:color="auto" w:fill="auto"/>
                  <w:tcMar>
                    <w:left w:w="43" w:type="dxa"/>
                    <w:right w:w="43" w:type="dxa"/>
                  </w:tcMar>
                  <w:vAlign w:val="bottom"/>
                </w:tcPr>
                <w:p w14:paraId="482BAAB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Adjustments for conversion of financial statements of foreign operations </w:t>
                  </w: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4E419CD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(149)</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62A432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5E5E728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992</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85D671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624884F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92</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322E17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3C312A6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415</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533F7B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nil"/>
                    <w:left w:val="nil"/>
                    <w:bottom w:val="nil"/>
                    <w:right w:val="nil"/>
                    <w:tl2br w:val="nil"/>
                    <w:tr2bl w:val="nil"/>
                  </w:tcBorders>
                  <w:shd w:val="clear" w:color="auto" w:fill="auto"/>
                  <w:noWrap/>
                  <w:tcMar>
                    <w:left w:w="43" w:type="dxa"/>
                    <w:right w:w="178" w:type="dxa"/>
                  </w:tcMar>
                  <w:vAlign w:val="bottom"/>
                </w:tcPr>
                <w:p w14:paraId="75B3534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1,048</w:t>
                  </w:r>
                </w:p>
              </w:tc>
            </w:tr>
            <w:tr w:rsidR="00213131" w:rsidRPr="004D7A72" w14:paraId="353F8A8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222" w:type="dxa"/>
                  <w:gridSpan w:val="3"/>
                  <w:tcBorders>
                    <w:top w:val="nil"/>
                    <w:left w:val="nil"/>
                    <w:bottom w:val="nil"/>
                    <w:right w:val="nil"/>
                    <w:tl2br w:val="nil"/>
                    <w:tr2bl w:val="nil"/>
                  </w:tcBorders>
                  <w:shd w:val="clear" w:color="auto" w:fill="auto"/>
                  <w:tcMar>
                    <w:left w:w="43" w:type="dxa"/>
                    <w:right w:w="43" w:type="dxa"/>
                  </w:tcMar>
                </w:tcPr>
                <w:p w14:paraId="3E70A4A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Profit (loss) for cash flow hedges </w:t>
                  </w:r>
                </w:p>
              </w:tc>
              <w:tc>
                <w:tcPr>
                  <w:tcW w:w="111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0269101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34</w:t>
                  </w:r>
                </w:p>
              </w:tc>
              <w:tc>
                <w:tcPr>
                  <w:tcW w:w="30" w:type="dxa"/>
                  <w:tcBorders>
                    <w:top w:val="nil"/>
                    <w:left w:val="nil"/>
                    <w:bottom w:val="nil"/>
                    <w:right w:val="nil"/>
                    <w:tl2br w:val="nil"/>
                    <w:tr2bl w:val="nil"/>
                  </w:tcBorders>
                  <w:shd w:val="clear" w:color="auto" w:fill="auto"/>
                  <w:noWrap/>
                  <w:tcMar>
                    <w:left w:w="0" w:type="dxa"/>
                    <w:right w:w="0" w:type="dxa"/>
                  </w:tcMar>
                </w:tcPr>
                <w:p w14:paraId="139B9E3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410BB7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w:t>
                  </w:r>
                </w:p>
              </w:tc>
              <w:tc>
                <w:tcPr>
                  <w:tcW w:w="30" w:type="dxa"/>
                  <w:tcBorders>
                    <w:top w:val="nil"/>
                    <w:left w:val="nil"/>
                    <w:bottom w:val="nil"/>
                    <w:right w:val="nil"/>
                    <w:tl2br w:val="nil"/>
                    <w:tr2bl w:val="nil"/>
                  </w:tcBorders>
                  <w:shd w:val="clear" w:color="auto" w:fill="auto"/>
                  <w:noWrap/>
                  <w:tcMar>
                    <w:left w:w="0" w:type="dxa"/>
                    <w:right w:w="0" w:type="dxa"/>
                  </w:tcMar>
                </w:tcPr>
                <w:p w14:paraId="20F4597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917E0A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4130F2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A39683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17</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75FFB6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83C1D5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(81)</w:t>
                  </w:r>
                </w:p>
              </w:tc>
            </w:tr>
            <w:tr w:rsidR="00213131" w:rsidRPr="004D7A72" w14:paraId="7CADA3B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22" w:type="dxa"/>
                  <w:gridSpan w:val="3"/>
                  <w:tcBorders>
                    <w:top w:val="nil"/>
                    <w:left w:val="nil"/>
                    <w:bottom w:val="nil"/>
                    <w:right w:val="nil"/>
                    <w:tl2br w:val="nil"/>
                    <w:tr2bl w:val="nil"/>
                  </w:tcBorders>
                  <w:shd w:val="clear" w:color="auto" w:fill="auto"/>
                  <w:noWrap/>
                  <w:tcMar>
                    <w:left w:w="0" w:type="dxa"/>
                    <w:right w:w="0" w:type="dxa"/>
                  </w:tcMar>
                  <w:vAlign w:val="bottom"/>
                </w:tcPr>
                <w:p w14:paraId="61B1F565"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11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31FFEC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D7EF9E0"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11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B450CC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308D9C7"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11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597A82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61B63A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3CA8B9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C5A8AE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88FB8B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02F7A42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22" w:type="dxa"/>
                  <w:gridSpan w:val="3"/>
                  <w:tcBorders>
                    <w:top w:val="nil"/>
                    <w:left w:val="nil"/>
                    <w:bottom w:val="nil"/>
                    <w:right w:val="nil"/>
                    <w:tl2br w:val="nil"/>
                    <w:tr2bl w:val="nil"/>
                  </w:tcBorders>
                  <w:shd w:val="clear" w:color="auto" w:fill="auto"/>
                  <w:noWrap/>
                  <w:tcMar>
                    <w:left w:w="43" w:type="dxa"/>
                    <w:right w:w="43" w:type="dxa"/>
                  </w:tcMar>
                  <w:vAlign w:val="bottom"/>
                </w:tcPr>
                <w:p w14:paraId="2C6F550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Total other comprehensive income (loss)</w:t>
                  </w:r>
                </w:p>
              </w:tc>
              <w:tc>
                <w:tcPr>
                  <w:tcW w:w="111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61E304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(115)</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F2F173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C9A89C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966</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FA34C6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6B6504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97</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B3367D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E22D8E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399</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9E8DCD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56C9E0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916</w:t>
                  </w:r>
                </w:p>
              </w:tc>
            </w:tr>
            <w:tr w:rsidR="00213131" w:rsidRPr="004D7A72" w14:paraId="6FD1767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8" w:type="dxa"/>
                  <w:tcBorders>
                    <w:top w:val="nil"/>
                    <w:left w:val="nil"/>
                    <w:bottom w:val="nil"/>
                    <w:right w:val="nil"/>
                    <w:tl2br w:val="nil"/>
                    <w:tr2bl w:val="nil"/>
                  </w:tcBorders>
                  <w:shd w:val="clear" w:color="auto" w:fill="auto"/>
                  <w:noWrap/>
                  <w:tcMar>
                    <w:left w:w="0" w:type="dxa"/>
                    <w:right w:w="0" w:type="dxa"/>
                  </w:tcMar>
                  <w:vAlign w:val="bottom"/>
                </w:tcPr>
                <w:p w14:paraId="716025D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38" w:type="dxa"/>
                  <w:tcBorders>
                    <w:top w:val="nil"/>
                    <w:left w:val="nil"/>
                    <w:bottom w:val="nil"/>
                    <w:right w:val="nil"/>
                    <w:tl2br w:val="nil"/>
                    <w:tr2bl w:val="nil"/>
                  </w:tcBorders>
                  <w:shd w:val="clear" w:color="auto" w:fill="auto"/>
                  <w:noWrap/>
                  <w:tcMar>
                    <w:left w:w="0" w:type="dxa"/>
                    <w:right w:w="0" w:type="dxa"/>
                  </w:tcMar>
                  <w:vAlign w:val="bottom"/>
                </w:tcPr>
                <w:p w14:paraId="10983DC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546" w:type="dxa"/>
                  <w:tcBorders>
                    <w:top w:val="nil"/>
                    <w:left w:val="nil"/>
                    <w:bottom w:val="nil"/>
                    <w:right w:val="nil"/>
                    <w:tl2br w:val="nil"/>
                    <w:tr2bl w:val="nil"/>
                  </w:tcBorders>
                  <w:shd w:val="clear" w:color="auto" w:fill="auto"/>
                  <w:noWrap/>
                  <w:tcMar>
                    <w:left w:w="0" w:type="dxa"/>
                    <w:right w:w="0" w:type="dxa"/>
                  </w:tcMar>
                  <w:vAlign w:val="bottom"/>
                </w:tcPr>
                <w:p w14:paraId="3B873E0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E6395F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D7D157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2AE912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E02CA0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C0E227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54E50C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87ED39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48913B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9C6199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4BA27AA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22" w:type="dxa"/>
                  <w:gridSpan w:val="3"/>
                  <w:tcBorders>
                    <w:top w:val="nil"/>
                    <w:left w:val="nil"/>
                    <w:bottom w:val="nil"/>
                    <w:right w:val="nil"/>
                    <w:tl2br w:val="nil"/>
                    <w:tr2bl w:val="nil"/>
                  </w:tcBorders>
                  <w:shd w:val="clear" w:color="auto" w:fill="auto"/>
                  <w:noWrap/>
                  <w:tcMar>
                    <w:left w:w="43" w:type="dxa"/>
                    <w:right w:w="43" w:type="dxa"/>
                  </w:tcMar>
                  <w:vAlign w:val="bottom"/>
                </w:tcPr>
                <w:p w14:paraId="51BAE303" w14:textId="77777777" w:rsidR="00213131" w:rsidRPr="004D7A72" w:rsidRDefault="00213131" w:rsidP="00A65A6F">
                  <w:pPr>
                    <w:keepNext/>
                    <w:spacing w:before="0" w:after="0"/>
                    <w:rPr>
                      <w:rFonts w:asciiTheme="majorBidi" w:eastAsia="Ploni ML Medium AAA Medium" w:hAnsiTheme="majorBidi" w:cstheme="majorBidi"/>
                      <w:color w:val="000000"/>
                    </w:rPr>
                  </w:pPr>
                  <w:r w:rsidRPr="004D7A72">
                    <w:rPr>
                      <w:rFonts w:asciiTheme="majorBidi" w:hAnsiTheme="majorBidi" w:cstheme="majorBidi"/>
                      <w:color w:val="000000"/>
                    </w:rPr>
                    <w:t>Total comprehensive income (loss)</w:t>
                  </w:r>
                </w:p>
              </w:tc>
              <w:tc>
                <w:tcPr>
                  <w:tcW w:w="1116"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09A3C90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389</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B63CA5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6E56394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666</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CE14D1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6A581B0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515</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1122FD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41C12EF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497</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B33322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661841D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(404)</w:t>
                  </w:r>
                </w:p>
              </w:tc>
            </w:tr>
            <w:tr w:rsidR="00213131" w:rsidRPr="004D7A72" w14:paraId="2079010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8" w:type="dxa"/>
                  <w:tcBorders>
                    <w:top w:val="nil"/>
                    <w:left w:val="nil"/>
                    <w:bottom w:val="nil"/>
                    <w:right w:val="nil"/>
                    <w:tl2br w:val="nil"/>
                    <w:tr2bl w:val="nil"/>
                  </w:tcBorders>
                  <w:shd w:val="clear" w:color="auto" w:fill="auto"/>
                  <w:noWrap/>
                  <w:tcMar>
                    <w:left w:w="0" w:type="dxa"/>
                    <w:right w:w="0" w:type="dxa"/>
                  </w:tcMar>
                  <w:vAlign w:val="bottom"/>
                </w:tcPr>
                <w:p w14:paraId="3347E5D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38" w:type="dxa"/>
                  <w:tcBorders>
                    <w:top w:val="nil"/>
                    <w:left w:val="nil"/>
                    <w:bottom w:val="nil"/>
                    <w:right w:val="nil"/>
                    <w:tl2br w:val="nil"/>
                    <w:tr2bl w:val="nil"/>
                  </w:tcBorders>
                  <w:shd w:val="clear" w:color="auto" w:fill="auto"/>
                  <w:noWrap/>
                  <w:tcMar>
                    <w:left w:w="0" w:type="dxa"/>
                    <w:right w:w="0" w:type="dxa"/>
                  </w:tcMar>
                  <w:vAlign w:val="bottom"/>
                </w:tcPr>
                <w:p w14:paraId="6849DB3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546" w:type="dxa"/>
                  <w:tcBorders>
                    <w:top w:val="nil"/>
                    <w:left w:val="nil"/>
                    <w:bottom w:val="nil"/>
                    <w:right w:val="nil"/>
                    <w:tl2br w:val="nil"/>
                    <w:tr2bl w:val="nil"/>
                  </w:tcBorders>
                  <w:shd w:val="clear" w:color="auto" w:fill="auto"/>
                  <w:noWrap/>
                  <w:tcMar>
                    <w:left w:w="0" w:type="dxa"/>
                    <w:right w:w="0" w:type="dxa"/>
                  </w:tcMar>
                  <w:vAlign w:val="bottom"/>
                </w:tcPr>
                <w:p w14:paraId="746B08C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93D48B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F1B366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203B1F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2CE22D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91ABBE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1A8C46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28256C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D485AE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BD4096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7E4DB3C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22" w:type="dxa"/>
                  <w:gridSpan w:val="3"/>
                  <w:tcBorders>
                    <w:top w:val="nil"/>
                    <w:left w:val="nil"/>
                    <w:bottom w:val="nil"/>
                    <w:right w:val="nil"/>
                    <w:tl2br w:val="nil"/>
                    <w:tr2bl w:val="nil"/>
                  </w:tcBorders>
                  <w:shd w:val="clear" w:color="auto" w:fill="auto"/>
                  <w:noWrap/>
                  <w:tcMar>
                    <w:left w:w="43" w:type="dxa"/>
                    <w:right w:w="43" w:type="dxa"/>
                  </w:tcMar>
                  <w:vAlign w:val="bottom"/>
                </w:tcPr>
                <w:p w14:paraId="5D28DF6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Attributable to:</w:t>
                  </w: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041044C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F2C04A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56BC2E0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C3E799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53CC694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3EFC28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00077B6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A170D7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nil"/>
                    <w:left w:val="nil"/>
                    <w:bottom w:val="nil"/>
                    <w:right w:val="nil"/>
                    <w:tl2br w:val="nil"/>
                    <w:tr2bl w:val="nil"/>
                  </w:tcBorders>
                  <w:shd w:val="clear" w:color="auto" w:fill="auto"/>
                  <w:noWrap/>
                  <w:tcMar>
                    <w:left w:w="0" w:type="dxa"/>
                    <w:right w:w="135" w:type="dxa"/>
                  </w:tcMar>
                  <w:vAlign w:val="bottom"/>
                </w:tcPr>
                <w:p w14:paraId="216D6F2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687A6DC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22" w:type="dxa"/>
                  <w:gridSpan w:val="3"/>
                  <w:tcBorders>
                    <w:top w:val="nil"/>
                    <w:left w:val="nil"/>
                    <w:bottom w:val="nil"/>
                    <w:right w:val="nil"/>
                    <w:tl2br w:val="nil"/>
                    <w:tr2bl w:val="nil"/>
                  </w:tcBorders>
                  <w:shd w:val="clear" w:color="auto" w:fill="auto"/>
                  <w:noWrap/>
                  <w:tcMar>
                    <w:left w:w="43" w:type="dxa"/>
                    <w:right w:w="43" w:type="dxa"/>
                  </w:tcMar>
                  <w:vAlign w:val="bottom"/>
                </w:tcPr>
                <w:p w14:paraId="05F6FB9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Shareholders of the Company (1)</w:t>
                  </w: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6F1E941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167</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325089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3EC7134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178</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63B216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557E178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333</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1599A7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4586B95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311</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C80313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nil"/>
                    <w:left w:val="nil"/>
                    <w:bottom w:val="nil"/>
                    <w:right w:val="nil"/>
                    <w:tl2br w:val="nil"/>
                    <w:tr2bl w:val="nil"/>
                  </w:tcBorders>
                  <w:shd w:val="clear" w:color="auto" w:fill="auto"/>
                  <w:noWrap/>
                  <w:tcMar>
                    <w:left w:w="43" w:type="dxa"/>
                    <w:right w:w="178" w:type="dxa"/>
                  </w:tcMar>
                  <w:vAlign w:val="bottom"/>
                </w:tcPr>
                <w:p w14:paraId="3CECEE3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(665)</w:t>
                  </w:r>
                </w:p>
              </w:tc>
            </w:tr>
            <w:tr w:rsidR="00213131" w:rsidRPr="004D7A72" w14:paraId="7E305A6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22" w:type="dxa"/>
                  <w:gridSpan w:val="3"/>
                  <w:tcBorders>
                    <w:top w:val="nil"/>
                    <w:left w:val="nil"/>
                    <w:bottom w:val="nil"/>
                    <w:right w:val="nil"/>
                    <w:tl2br w:val="nil"/>
                    <w:tr2bl w:val="nil"/>
                  </w:tcBorders>
                  <w:shd w:val="clear" w:color="auto" w:fill="auto"/>
                  <w:noWrap/>
                  <w:tcMar>
                    <w:left w:w="43" w:type="dxa"/>
                    <w:right w:w="43" w:type="dxa"/>
                  </w:tcMar>
                  <w:vAlign w:val="bottom"/>
                </w:tcPr>
                <w:p w14:paraId="3BD2F41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Non-controlling interests</w:t>
                  </w:r>
                </w:p>
              </w:tc>
              <w:tc>
                <w:tcPr>
                  <w:tcW w:w="111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6EAED0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222</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D94C54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F60AEB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488</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B1BD40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5A3302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182</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07BD10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90F4A4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186</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AA1FB0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3285AC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261</w:t>
                  </w:r>
                </w:p>
              </w:tc>
            </w:tr>
            <w:tr w:rsidR="00213131" w:rsidRPr="004D7A72" w14:paraId="4625822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8" w:type="dxa"/>
                  <w:tcBorders>
                    <w:top w:val="nil"/>
                    <w:left w:val="nil"/>
                    <w:bottom w:val="nil"/>
                    <w:right w:val="nil"/>
                    <w:tl2br w:val="nil"/>
                    <w:tr2bl w:val="nil"/>
                  </w:tcBorders>
                  <w:shd w:val="clear" w:color="auto" w:fill="auto"/>
                  <w:noWrap/>
                  <w:tcMar>
                    <w:left w:w="0" w:type="dxa"/>
                    <w:right w:w="0" w:type="dxa"/>
                  </w:tcMar>
                  <w:vAlign w:val="bottom"/>
                </w:tcPr>
                <w:p w14:paraId="20097C9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38" w:type="dxa"/>
                  <w:tcBorders>
                    <w:top w:val="nil"/>
                    <w:left w:val="nil"/>
                    <w:bottom w:val="nil"/>
                    <w:right w:val="nil"/>
                    <w:tl2br w:val="nil"/>
                    <w:tr2bl w:val="nil"/>
                  </w:tcBorders>
                  <w:shd w:val="clear" w:color="auto" w:fill="auto"/>
                  <w:noWrap/>
                  <w:tcMar>
                    <w:left w:w="0" w:type="dxa"/>
                    <w:right w:w="0" w:type="dxa"/>
                  </w:tcMar>
                  <w:vAlign w:val="bottom"/>
                </w:tcPr>
                <w:p w14:paraId="26FD458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546" w:type="dxa"/>
                  <w:tcBorders>
                    <w:top w:val="nil"/>
                    <w:left w:val="nil"/>
                    <w:bottom w:val="nil"/>
                    <w:right w:val="nil"/>
                    <w:tl2br w:val="nil"/>
                    <w:tr2bl w:val="nil"/>
                  </w:tcBorders>
                  <w:shd w:val="clear" w:color="auto" w:fill="auto"/>
                  <w:noWrap/>
                  <w:tcMar>
                    <w:left w:w="0" w:type="dxa"/>
                    <w:right w:w="0" w:type="dxa"/>
                  </w:tcMar>
                  <w:vAlign w:val="bottom"/>
                </w:tcPr>
                <w:p w14:paraId="5D605CD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54D6DBC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389</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1B95CA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4F24F8F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666</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870FF3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01FAC94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515</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D077CE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734FB64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497</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40FFAF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041C20D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(404)</w:t>
                  </w:r>
                </w:p>
              </w:tc>
            </w:tr>
            <w:tr w:rsidR="00213131" w:rsidRPr="004D7A72" w14:paraId="5E6C839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8" w:type="dxa"/>
                  <w:tcBorders>
                    <w:top w:val="nil"/>
                    <w:left w:val="nil"/>
                    <w:bottom w:val="nil"/>
                    <w:right w:val="nil"/>
                    <w:tl2br w:val="nil"/>
                    <w:tr2bl w:val="nil"/>
                  </w:tcBorders>
                  <w:shd w:val="clear" w:color="auto" w:fill="auto"/>
                  <w:noWrap/>
                  <w:tcMar>
                    <w:left w:w="0" w:type="dxa"/>
                    <w:right w:w="0" w:type="dxa"/>
                  </w:tcMar>
                  <w:vAlign w:val="bottom"/>
                </w:tcPr>
                <w:p w14:paraId="27FF9B3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38" w:type="dxa"/>
                  <w:tcBorders>
                    <w:top w:val="nil"/>
                    <w:left w:val="nil"/>
                    <w:bottom w:val="nil"/>
                    <w:right w:val="nil"/>
                    <w:tl2br w:val="nil"/>
                    <w:tr2bl w:val="nil"/>
                  </w:tcBorders>
                  <w:shd w:val="clear" w:color="auto" w:fill="auto"/>
                  <w:noWrap/>
                  <w:tcMar>
                    <w:left w:w="0" w:type="dxa"/>
                    <w:right w:w="0" w:type="dxa"/>
                  </w:tcMar>
                  <w:vAlign w:val="bottom"/>
                </w:tcPr>
                <w:p w14:paraId="13F16C0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546" w:type="dxa"/>
                  <w:tcBorders>
                    <w:top w:val="nil"/>
                    <w:left w:val="nil"/>
                    <w:bottom w:val="nil"/>
                    <w:right w:val="nil"/>
                    <w:tl2br w:val="nil"/>
                    <w:tr2bl w:val="nil"/>
                  </w:tcBorders>
                  <w:shd w:val="clear" w:color="auto" w:fill="auto"/>
                  <w:noWrap/>
                  <w:tcMar>
                    <w:left w:w="0" w:type="dxa"/>
                    <w:right w:w="0" w:type="dxa"/>
                  </w:tcMar>
                  <w:vAlign w:val="bottom"/>
                </w:tcPr>
                <w:p w14:paraId="2FCA68D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323E1B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296B70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AF8F61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C06B49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849E61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60C918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B373F4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1838E3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40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EF2A9E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r>
            <w:tr w:rsidR="00213131" w:rsidRPr="004D7A72" w14:paraId="0720923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338" w:type="dxa"/>
                  <w:tcBorders>
                    <w:top w:val="nil"/>
                    <w:left w:val="nil"/>
                    <w:bottom w:val="nil"/>
                    <w:right w:val="nil"/>
                    <w:tl2br w:val="nil"/>
                    <w:tr2bl w:val="nil"/>
                  </w:tcBorders>
                  <w:shd w:val="clear" w:color="auto" w:fill="auto"/>
                  <w:noWrap/>
                  <w:tcMar>
                    <w:left w:w="43" w:type="dxa"/>
                    <w:right w:w="43" w:type="dxa"/>
                  </w:tcMar>
                </w:tcPr>
                <w:p w14:paraId="04012A0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(1)</w:t>
                  </w:r>
                </w:p>
              </w:tc>
              <w:tc>
                <w:tcPr>
                  <w:tcW w:w="5000" w:type="dxa"/>
                  <w:gridSpan w:val="3"/>
                  <w:tcBorders>
                    <w:top w:val="nil"/>
                    <w:left w:val="nil"/>
                    <w:bottom w:val="nil"/>
                    <w:right w:val="nil"/>
                    <w:tl2br w:val="nil"/>
                    <w:tr2bl w:val="nil"/>
                  </w:tcBorders>
                  <w:shd w:val="clear" w:color="auto" w:fill="auto"/>
                  <w:tcMar>
                    <w:left w:w="43" w:type="dxa"/>
                    <w:right w:w="43" w:type="dxa"/>
                  </w:tcMar>
                  <w:vAlign w:val="bottom"/>
                </w:tcPr>
                <w:p w14:paraId="3BB6E14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Earnings (loss) per share attributable to shareholders of the Company:</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1EE4A1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5D9D75F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CC3CA0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7E29DF4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766BEB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2BAF674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31A88E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400" w:type="dxa"/>
                  <w:tcBorders>
                    <w:top w:val="nil"/>
                    <w:left w:val="nil"/>
                    <w:bottom w:val="nil"/>
                    <w:right w:val="nil"/>
                    <w:tl2br w:val="nil"/>
                    <w:tr2bl w:val="nil"/>
                  </w:tcBorders>
                  <w:shd w:val="clear" w:color="auto" w:fill="auto"/>
                  <w:noWrap/>
                  <w:tcMar>
                    <w:left w:w="0" w:type="dxa"/>
                    <w:right w:w="135" w:type="dxa"/>
                  </w:tcMar>
                  <w:vAlign w:val="bottom"/>
                </w:tcPr>
                <w:p w14:paraId="2C02EBE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46C9DF4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38" w:type="dxa"/>
                  <w:tcBorders>
                    <w:top w:val="nil"/>
                    <w:left w:val="nil"/>
                    <w:bottom w:val="nil"/>
                    <w:right w:val="nil"/>
                    <w:tl2br w:val="nil"/>
                    <w:tr2bl w:val="nil"/>
                  </w:tcBorders>
                  <w:shd w:val="clear" w:color="auto" w:fill="auto"/>
                  <w:noWrap/>
                  <w:tcMar>
                    <w:left w:w="0" w:type="dxa"/>
                    <w:right w:w="0" w:type="dxa"/>
                  </w:tcMar>
                  <w:vAlign w:val="bottom"/>
                </w:tcPr>
                <w:p w14:paraId="07958F7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38" w:type="dxa"/>
                  <w:tcBorders>
                    <w:top w:val="nil"/>
                    <w:left w:val="nil"/>
                    <w:bottom w:val="nil"/>
                    <w:right w:val="nil"/>
                    <w:tl2br w:val="nil"/>
                    <w:tr2bl w:val="nil"/>
                  </w:tcBorders>
                  <w:shd w:val="clear" w:color="auto" w:fill="auto"/>
                  <w:tcMar>
                    <w:left w:w="0" w:type="dxa"/>
                    <w:right w:w="0" w:type="dxa"/>
                  </w:tcMar>
                  <w:vAlign w:val="bottom"/>
                </w:tcPr>
                <w:p w14:paraId="0FAE638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546" w:type="dxa"/>
                  <w:tcBorders>
                    <w:top w:val="nil"/>
                    <w:left w:val="nil"/>
                    <w:bottom w:val="nil"/>
                    <w:right w:val="nil"/>
                    <w:tl2br w:val="nil"/>
                    <w:tr2bl w:val="nil"/>
                  </w:tcBorders>
                  <w:shd w:val="clear" w:color="auto" w:fill="auto"/>
                  <w:noWrap/>
                  <w:tcMar>
                    <w:left w:w="0" w:type="dxa"/>
                    <w:right w:w="0" w:type="dxa"/>
                  </w:tcMar>
                  <w:vAlign w:val="bottom"/>
                </w:tcPr>
                <w:p w14:paraId="302D504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556E18B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BB6617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1EC7102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5C3082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361D6AA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192883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0" w:type="dxa"/>
                    <w:right w:w="135" w:type="dxa"/>
                  </w:tcMar>
                  <w:vAlign w:val="bottom"/>
                </w:tcPr>
                <w:p w14:paraId="0D80EBF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5E8525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400" w:type="dxa"/>
                  <w:tcBorders>
                    <w:top w:val="nil"/>
                    <w:left w:val="nil"/>
                    <w:bottom w:val="nil"/>
                    <w:right w:val="nil"/>
                    <w:tl2br w:val="nil"/>
                    <w:tr2bl w:val="nil"/>
                  </w:tcBorders>
                  <w:shd w:val="clear" w:color="auto" w:fill="auto"/>
                  <w:noWrap/>
                  <w:tcMar>
                    <w:left w:w="0" w:type="dxa"/>
                    <w:right w:w="135" w:type="dxa"/>
                  </w:tcMar>
                  <w:vAlign w:val="bottom"/>
                </w:tcPr>
                <w:p w14:paraId="5CABD2F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3AD3BF6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22" w:type="dxa"/>
                  <w:gridSpan w:val="3"/>
                  <w:tcBorders>
                    <w:top w:val="nil"/>
                    <w:left w:val="nil"/>
                    <w:bottom w:val="nil"/>
                    <w:right w:val="nil"/>
                    <w:tl2br w:val="nil"/>
                    <w:tr2bl w:val="nil"/>
                  </w:tcBorders>
                  <w:shd w:val="clear" w:color="auto" w:fill="auto"/>
                  <w:noWrap/>
                  <w:tcMar>
                    <w:left w:w="43" w:type="dxa"/>
                    <w:right w:w="43" w:type="dxa"/>
                  </w:tcMar>
                  <w:vAlign w:val="bottom"/>
                </w:tcPr>
                <w:p w14:paraId="4988209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Net profit (loss)</w:t>
                  </w: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0657A46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252</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B4B42A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41482FA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(512)</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959A5D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4F3BE01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329</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7112BB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78C72FB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C7EAC0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nil"/>
                    <w:left w:val="nil"/>
                    <w:bottom w:val="nil"/>
                    <w:right w:val="nil"/>
                    <w:tl2br w:val="nil"/>
                    <w:tr2bl w:val="nil"/>
                  </w:tcBorders>
                  <w:shd w:val="clear" w:color="auto" w:fill="auto"/>
                  <w:noWrap/>
                  <w:tcMar>
                    <w:left w:w="43" w:type="dxa"/>
                    <w:right w:w="178" w:type="dxa"/>
                  </w:tcMar>
                  <w:vAlign w:val="bottom"/>
                </w:tcPr>
                <w:p w14:paraId="729AE1C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(1,203)</w:t>
                  </w:r>
                </w:p>
              </w:tc>
            </w:tr>
            <w:tr w:rsidR="00213131" w:rsidRPr="004D7A72" w14:paraId="4D1965A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222" w:type="dxa"/>
                  <w:gridSpan w:val="3"/>
                  <w:tcBorders>
                    <w:top w:val="nil"/>
                    <w:left w:val="nil"/>
                    <w:bottom w:val="nil"/>
                    <w:right w:val="nil"/>
                    <w:tl2br w:val="nil"/>
                    <w:tr2bl w:val="nil"/>
                  </w:tcBorders>
                  <w:shd w:val="clear" w:color="auto" w:fill="auto"/>
                  <w:tcMar>
                    <w:left w:w="43" w:type="dxa"/>
                    <w:right w:w="43" w:type="dxa"/>
                  </w:tcMar>
                  <w:vAlign w:val="bottom"/>
                </w:tcPr>
                <w:p w14:paraId="6863541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Adjustments for conversion of financial statements of foreign operations</w:t>
                  </w: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459E0FF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(116)</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BD711C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64D1EF1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718</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4CDF92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4CDB548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546D4A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5959C09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330</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33D851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nil"/>
                    <w:left w:val="nil"/>
                    <w:bottom w:val="nil"/>
                    <w:right w:val="nil"/>
                    <w:tl2br w:val="nil"/>
                    <w:tr2bl w:val="nil"/>
                  </w:tcBorders>
                  <w:shd w:val="clear" w:color="auto" w:fill="auto"/>
                  <w:noWrap/>
                  <w:tcMar>
                    <w:left w:w="43" w:type="dxa"/>
                    <w:right w:w="178" w:type="dxa"/>
                  </w:tcMar>
                  <w:vAlign w:val="bottom"/>
                </w:tcPr>
                <w:p w14:paraId="4A26C9D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667</w:t>
                  </w:r>
                </w:p>
              </w:tc>
            </w:tr>
            <w:tr w:rsidR="00213131" w:rsidRPr="004D7A72" w14:paraId="0618ADD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222" w:type="dxa"/>
                  <w:gridSpan w:val="3"/>
                  <w:tcBorders>
                    <w:top w:val="nil"/>
                    <w:left w:val="nil"/>
                    <w:bottom w:val="nil"/>
                    <w:right w:val="nil"/>
                    <w:tl2br w:val="nil"/>
                    <w:tr2bl w:val="nil"/>
                  </w:tcBorders>
                  <w:shd w:val="clear" w:color="auto" w:fill="auto"/>
                  <w:tcMar>
                    <w:left w:w="43" w:type="dxa"/>
                    <w:right w:w="43" w:type="dxa"/>
                  </w:tcMar>
                </w:tcPr>
                <w:p w14:paraId="625E059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Profit (loss) for cash flow hedges </w:t>
                  </w: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4C08919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31</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FC57E9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5695ED3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0BA8E7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1FF8D84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88EF71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nil"/>
                    <w:right w:val="nil"/>
                    <w:tl2br w:val="nil"/>
                    <w:tr2bl w:val="nil"/>
                  </w:tcBorders>
                  <w:shd w:val="clear" w:color="auto" w:fill="auto"/>
                  <w:noWrap/>
                  <w:tcMar>
                    <w:left w:w="43" w:type="dxa"/>
                    <w:right w:w="178" w:type="dxa"/>
                  </w:tcMar>
                  <w:vAlign w:val="bottom"/>
                </w:tcPr>
                <w:p w14:paraId="0FA9DD2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17</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296436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nil"/>
                    <w:left w:val="nil"/>
                    <w:bottom w:val="nil"/>
                    <w:right w:val="nil"/>
                    <w:tl2br w:val="nil"/>
                    <w:tr2bl w:val="nil"/>
                  </w:tcBorders>
                  <w:shd w:val="clear" w:color="auto" w:fill="auto"/>
                  <w:noWrap/>
                  <w:tcMar>
                    <w:left w:w="43" w:type="dxa"/>
                    <w:right w:w="178" w:type="dxa"/>
                  </w:tcMar>
                  <w:vAlign w:val="bottom"/>
                </w:tcPr>
                <w:p w14:paraId="59A4107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(78)</w:t>
                  </w:r>
                </w:p>
              </w:tc>
            </w:tr>
            <w:tr w:rsidR="00213131" w:rsidRPr="004D7A72" w14:paraId="781DBB1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4222" w:type="dxa"/>
                  <w:gridSpan w:val="3"/>
                  <w:tcBorders>
                    <w:top w:val="nil"/>
                    <w:left w:val="nil"/>
                    <w:bottom w:val="nil"/>
                    <w:right w:val="nil"/>
                    <w:tl2br w:val="nil"/>
                    <w:tr2bl w:val="nil"/>
                  </w:tcBorders>
                  <w:shd w:val="clear" w:color="auto" w:fill="auto"/>
                  <w:tcMar>
                    <w:left w:w="43" w:type="dxa"/>
                    <w:right w:w="43" w:type="dxa"/>
                  </w:tcMar>
                  <w:vAlign w:val="bottom"/>
                </w:tcPr>
                <w:p w14:paraId="7BD16D8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Loss with respect to financial assets at fair value through other comprehensive income </w:t>
                  </w:r>
                </w:p>
                <w:p w14:paraId="2C63301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11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43841E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D456EE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BBC2CB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(33)</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D0C6D6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0CDEB1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6C1006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538BBC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(33)</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C892ED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05D5DA2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(51)</w:t>
                  </w:r>
                </w:p>
              </w:tc>
            </w:tr>
            <w:tr w:rsidR="00213131" w:rsidRPr="004D7A72" w14:paraId="34A816D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22" w:type="dxa"/>
                  <w:gridSpan w:val="3"/>
                  <w:tcBorders>
                    <w:top w:val="nil"/>
                    <w:left w:val="nil"/>
                    <w:bottom w:val="nil"/>
                    <w:right w:val="nil"/>
                    <w:tl2br w:val="nil"/>
                    <w:tr2bl w:val="nil"/>
                  </w:tcBorders>
                  <w:shd w:val="clear" w:color="auto" w:fill="auto"/>
                  <w:noWrap/>
                  <w:tcMar>
                    <w:left w:w="0" w:type="dxa"/>
                    <w:right w:w="0" w:type="dxa"/>
                  </w:tcMar>
                  <w:vAlign w:val="bottom"/>
                </w:tcPr>
                <w:p w14:paraId="279E52E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7FDFCFD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167</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8348BF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22E9A90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178</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906D49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1615F37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333</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32A74B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116"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6ECBC7A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311</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AB7163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0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7CDC90B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(665)</w:t>
                  </w:r>
                </w:p>
              </w:tc>
            </w:tr>
            <w:tr w:rsidR="00213131" w:rsidRPr="004D7A72" w14:paraId="4ECEF2C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8" w:type="dxa"/>
                  <w:tcBorders>
                    <w:top w:val="nil"/>
                    <w:left w:val="nil"/>
                    <w:bottom w:val="nil"/>
                    <w:right w:val="nil"/>
                    <w:tl2br w:val="nil"/>
                    <w:tr2bl w:val="nil"/>
                  </w:tcBorders>
                  <w:shd w:val="clear" w:color="auto" w:fill="auto"/>
                  <w:noWrap/>
                  <w:tcMar>
                    <w:left w:w="0" w:type="dxa"/>
                    <w:right w:w="0" w:type="dxa"/>
                  </w:tcMar>
                  <w:vAlign w:val="bottom"/>
                </w:tcPr>
                <w:p w14:paraId="2F82159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38" w:type="dxa"/>
                  <w:tcBorders>
                    <w:top w:val="nil"/>
                    <w:left w:val="nil"/>
                    <w:bottom w:val="nil"/>
                    <w:right w:val="nil"/>
                    <w:tl2br w:val="nil"/>
                    <w:tr2bl w:val="nil"/>
                  </w:tcBorders>
                  <w:shd w:val="clear" w:color="auto" w:fill="auto"/>
                  <w:noWrap/>
                  <w:tcMar>
                    <w:left w:w="0" w:type="dxa"/>
                    <w:right w:w="0" w:type="dxa"/>
                  </w:tcMar>
                  <w:vAlign w:val="bottom"/>
                </w:tcPr>
                <w:p w14:paraId="2C8344F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546" w:type="dxa"/>
                  <w:tcBorders>
                    <w:top w:val="nil"/>
                    <w:left w:val="nil"/>
                    <w:bottom w:val="nil"/>
                    <w:right w:val="nil"/>
                    <w:tl2br w:val="nil"/>
                    <w:tr2bl w:val="nil"/>
                  </w:tcBorders>
                  <w:shd w:val="clear" w:color="auto" w:fill="auto"/>
                  <w:noWrap/>
                  <w:tcMar>
                    <w:left w:w="0" w:type="dxa"/>
                    <w:right w:w="0" w:type="dxa"/>
                  </w:tcMar>
                  <w:vAlign w:val="bottom"/>
                </w:tcPr>
                <w:p w14:paraId="42FA261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1939F6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75675C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AF2155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429523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044F1C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FFD718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116"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8F863D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C1BF4B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4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789069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r>
            <w:tr w:rsidR="00213131" w:rsidRPr="004D7A72" w14:paraId="2577808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10206" w:type="dxa"/>
                  <w:gridSpan w:val="12"/>
                  <w:tcBorders>
                    <w:top w:val="nil"/>
                    <w:left w:val="nil"/>
                    <w:bottom w:val="nil"/>
                    <w:right w:val="nil"/>
                    <w:tl2br w:val="nil"/>
                    <w:tr2bl w:val="nil"/>
                  </w:tcBorders>
                  <w:shd w:val="clear" w:color="auto" w:fill="auto"/>
                  <w:noWrap/>
                  <w:tcMar>
                    <w:left w:w="43" w:type="dxa"/>
                    <w:right w:w="43" w:type="dxa"/>
                  </w:tcMar>
                  <w:vAlign w:val="bottom"/>
                </w:tcPr>
                <w:p w14:paraId="7445666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The accompanying notes constitute an integral part of these consolidated interim financial statements.</w:t>
                  </w:r>
                </w:p>
              </w:tc>
            </w:tr>
          </w:tbl>
          <w:p w14:paraId="74896FC2" w14:textId="77777777" w:rsidR="00213131" w:rsidRPr="004D7A72" w:rsidRDefault="00213131" w:rsidP="00A65A6F">
            <w:pPr>
              <w:rPr>
                <w:rFonts w:asciiTheme="majorBidi" w:hAnsiTheme="majorBidi" w:cstheme="majorBidi"/>
              </w:rPr>
            </w:pPr>
          </w:p>
        </w:tc>
      </w:tr>
    </w:tbl>
    <w:p w14:paraId="012A2833" w14:textId="77777777" w:rsidR="00213131" w:rsidRPr="004D7A72" w:rsidRDefault="00213131" w:rsidP="00213131">
      <w:pPr>
        <w:spacing w:after="200"/>
        <w:rPr>
          <w:rFonts w:asciiTheme="majorBidi" w:hAnsiTheme="majorBidi" w:cstheme="majorBidi"/>
          <w:vanish/>
        </w:rPr>
        <w:sectPr w:rsidR="00213131" w:rsidRPr="004D7A72" w:rsidSect="001015E6">
          <w:headerReference w:type="even" r:id="rId46"/>
          <w:headerReference w:type="default" r:id="rId47"/>
          <w:footerReference w:type="even" r:id="rId48"/>
          <w:footerReference w:type="default" r:id="rId49"/>
          <w:headerReference w:type="first" r:id="rId50"/>
          <w:footerReference w:type="first" r:id="rId51"/>
          <w:footnotePr>
            <w:numRestart w:val="eachPage"/>
          </w:footnotePr>
          <w:type w:val="continuous"/>
          <w:pgSz w:w="11906" w:h="16838"/>
          <w:pgMar w:top="1128" w:right="992" w:bottom="1134" w:left="992" w:header="567" w:footer="567" w:gutter="0"/>
          <w:pgBorders>
            <w:top w:val="nil"/>
            <w:left w:val="nil"/>
            <w:bottom w:val="nil"/>
            <w:right w:val="nil"/>
          </w:pgBorders>
          <w:cols w:space="720"/>
          <w:rtlGutter/>
          <w:docGrid w:linePitch="360"/>
        </w:sectPr>
      </w:pPr>
    </w:p>
    <w:p w14:paraId="4954DA88" w14:textId="77777777" w:rsidR="00213131" w:rsidRPr="004D7A72" w:rsidRDefault="00213131" w:rsidP="00213131">
      <w:pPr>
        <w:pageBreakBefore/>
        <w:rPr>
          <w:rFonts w:asciiTheme="majorBidi" w:hAnsiTheme="majorBidi" w:cstheme="majorBidi"/>
          <w:vanish/>
        </w:rPr>
      </w:pPr>
      <w:bookmarkStart w:id="133" w:name="RG_MARKER_56655"/>
      <w:bookmarkStart w:id="134" w:name="RG_MARKER_56585"/>
      <w:bookmarkEnd w:id="133"/>
      <w:bookmarkEnd w:id="134"/>
    </w:p>
    <w:tbl>
      <w:tblPr>
        <w:tblStyle w:val="TableGrid"/>
        <w:tblW w:w="0" w:type="auto"/>
        <w:tblCellMar>
          <w:left w:w="0" w:type="dxa"/>
          <w:right w:w="0" w:type="dxa"/>
        </w:tblCellMar>
        <w:tblLook w:val="04A0" w:firstRow="1" w:lastRow="0" w:firstColumn="1" w:lastColumn="0" w:noHBand="0" w:noVBand="1"/>
      </w:tblPr>
      <w:tblGrid>
        <w:gridCol w:w="14854"/>
      </w:tblGrid>
      <w:tr w:rsidR="00213131" w:rsidRPr="004D7A72" w14:paraId="1748AF78" w14:textId="77777777" w:rsidTr="00A65A6F">
        <w:trPr>
          <w:cantSplit/>
        </w:trPr>
        <w:tc>
          <w:tcPr>
            <w:tcW w:w="14854" w:type="dxa"/>
            <w:tcBorders>
              <w:top w:val="nil"/>
              <w:left w:val="nil"/>
              <w:bottom w:val="nil"/>
              <w:right w:val="nil"/>
            </w:tcBorders>
          </w:tcPr>
          <w:tbl>
            <w:tblPr>
              <w:tblStyle w:val="CDMRange1"/>
              <w:tblW w:w="14920" w:type="dxa"/>
              <w:tblLook w:val="0600" w:firstRow="0" w:lastRow="0" w:firstColumn="0" w:lastColumn="0" w:noHBand="1" w:noVBand="1"/>
            </w:tblPr>
            <w:tblGrid>
              <w:gridCol w:w="432"/>
              <w:gridCol w:w="3801"/>
              <w:gridCol w:w="969"/>
              <w:gridCol w:w="256"/>
              <w:gridCol w:w="967"/>
              <w:gridCol w:w="255"/>
              <w:gridCol w:w="967"/>
              <w:gridCol w:w="156"/>
              <w:gridCol w:w="1040"/>
              <w:gridCol w:w="156"/>
              <w:gridCol w:w="967"/>
              <w:gridCol w:w="255"/>
              <w:gridCol w:w="967"/>
              <w:gridCol w:w="255"/>
              <w:gridCol w:w="967"/>
              <w:gridCol w:w="255"/>
              <w:gridCol w:w="967"/>
              <w:gridCol w:w="255"/>
              <w:gridCol w:w="967"/>
            </w:tblGrid>
            <w:tr w:rsidR="009A026B" w:rsidRPr="004D7A72" w14:paraId="45AECD72" w14:textId="77777777" w:rsidTr="005432E6">
              <w:trPr>
                <w:cantSplit/>
                <w:trHeight w:hRule="exact" w:val="259"/>
              </w:trPr>
              <w:tc>
                <w:tcPr>
                  <w:tcW w:w="426" w:type="dxa"/>
                  <w:tcBorders>
                    <w:top w:val="nil"/>
                    <w:left w:val="nil"/>
                    <w:bottom w:val="nil"/>
                    <w:right w:val="nil"/>
                    <w:tl2br w:val="nil"/>
                    <w:tr2bl w:val="nil"/>
                  </w:tcBorders>
                  <w:shd w:val="clear" w:color="auto" w:fill="auto"/>
                  <w:noWrap/>
                  <w:tcMar>
                    <w:left w:w="0" w:type="dxa"/>
                    <w:right w:w="0" w:type="dxa"/>
                  </w:tcMar>
                  <w:vAlign w:val="bottom"/>
                </w:tcPr>
                <w:p w14:paraId="5750817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3902" w:type="dxa"/>
                  <w:tcBorders>
                    <w:top w:val="nil"/>
                    <w:left w:val="nil"/>
                    <w:bottom w:val="nil"/>
                    <w:right w:val="nil"/>
                    <w:tl2br w:val="nil"/>
                    <w:tr2bl w:val="nil"/>
                  </w:tcBorders>
                  <w:shd w:val="clear" w:color="auto" w:fill="auto"/>
                  <w:noWrap/>
                  <w:tcMar>
                    <w:left w:w="0" w:type="dxa"/>
                    <w:right w:w="0" w:type="dxa"/>
                  </w:tcMar>
                  <w:vAlign w:val="bottom"/>
                </w:tcPr>
                <w:p w14:paraId="4684041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8156" w:type="dxa"/>
                  <w:gridSpan w:val="13"/>
                  <w:tcBorders>
                    <w:top w:val="nil"/>
                    <w:left w:val="nil"/>
                    <w:bottom w:val="single" w:sz="4" w:space="0" w:color="000000"/>
                    <w:right w:val="nil"/>
                    <w:tl2br w:val="nil"/>
                    <w:tr2bl w:val="nil"/>
                  </w:tcBorders>
                  <w:shd w:val="clear" w:color="auto" w:fill="auto"/>
                  <w:noWrap/>
                  <w:tcMar>
                    <w:left w:w="43" w:type="dxa"/>
                    <w:right w:w="43" w:type="dxa"/>
                  </w:tcMar>
                  <w:vAlign w:val="bottom"/>
                </w:tcPr>
                <w:p w14:paraId="519E5108"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Equity attributable to equity holders of the Company</w:t>
                  </w:r>
                </w:p>
              </w:tc>
              <w:tc>
                <w:tcPr>
                  <w:tcW w:w="243" w:type="dxa"/>
                  <w:tcBorders>
                    <w:top w:val="nil"/>
                    <w:left w:val="nil"/>
                    <w:bottom w:val="nil"/>
                    <w:right w:val="nil"/>
                    <w:tl2br w:val="nil"/>
                    <w:tr2bl w:val="nil"/>
                  </w:tcBorders>
                  <w:shd w:val="clear" w:color="auto" w:fill="auto"/>
                  <w:noWrap/>
                  <w:tcMar>
                    <w:left w:w="0" w:type="dxa"/>
                    <w:right w:w="0" w:type="dxa"/>
                  </w:tcMar>
                  <w:vAlign w:val="bottom"/>
                </w:tcPr>
                <w:p w14:paraId="419775D9" w14:textId="77777777" w:rsidR="00213131" w:rsidRPr="004D7A72" w:rsidRDefault="00213131" w:rsidP="00A65A6F">
                  <w:pPr>
                    <w:keepNext/>
                    <w:spacing w:before="0" w:after="0"/>
                    <w:ind w:left="-113" w:right="-113"/>
                    <w:jc w:val="left"/>
                    <w:rPr>
                      <w:rFonts w:asciiTheme="majorBidi" w:eastAsia="Ploni ML Medium AAA Medium" w:hAnsiTheme="majorBidi" w:cstheme="majorBidi"/>
                      <w:b/>
                      <w:color w:val="000000"/>
                      <w:sz w:val="18"/>
                      <w:szCs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A90ECC8" w14:textId="77777777" w:rsidR="00213131" w:rsidRPr="004D7A72" w:rsidRDefault="00213131" w:rsidP="00A65A6F">
                  <w:pPr>
                    <w:keepNext/>
                    <w:spacing w:before="0" w:after="0"/>
                    <w:ind w:left="-113" w:right="-113"/>
                    <w:jc w:val="left"/>
                    <w:rPr>
                      <w:rFonts w:asciiTheme="majorBidi" w:eastAsia="Ploni ML Medium AAA Medium" w:hAnsiTheme="majorBidi" w:cstheme="majorBidi"/>
                      <w:b/>
                      <w:color w:val="000000"/>
                      <w:sz w:val="18"/>
                      <w:szCs w:val="18"/>
                    </w:rPr>
                  </w:pPr>
                </w:p>
              </w:tc>
              <w:tc>
                <w:tcPr>
                  <w:tcW w:w="243" w:type="dxa"/>
                  <w:tcBorders>
                    <w:top w:val="nil"/>
                    <w:left w:val="nil"/>
                    <w:bottom w:val="nil"/>
                    <w:right w:val="nil"/>
                    <w:tl2br w:val="nil"/>
                    <w:tr2bl w:val="nil"/>
                  </w:tcBorders>
                  <w:shd w:val="clear" w:color="auto" w:fill="auto"/>
                  <w:noWrap/>
                  <w:tcMar>
                    <w:left w:w="0" w:type="dxa"/>
                    <w:right w:w="0" w:type="dxa"/>
                  </w:tcMar>
                  <w:vAlign w:val="bottom"/>
                </w:tcPr>
                <w:p w14:paraId="54D8A486" w14:textId="77777777" w:rsidR="00213131" w:rsidRPr="004D7A72" w:rsidRDefault="00213131" w:rsidP="00A65A6F">
                  <w:pPr>
                    <w:keepNext/>
                    <w:spacing w:before="0" w:after="0"/>
                    <w:ind w:left="-113" w:right="-113"/>
                    <w:jc w:val="left"/>
                    <w:rPr>
                      <w:rFonts w:asciiTheme="majorBidi" w:eastAsia="Ploni ML Medium AAA Medium" w:hAnsiTheme="majorBidi" w:cstheme="majorBidi"/>
                      <w:b/>
                      <w:color w:val="000000"/>
                      <w:sz w:val="18"/>
                      <w:szCs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62C89CA"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p>
              </w:tc>
            </w:tr>
            <w:tr w:rsidR="009A026B" w:rsidRPr="004D7A72" w14:paraId="2F6071D2"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26" w:type="dxa"/>
                  <w:tcBorders>
                    <w:top w:val="nil"/>
                    <w:left w:val="nil"/>
                    <w:bottom w:val="nil"/>
                    <w:right w:val="nil"/>
                    <w:tl2br w:val="nil"/>
                    <w:tr2bl w:val="nil"/>
                  </w:tcBorders>
                  <w:shd w:val="clear" w:color="auto" w:fill="auto"/>
                  <w:noWrap/>
                  <w:tcMar>
                    <w:left w:w="0" w:type="dxa"/>
                    <w:right w:w="0" w:type="dxa"/>
                  </w:tcMar>
                  <w:vAlign w:val="bottom"/>
                </w:tcPr>
                <w:p w14:paraId="5E0C57B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3902" w:type="dxa"/>
                  <w:tcBorders>
                    <w:top w:val="nil"/>
                    <w:left w:val="nil"/>
                    <w:bottom w:val="nil"/>
                    <w:right w:val="nil"/>
                    <w:tl2br w:val="nil"/>
                    <w:tr2bl w:val="nil"/>
                  </w:tcBorders>
                  <w:shd w:val="clear" w:color="auto" w:fill="auto"/>
                  <w:noWrap/>
                  <w:tcMar>
                    <w:left w:w="0" w:type="dxa"/>
                    <w:right w:w="0" w:type="dxa"/>
                  </w:tcMar>
                  <w:vAlign w:val="bottom"/>
                </w:tcPr>
                <w:p w14:paraId="1A8D13D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976"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313FFB13"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Share capital</w:t>
                  </w:r>
                </w:p>
              </w:tc>
              <w:tc>
                <w:tcPr>
                  <w:tcW w:w="57" w:type="dxa"/>
                  <w:tcBorders>
                    <w:top w:val="single" w:sz="4" w:space="0" w:color="000000"/>
                    <w:left w:val="nil"/>
                    <w:bottom w:val="nil"/>
                    <w:right w:val="nil"/>
                    <w:tl2br w:val="nil"/>
                    <w:tr2bl w:val="nil"/>
                  </w:tcBorders>
                  <w:shd w:val="clear" w:color="auto" w:fill="auto"/>
                  <w:tcMar>
                    <w:left w:w="0" w:type="dxa"/>
                    <w:right w:w="0" w:type="dxa"/>
                  </w:tcMar>
                  <w:vAlign w:val="bottom"/>
                </w:tcPr>
                <w:p w14:paraId="7E8FD00E"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p>
              </w:tc>
              <w:tc>
                <w:tcPr>
                  <w:tcW w:w="97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6E2DA637"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Share premium</w:t>
                  </w:r>
                </w:p>
              </w:tc>
              <w:tc>
                <w:tcPr>
                  <w:tcW w:w="243" w:type="dxa"/>
                  <w:tcBorders>
                    <w:top w:val="single" w:sz="4" w:space="0" w:color="000000"/>
                    <w:left w:val="nil"/>
                    <w:bottom w:val="nil"/>
                    <w:right w:val="nil"/>
                    <w:tl2br w:val="nil"/>
                    <w:tr2bl w:val="nil"/>
                  </w:tcBorders>
                  <w:shd w:val="clear" w:color="auto" w:fill="auto"/>
                  <w:tcMar>
                    <w:left w:w="0" w:type="dxa"/>
                    <w:right w:w="0" w:type="dxa"/>
                  </w:tcMar>
                  <w:vAlign w:val="bottom"/>
                </w:tcPr>
                <w:p w14:paraId="684E7301"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p>
              </w:tc>
              <w:tc>
                <w:tcPr>
                  <w:tcW w:w="97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249EE447"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Retained earnings</w:t>
                  </w:r>
                </w:p>
              </w:tc>
              <w:tc>
                <w:tcPr>
                  <w:tcW w:w="141" w:type="dxa"/>
                  <w:tcBorders>
                    <w:top w:val="single" w:sz="4" w:space="0" w:color="000000"/>
                    <w:left w:val="nil"/>
                    <w:bottom w:val="nil"/>
                    <w:right w:val="nil"/>
                    <w:tl2br w:val="nil"/>
                    <w:tr2bl w:val="nil"/>
                  </w:tcBorders>
                  <w:shd w:val="clear" w:color="auto" w:fill="auto"/>
                  <w:tcMar>
                    <w:left w:w="0" w:type="dxa"/>
                    <w:right w:w="0" w:type="dxa"/>
                  </w:tcMar>
                  <w:vAlign w:val="bottom"/>
                </w:tcPr>
                <w:p w14:paraId="7EA83561"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p>
              </w:tc>
              <w:tc>
                <w:tcPr>
                  <w:tcW w:w="105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1614D648" w14:textId="77777777" w:rsidR="00213131" w:rsidRPr="004D7A72" w:rsidRDefault="00213131" w:rsidP="005432E6">
                  <w:pPr>
                    <w:keepNext/>
                    <w:spacing w:before="0" w:after="0"/>
                    <w:ind w:left="-113" w:right="-113" w:firstLine="33"/>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Adjustments due to translation of financial statements of foreign operations</w:t>
                  </w:r>
                </w:p>
              </w:tc>
              <w:tc>
                <w:tcPr>
                  <w:tcW w:w="141" w:type="dxa"/>
                  <w:tcBorders>
                    <w:top w:val="single" w:sz="4" w:space="0" w:color="000000"/>
                    <w:left w:val="nil"/>
                    <w:bottom w:val="nil"/>
                    <w:right w:val="nil"/>
                    <w:tl2br w:val="nil"/>
                    <w:tr2bl w:val="nil"/>
                  </w:tcBorders>
                  <w:shd w:val="clear" w:color="auto" w:fill="auto"/>
                  <w:tcMar>
                    <w:left w:w="0" w:type="dxa"/>
                    <w:right w:w="0" w:type="dxa"/>
                  </w:tcMar>
                  <w:vAlign w:val="bottom"/>
                </w:tcPr>
                <w:p w14:paraId="386D4E5D"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p>
              </w:tc>
              <w:tc>
                <w:tcPr>
                  <w:tcW w:w="97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54642731"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Other reserves</w:t>
                  </w:r>
                </w:p>
              </w:tc>
              <w:tc>
                <w:tcPr>
                  <w:tcW w:w="243" w:type="dxa"/>
                  <w:tcBorders>
                    <w:top w:val="single" w:sz="4" w:space="0" w:color="000000"/>
                    <w:left w:val="nil"/>
                    <w:bottom w:val="nil"/>
                    <w:right w:val="nil"/>
                    <w:tl2br w:val="nil"/>
                    <w:tr2bl w:val="nil"/>
                  </w:tcBorders>
                  <w:shd w:val="clear" w:color="auto" w:fill="auto"/>
                  <w:tcMar>
                    <w:left w:w="0" w:type="dxa"/>
                    <w:right w:w="0" w:type="dxa"/>
                  </w:tcMar>
                  <w:vAlign w:val="bottom"/>
                </w:tcPr>
                <w:p w14:paraId="214061BD"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p>
              </w:tc>
              <w:tc>
                <w:tcPr>
                  <w:tcW w:w="97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3DF24875"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Treasury shares</w:t>
                  </w:r>
                </w:p>
              </w:tc>
              <w:tc>
                <w:tcPr>
                  <w:tcW w:w="243" w:type="dxa"/>
                  <w:tcBorders>
                    <w:top w:val="single" w:sz="4" w:space="0" w:color="000000"/>
                    <w:left w:val="nil"/>
                    <w:bottom w:val="nil"/>
                    <w:right w:val="nil"/>
                    <w:tl2br w:val="nil"/>
                    <w:tr2bl w:val="nil"/>
                  </w:tcBorders>
                  <w:shd w:val="clear" w:color="auto" w:fill="auto"/>
                  <w:tcMar>
                    <w:left w:w="0" w:type="dxa"/>
                    <w:right w:w="0" w:type="dxa"/>
                  </w:tcMar>
                  <w:vAlign w:val="bottom"/>
                </w:tcPr>
                <w:p w14:paraId="12D27E35"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p>
              </w:tc>
              <w:tc>
                <w:tcPr>
                  <w:tcW w:w="975"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30407898"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Total</w:t>
                  </w:r>
                </w:p>
              </w:tc>
              <w:tc>
                <w:tcPr>
                  <w:tcW w:w="243" w:type="dxa"/>
                  <w:tcBorders>
                    <w:top w:val="nil"/>
                    <w:left w:val="nil"/>
                    <w:bottom w:val="nil"/>
                    <w:right w:val="nil"/>
                    <w:tl2br w:val="nil"/>
                    <w:tr2bl w:val="nil"/>
                  </w:tcBorders>
                  <w:shd w:val="clear" w:color="auto" w:fill="auto"/>
                  <w:tcMar>
                    <w:left w:w="0" w:type="dxa"/>
                    <w:right w:w="0" w:type="dxa"/>
                  </w:tcMar>
                  <w:vAlign w:val="bottom"/>
                </w:tcPr>
                <w:p w14:paraId="345F21AE"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p>
              </w:tc>
              <w:tc>
                <w:tcPr>
                  <w:tcW w:w="975" w:type="dxa"/>
                  <w:tcBorders>
                    <w:top w:val="nil"/>
                    <w:left w:val="nil"/>
                    <w:bottom w:val="single" w:sz="4" w:space="0" w:color="000000"/>
                    <w:right w:val="nil"/>
                    <w:tl2br w:val="nil"/>
                    <w:tr2bl w:val="nil"/>
                  </w:tcBorders>
                  <w:shd w:val="clear" w:color="auto" w:fill="auto"/>
                  <w:tcMar>
                    <w:left w:w="43" w:type="dxa"/>
                    <w:right w:w="43" w:type="dxa"/>
                  </w:tcMar>
                  <w:vAlign w:val="bottom"/>
                </w:tcPr>
                <w:p w14:paraId="409BEE79"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Non-controlling interests</w:t>
                  </w:r>
                </w:p>
              </w:tc>
              <w:tc>
                <w:tcPr>
                  <w:tcW w:w="243" w:type="dxa"/>
                  <w:tcBorders>
                    <w:top w:val="nil"/>
                    <w:left w:val="nil"/>
                    <w:bottom w:val="nil"/>
                    <w:right w:val="nil"/>
                    <w:tl2br w:val="nil"/>
                    <w:tr2bl w:val="nil"/>
                  </w:tcBorders>
                  <w:shd w:val="clear" w:color="auto" w:fill="auto"/>
                  <w:tcMar>
                    <w:left w:w="0" w:type="dxa"/>
                    <w:right w:w="0" w:type="dxa"/>
                  </w:tcMar>
                  <w:vAlign w:val="bottom"/>
                </w:tcPr>
                <w:p w14:paraId="39185EC4"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p>
              </w:tc>
              <w:tc>
                <w:tcPr>
                  <w:tcW w:w="975" w:type="dxa"/>
                  <w:tcBorders>
                    <w:top w:val="nil"/>
                    <w:left w:val="nil"/>
                    <w:bottom w:val="single" w:sz="4" w:space="0" w:color="000000"/>
                    <w:right w:val="nil"/>
                    <w:tl2br w:val="nil"/>
                    <w:tr2bl w:val="nil"/>
                  </w:tcBorders>
                  <w:shd w:val="clear" w:color="auto" w:fill="auto"/>
                  <w:tcMar>
                    <w:left w:w="43" w:type="dxa"/>
                    <w:right w:w="43" w:type="dxa"/>
                  </w:tcMar>
                  <w:vAlign w:val="bottom"/>
                </w:tcPr>
                <w:p w14:paraId="76F851A1"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Total equity</w:t>
                  </w:r>
                </w:p>
              </w:tc>
            </w:tr>
            <w:tr w:rsidR="005432E6" w:rsidRPr="004D7A72" w14:paraId="2F5D8E24"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26" w:type="dxa"/>
                  <w:tcBorders>
                    <w:top w:val="nil"/>
                    <w:left w:val="nil"/>
                    <w:bottom w:val="nil"/>
                    <w:right w:val="nil"/>
                    <w:tl2br w:val="nil"/>
                    <w:tr2bl w:val="nil"/>
                  </w:tcBorders>
                  <w:shd w:val="clear" w:color="auto" w:fill="auto"/>
                  <w:noWrap/>
                  <w:tcMar>
                    <w:left w:w="0" w:type="dxa"/>
                    <w:right w:w="0" w:type="dxa"/>
                  </w:tcMar>
                  <w:vAlign w:val="bottom"/>
                </w:tcPr>
                <w:p w14:paraId="21FB412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3902" w:type="dxa"/>
                  <w:tcBorders>
                    <w:top w:val="nil"/>
                    <w:left w:val="nil"/>
                    <w:bottom w:val="nil"/>
                    <w:right w:val="nil"/>
                    <w:tl2br w:val="nil"/>
                    <w:tr2bl w:val="nil"/>
                  </w:tcBorders>
                  <w:shd w:val="clear" w:color="auto" w:fill="auto"/>
                  <w:noWrap/>
                  <w:tcMar>
                    <w:left w:w="0" w:type="dxa"/>
                    <w:right w:w="0" w:type="dxa"/>
                  </w:tcMar>
                  <w:vAlign w:val="bottom"/>
                </w:tcPr>
                <w:p w14:paraId="3EFF7A6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592" w:type="dxa"/>
                  <w:gridSpan w:val="17"/>
                  <w:tcBorders>
                    <w:top w:val="nil"/>
                    <w:left w:val="nil"/>
                    <w:bottom w:val="single" w:sz="4" w:space="0" w:color="000000"/>
                    <w:right w:val="nil"/>
                    <w:tl2br w:val="nil"/>
                    <w:tr2bl w:val="nil"/>
                  </w:tcBorders>
                  <w:shd w:val="clear" w:color="auto" w:fill="auto"/>
                  <w:tcMar>
                    <w:left w:w="43" w:type="dxa"/>
                    <w:right w:w="43" w:type="dxa"/>
                  </w:tcMar>
                  <w:vAlign w:val="bottom"/>
                </w:tcPr>
                <w:p w14:paraId="6A072684"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Unaudited</w:t>
                  </w:r>
                </w:p>
              </w:tc>
            </w:tr>
            <w:tr w:rsidR="005432E6" w:rsidRPr="004D7A72" w14:paraId="46EBF8DF"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26" w:type="dxa"/>
                  <w:tcBorders>
                    <w:top w:val="nil"/>
                    <w:left w:val="nil"/>
                    <w:bottom w:val="nil"/>
                    <w:right w:val="nil"/>
                    <w:tl2br w:val="nil"/>
                    <w:tr2bl w:val="nil"/>
                  </w:tcBorders>
                  <w:shd w:val="clear" w:color="auto" w:fill="auto"/>
                  <w:noWrap/>
                  <w:tcMar>
                    <w:left w:w="0" w:type="dxa"/>
                    <w:right w:w="0" w:type="dxa"/>
                  </w:tcMar>
                  <w:vAlign w:val="bottom"/>
                </w:tcPr>
                <w:p w14:paraId="3322BC0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3902" w:type="dxa"/>
                  <w:tcBorders>
                    <w:top w:val="nil"/>
                    <w:left w:val="nil"/>
                    <w:bottom w:val="nil"/>
                    <w:right w:val="nil"/>
                    <w:tl2br w:val="nil"/>
                    <w:tr2bl w:val="nil"/>
                  </w:tcBorders>
                  <w:shd w:val="clear" w:color="auto" w:fill="auto"/>
                  <w:noWrap/>
                  <w:tcMar>
                    <w:left w:w="0" w:type="dxa"/>
                    <w:right w:w="0" w:type="dxa"/>
                  </w:tcMar>
                  <w:vAlign w:val="bottom"/>
                </w:tcPr>
                <w:p w14:paraId="5694B7F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592" w:type="dxa"/>
                  <w:gridSpan w:val="17"/>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2262E4B0" w14:textId="77777777" w:rsidR="00213131" w:rsidRPr="004D7A72" w:rsidRDefault="00213131" w:rsidP="00A65A6F">
                  <w:pPr>
                    <w:keepNext/>
                    <w:spacing w:before="0" w:after="0"/>
                    <w:ind w:left="-113" w:right="-113"/>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NIS million</w:t>
                  </w:r>
                </w:p>
              </w:tc>
            </w:tr>
            <w:tr w:rsidR="005432E6" w:rsidRPr="004D7A72" w14:paraId="4442AE31"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328" w:type="dxa"/>
                  <w:gridSpan w:val="2"/>
                  <w:tcBorders>
                    <w:top w:val="nil"/>
                    <w:left w:val="nil"/>
                    <w:bottom w:val="nil"/>
                    <w:right w:val="nil"/>
                    <w:tl2br w:val="nil"/>
                    <w:tr2bl w:val="nil"/>
                  </w:tcBorders>
                  <w:shd w:val="clear" w:color="auto" w:fill="auto"/>
                  <w:noWrap/>
                  <w:tcMar>
                    <w:left w:w="43" w:type="dxa"/>
                    <w:right w:w="43" w:type="dxa"/>
                  </w:tcMar>
                  <w:vAlign w:val="bottom"/>
                </w:tcPr>
                <w:p w14:paraId="65B7610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u w:val="single"/>
                    </w:rPr>
                  </w:pPr>
                  <w:r w:rsidRPr="004D7A72">
                    <w:rPr>
                      <w:rFonts w:asciiTheme="majorBidi" w:hAnsiTheme="majorBidi" w:cstheme="majorBidi"/>
                      <w:color w:val="000000"/>
                      <w:sz w:val="19"/>
                      <w:u w:val="single"/>
                    </w:rPr>
                    <w:t>Balance as at December 31, 2023 (Audited)</w:t>
                  </w:r>
                </w:p>
              </w:tc>
              <w:tc>
                <w:tcPr>
                  <w:tcW w:w="976"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4712E1A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239</w:t>
                  </w:r>
                </w:p>
              </w:tc>
              <w:tc>
                <w:tcPr>
                  <w:tcW w:w="243"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A668FE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BABE73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4,754</w:t>
                  </w:r>
                </w:p>
              </w:tc>
              <w:tc>
                <w:tcPr>
                  <w:tcW w:w="243"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CD1EF5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7CD7A59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2,430</w:t>
                  </w:r>
                </w:p>
              </w:tc>
              <w:tc>
                <w:tcPr>
                  <w:tcW w:w="141"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7F8422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5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A0FE51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(3,998)</w:t>
                  </w:r>
                </w:p>
              </w:tc>
              <w:tc>
                <w:tcPr>
                  <w:tcW w:w="141"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ED33E2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29041F8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1,413</w:t>
                  </w:r>
                </w:p>
              </w:tc>
              <w:tc>
                <w:tcPr>
                  <w:tcW w:w="243"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E3980B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1F0ABE3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w:t>
                  </w:r>
                </w:p>
              </w:tc>
              <w:tc>
                <w:tcPr>
                  <w:tcW w:w="243"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A2F715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91BBCA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4,837</w:t>
                  </w:r>
                </w:p>
              </w:tc>
              <w:tc>
                <w:tcPr>
                  <w:tcW w:w="243"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821D07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1446ADF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6,493</w:t>
                  </w:r>
                </w:p>
              </w:tc>
              <w:tc>
                <w:tcPr>
                  <w:tcW w:w="243"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68B81B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60FC25C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11,330</w:t>
                  </w:r>
                </w:p>
              </w:tc>
            </w:tr>
            <w:tr w:rsidR="005432E6" w:rsidRPr="004D7A72" w14:paraId="615EB9BA"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328" w:type="dxa"/>
                  <w:gridSpan w:val="2"/>
                  <w:tcBorders>
                    <w:top w:val="nil"/>
                    <w:left w:val="nil"/>
                    <w:bottom w:val="nil"/>
                    <w:right w:val="nil"/>
                    <w:tl2br w:val="nil"/>
                    <w:tr2bl w:val="nil"/>
                  </w:tcBorders>
                  <w:shd w:val="clear" w:color="auto" w:fill="auto"/>
                  <w:noWrap/>
                  <w:tcMar>
                    <w:left w:w="43" w:type="dxa"/>
                    <w:right w:w="43" w:type="dxa"/>
                  </w:tcMar>
                  <w:vAlign w:val="bottom"/>
                </w:tcPr>
                <w:p w14:paraId="4D2178A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Net profit</w:t>
                  </w:r>
                </w:p>
              </w:tc>
              <w:tc>
                <w:tcPr>
                  <w:tcW w:w="976"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181E52E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5E5EE5D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79A37FD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106BE05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158AABB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252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3EB8A1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5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7E1C732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47BB71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392B4E6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4D6BEB4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402F156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695428B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5CAAE5B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252</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233AC91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2142232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252</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014B127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381038C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504</w:t>
                  </w:r>
                </w:p>
              </w:tc>
            </w:tr>
            <w:tr w:rsidR="005432E6" w:rsidRPr="004D7A72" w14:paraId="2ADEED3B"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328" w:type="dxa"/>
                  <w:gridSpan w:val="2"/>
                  <w:tcBorders>
                    <w:top w:val="nil"/>
                    <w:left w:val="nil"/>
                    <w:bottom w:val="nil"/>
                    <w:right w:val="nil"/>
                    <w:tl2br w:val="nil"/>
                    <w:tr2bl w:val="nil"/>
                  </w:tcBorders>
                  <w:shd w:val="clear" w:color="auto" w:fill="auto"/>
                  <w:noWrap/>
                  <w:tcMar>
                    <w:left w:w="43" w:type="dxa"/>
                    <w:right w:w="43" w:type="dxa"/>
                  </w:tcMar>
                  <w:vAlign w:val="bottom"/>
                </w:tcPr>
                <w:p w14:paraId="0A0809E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Other comprehensive loss</w:t>
                  </w:r>
                </w:p>
              </w:tc>
              <w:tc>
                <w:tcPr>
                  <w:tcW w:w="97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170F45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155B103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188E61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5BEEF1D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8C0B2D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39B193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5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02209C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(116)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4DEBC4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FE9386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31</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5126583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713B6D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5A59FCB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940010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(85)</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3774EEA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BF4F0A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(30)</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1EC060E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5514C0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(115)</w:t>
                  </w:r>
                </w:p>
              </w:tc>
            </w:tr>
            <w:tr w:rsidR="009A026B" w:rsidRPr="004D7A72" w14:paraId="7DE750F7"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26" w:type="dxa"/>
                  <w:tcBorders>
                    <w:top w:val="nil"/>
                    <w:left w:val="nil"/>
                    <w:bottom w:val="nil"/>
                    <w:right w:val="nil"/>
                    <w:tl2br w:val="nil"/>
                    <w:tr2bl w:val="nil"/>
                  </w:tcBorders>
                  <w:shd w:val="clear" w:color="auto" w:fill="auto"/>
                  <w:noWrap/>
                  <w:tcMar>
                    <w:left w:w="0" w:type="dxa"/>
                    <w:right w:w="0" w:type="dxa"/>
                  </w:tcMar>
                  <w:vAlign w:val="bottom"/>
                </w:tcPr>
                <w:p w14:paraId="453FC2D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902" w:type="dxa"/>
                  <w:tcBorders>
                    <w:top w:val="nil"/>
                    <w:left w:val="nil"/>
                    <w:bottom w:val="nil"/>
                    <w:right w:val="nil"/>
                    <w:tl2br w:val="nil"/>
                    <w:tr2bl w:val="nil"/>
                  </w:tcBorders>
                  <w:shd w:val="clear" w:color="auto" w:fill="auto"/>
                  <w:noWrap/>
                  <w:tcMar>
                    <w:left w:w="0" w:type="dxa"/>
                    <w:right w:w="0" w:type="dxa"/>
                  </w:tcMar>
                  <w:vAlign w:val="bottom"/>
                </w:tcPr>
                <w:p w14:paraId="3A231DE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03F18A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3FA1DAE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F57526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14009FF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704C3A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CD3CFF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5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4DE03F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44B987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323DBE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31B6FC6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3FD3DE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353C9BE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1352C8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1FFB1C4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F79923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75EAEC1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07043D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r>
            <w:tr w:rsidR="005432E6" w:rsidRPr="004D7A72" w14:paraId="1BD59AE9"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328" w:type="dxa"/>
                  <w:gridSpan w:val="2"/>
                  <w:tcBorders>
                    <w:top w:val="nil"/>
                    <w:left w:val="nil"/>
                    <w:bottom w:val="nil"/>
                    <w:right w:val="nil"/>
                    <w:tl2br w:val="nil"/>
                    <w:tr2bl w:val="nil"/>
                  </w:tcBorders>
                  <w:shd w:val="clear" w:color="auto" w:fill="auto"/>
                  <w:noWrap/>
                  <w:tcMar>
                    <w:left w:w="43" w:type="dxa"/>
                    <w:right w:w="43" w:type="dxa"/>
                  </w:tcMar>
                  <w:vAlign w:val="bottom"/>
                </w:tcPr>
                <w:p w14:paraId="2E1A06F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Total comprehensive income</w:t>
                  </w:r>
                </w:p>
              </w:tc>
              <w:tc>
                <w:tcPr>
                  <w:tcW w:w="976" w:type="dxa"/>
                  <w:tcBorders>
                    <w:top w:val="nil"/>
                    <w:left w:val="nil"/>
                    <w:bottom w:val="nil"/>
                    <w:right w:val="nil"/>
                    <w:tl2br w:val="nil"/>
                    <w:tr2bl w:val="nil"/>
                  </w:tcBorders>
                  <w:shd w:val="clear" w:color="auto" w:fill="auto"/>
                  <w:noWrap/>
                  <w:tcMar>
                    <w:left w:w="43" w:type="dxa"/>
                    <w:right w:w="178" w:type="dxa"/>
                  </w:tcMar>
                  <w:vAlign w:val="bottom"/>
                </w:tcPr>
                <w:p w14:paraId="378A400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4DC6D72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6039F7F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2AEAD36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0DBC653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252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F82D5A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50" w:type="dxa"/>
                  <w:tcBorders>
                    <w:top w:val="nil"/>
                    <w:left w:val="nil"/>
                    <w:bottom w:val="nil"/>
                    <w:right w:val="nil"/>
                    <w:tl2br w:val="nil"/>
                    <w:tr2bl w:val="nil"/>
                  </w:tcBorders>
                  <w:shd w:val="clear" w:color="auto" w:fill="auto"/>
                  <w:noWrap/>
                  <w:tcMar>
                    <w:left w:w="43" w:type="dxa"/>
                    <w:right w:w="178" w:type="dxa"/>
                  </w:tcMar>
                  <w:vAlign w:val="bottom"/>
                </w:tcPr>
                <w:p w14:paraId="294C35A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(116)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BB2048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276595B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31</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7F2DC7D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1A57DFE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3834F99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6357951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167</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32000DB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471A13D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222</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4E7734E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4E367FE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389</w:t>
                  </w:r>
                </w:p>
              </w:tc>
            </w:tr>
            <w:tr w:rsidR="009A026B" w:rsidRPr="004D7A72" w14:paraId="4647A87A"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26" w:type="dxa"/>
                  <w:tcBorders>
                    <w:top w:val="nil"/>
                    <w:left w:val="nil"/>
                    <w:bottom w:val="nil"/>
                    <w:right w:val="nil"/>
                    <w:tl2br w:val="nil"/>
                    <w:tr2bl w:val="nil"/>
                  </w:tcBorders>
                  <w:shd w:val="clear" w:color="auto" w:fill="auto"/>
                  <w:noWrap/>
                  <w:tcMar>
                    <w:left w:w="0" w:type="dxa"/>
                    <w:right w:w="0" w:type="dxa"/>
                  </w:tcMar>
                  <w:vAlign w:val="bottom"/>
                </w:tcPr>
                <w:p w14:paraId="6CA495E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902" w:type="dxa"/>
                  <w:tcBorders>
                    <w:top w:val="nil"/>
                    <w:left w:val="nil"/>
                    <w:bottom w:val="nil"/>
                    <w:right w:val="nil"/>
                    <w:tl2br w:val="nil"/>
                    <w:tr2bl w:val="nil"/>
                  </w:tcBorders>
                  <w:shd w:val="clear" w:color="auto" w:fill="auto"/>
                  <w:noWrap/>
                  <w:tcMar>
                    <w:left w:w="0" w:type="dxa"/>
                    <w:right w:w="0" w:type="dxa"/>
                  </w:tcMar>
                  <w:vAlign w:val="bottom"/>
                </w:tcPr>
                <w:p w14:paraId="01171CF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976" w:type="dxa"/>
                  <w:tcBorders>
                    <w:top w:val="nil"/>
                    <w:left w:val="nil"/>
                    <w:bottom w:val="nil"/>
                    <w:right w:val="nil"/>
                    <w:tl2br w:val="nil"/>
                    <w:tr2bl w:val="nil"/>
                  </w:tcBorders>
                  <w:shd w:val="clear" w:color="auto" w:fill="auto"/>
                  <w:noWrap/>
                  <w:tcMar>
                    <w:left w:w="0" w:type="dxa"/>
                    <w:right w:w="135" w:type="dxa"/>
                  </w:tcMar>
                  <w:vAlign w:val="bottom"/>
                </w:tcPr>
                <w:p w14:paraId="6EBF71D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418043B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0" w:type="dxa"/>
                    <w:right w:w="135" w:type="dxa"/>
                  </w:tcMar>
                  <w:vAlign w:val="bottom"/>
                </w:tcPr>
                <w:p w14:paraId="70B1ADD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6B6741C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0" w:type="dxa"/>
                    <w:right w:w="135" w:type="dxa"/>
                  </w:tcMar>
                  <w:vAlign w:val="bottom"/>
                </w:tcPr>
                <w:p w14:paraId="7353A1D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A74D5F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50" w:type="dxa"/>
                  <w:tcBorders>
                    <w:top w:val="nil"/>
                    <w:left w:val="nil"/>
                    <w:bottom w:val="nil"/>
                    <w:right w:val="nil"/>
                    <w:tl2br w:val="nil"/>
                    <w:tr2bl w:val="nil"/>
                  </w:tcBorders>
                  <w:shd w:val="clear" w:color="auto" w:fill="auto"/>
                  <w:noWrap/>
                  <w:tcMar>
                    <w:left w:w="0" w:type="dxa"/>
                    <w:right w:w="135" w:type="dxa"/>
                  </w:tcMar>
                  <w:vAlign w:val="bottom"/>
                </w:tcPr>
                <w:p w14:paraId="1F41B11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632731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0" w:type="dxa"/>
                    <w:right w:w="135" w:type="dxa"/>
                  </w:tcMar>
                  <w:vAlign w:val="bottom"/>
                </w:tcPr>
                <w:p w14:paraId="4876807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052A3A4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0" w:type="dxa"/>
                    <w:right w:w="135" w:type="dxa"/>
                  </w:tcMar>
                  <w:vAlign w:val="bottom"/>
                </w:tcPr>
                <w:p w14:paraId="400A9DB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7251733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0" w:type="dxa"/>
                    <w:right w:w="135" w:type="dxa"/>
                  </w:tcMar>
                  <w:vAlign w:val="bottom"/>
                </w:tcPr>
                <w:p w14:paraId="39BDB08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3D297FF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0" w:type="dxa"/>
                    <w:right w:w="135" w:type="dxa"/>
                  </w:tcMar>
                  <w:vAlign w:val="bottom"/>
                </w:tcPr>
                <w:p w14:paraId="7C1EC93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4419724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0" w:type="dxa"/>
                    <w:right w:w="135" w:type="dxa"/>
                  </w:tcMar>
                  <w:vAlign w:val="bottom"/>
                </w:tcPr>
                <w:p w14:paraId="1F421C6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r>
            <w:tr w:rsidR="005432E6" w:rsidRPr="004D7A72" w14:paraId="204CA19E"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328" w:type="dxa"/>
                  <w:gridSpan w:val="2"/>
                  <w:tcBorders>
                    <w:top w:val="nil"/>
                    <w:left w:val="nil"/>
                    <w:bottom w:val="nil"/>
                    <w:right w:val="nil"/>
                    <w:tl2br w:val="nil"/>
                    <w:tr2bl w:val="nil"/>
                  </w:tcBorders>
                  <w:shd w:val="clear" w:color="auto" w:fill="auto"/>
                  <w:tcMar>
                    <w:left w:w="43" w:type="dxa"/>
                    <w:right w:w="43" w:type="dxa"/>
                  </w:tcMar>
                  <w:vAlign w:val="bottom"/>
                </w:tcPr>
                <w:p w14:paraId="4617381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Exercise and forfeiture of options for Company shares</w:t>
                  </w:r>
                </w:p>
              </w:tc>
              <w:tc>
                <w:tcPr>
                  <w:tcW w:w="976" w:type="dxa"/>
                  <w:tcBorders>
                    <w:top w:val="nil"/>
                    <w:left w:val="nil"/>
                    <w:bottom w:val="nil"/>
                    <w:right w:val="nil"/>
                    <w:tl2br w:val="nil"/>
                    <w:tr2bl w:val="nil"/>
                  </w:tcBorders>
                  <w:shd w:val="clear" w:color="auto" w:fill="auto"/>
                  <w:noWrap/>
                  <w:tcMar>
                    <w:left w:w="43" w:type="dxa"/>
                    <w:right w:w="178" w:type="dxa"/>
                  </w:tcMar>
                  <w:vAlign w:val="bottom"/>
                </w:tcPr>
                <w:p w14:paraId="03CFE08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58E4DBB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5ECE5C1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28</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2DB0B3C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6EEEB58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6B812F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50" w:type="dxa"/>
                  <w:tcBorders>
                    <w:top w:val="nil"/>
                    <w:left w:val="nil"/>
                    <w:bottom w:val="nil"/>
                    <w:right w:val="nil"/>
                    <w:tl2br w:val="nil"/>
                    <w:tr2bl w:val="nil"/>
                  </w:tcBorders>
                  <w:shd w:val="clear" w:color="auto" w:fill="auto"/>
                  <w:noWrap/>
                  <w:tcMar>
                    <w:left w:w="43" w:type="dxa"/>
                    <w:right w:w="178" w:type="dxa"/>
                  </w:tcMar>
                  <w:vAlign w:val="bottom"/>
                </w:tcPr>
                <w:p w14:paraId="6EBCED8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0F1B67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33F23D2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(28)</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6F213BB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68FDA67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65E6FC5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696C684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7EE96C9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5BF7E64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5049EA5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3EB0D0F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r>
            <w:tr w:rsidR="005432E6" w:rsidRPr="004D7A72" w14:paraId="7BA50F1C"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328" w:type="dxa"/>
                  <w:gridSpan w:val="2"/>
                  <w:tcBorders>
                    <w:top w:val="nil"/>
                    <w:left w:val="nil"/>
                    <w:bottom w:val="nil"/>
                    <w:right w:val="nil"/>
                    <w:tl2br w:val="nil"/>
                    <w:tr2bl w:val="nil"/>
                  </w:tcBorders>
                  <w:shd w:val="clear" w:color="auto" w:fill="auto"/>
                  <w:noWrap/>
                  <w:tcMar>
                    <w:left w:w="43" w:type="dxa"/>
                    <w:right w:w="43" w:type="dxa"/>
                  </w:tcMar>
                  <w:vAlign w:val="bottom"/>
                </w:tcPr>
                <w:p w14:paraId="36E0EBBD"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Acquisition of treasury shares</w:t>
                  </w:r>
                </w:p>
              </w:tc>
              <w:tc>
                <w:tcPr>
                  <w:tcW w:w="976" w:type="dxa"/>
                  <w:tcBorders>
                    <w:top w:val="nil"/>
                    <w:left w:val="nil"/>
                    <w:bottom w:val="nil"/>
                    <w:right w:val="nil"/>
                    <w:tl2br w:val="nil"/>
                    <w:tr2bl w:val="nil"/>
                  </w:tcBorders>
                  <w:shd w:val="clear" w:color="auto" w:fill="auto"/>
                  <w:noWrap/>
                  <w:tcMar>
                    <w:left w:w="43" w:type="dxa"/>
                    <w:right w:w="178" w:type="dxa"/>
                  </w:tcMar>
                  <w:vAlign w:val="bottom"/>
                </w:tcPr>
                <w:p w14:paraId="6DC0741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0B33A78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57AE86A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5D6FF59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2B2D0AD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A06301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50" w:type="dxa"/>
                  <w:tcBorders>
                    <w:top w:val="nil"/>
                    <w:left w:val="nil"/>
                    <w:bottom w:val="nil"/>
                    <w:right w:val="nil"/>
                    <w:tl2br w:val="nil"/>
                    <w:tr2bl w:val="nil"/>
                  </w:tcBorders>
                  <w:shd w:val="clear" w:color="auto" w:fill="auto"/>
                  <w:noWrap/>
                  <w:tcMar>
                    <w:left w:w="43" w:type="dxa"/>
                    <w:right w:w="178" w:type="dxa"/>
                  </w:tcMar>
                  <w:vAlign w:val="bottom"/>
                </w:tcPr>
                <w:p w14:paraId="5A70264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B79E4C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2E4ACF2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06FB019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6678A43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(10)</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3D40D22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7ACC26B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(10)</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04F746C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1D630E9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7C33AFF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65F1786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(10)</w:t>
                  </w:r>
                </w:p>
              </w:tc>
            </w:tr>
            <w:tr w:rsidR="005432E6" w:rsidRPr="004D7A72" w14:paraId="7C01A994"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328" w:type="dxa"/>
                  <w:gridSpan w:val="2"/>
                  <w:tcBorders>
                    <w:top w:val="nil"/>
                    <w:left w:val="nil"/>
                    <w:bottom w:val="nil"/>
                    <w:right w:val="nil"/>
                    <w:tl2br w:val="nil"/>
                    <w:tr2bl w:val="nil"/>
                  </w:tcBorders>
                  <w:shd w:val="clear" w:color="auto" w:fill="auto"/>
                  <w:noWrap/>
                  <w:tcMar>
                    <w:left w:w="43" w:type="dxa"/>
                    <w:right w:w="43" w:type="dxa"/>
                  </w:tcMar>
                  <w:vAlign w:val="bottom"/>
                </w:tcPr>
                <w:p w14:paraId="0641A38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Cost of share-based payment</w:t>
                  </w:r>
                </w:p>
              </w:tc>
              <w:tc>
                <w:tcPr>
                  <w:tcW w:w="976" w:type="dxa"/>
                  <w:tcBorders>
                    <w:top w:val="nil"/>
                    <w:left w:val="nil"/>
                    <w:bottom w:val="nil"/>
                    <w:right w:val="nil"/>
                    <w:tl2br w:val="nil"/>
                    <w:tr2bl w:val="nil"/>
                  </w:tcBorders>
                  <w:shd w:val="clear" w:color="auto" w:fill="auto"/>
                  <w:noWrap/>
                  <w:tcMar>
                    <w:left w:w="43" w:type="dxa"/>
                    <w:right w:w="178" w:type="dxa"/>
                  </w:tcMar>
                  <w:vAlign w:val="bottom"/>
                </w:tcPr>
                <w:p w14:paraId="1F2A48E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343CADB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16E1753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62598A4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2019B4F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53FF09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50" w:type="dxa"/>
                  <w:tcBorders>
                    <w:top w:val="nil"/>
                    <w:left w:val="nil"/>
                    <w:bottom w:val="nil"/>
                    <w:right w:val="nil"/>
                    <w:tl2br w:val="nil"/>
                    <w:tr2bl w:val="nil"/>
                  </w:tcBorders>
                  <w:shd w:val="clear" w:color="auto" w:fill="auto"/>
                  <w:noWrap/>
                  <w:tcMar>
                    <w:left w:w="43" w:type="dxa"/>
                    <w:right w:w="178" w:type="dxa"/>
                  </w:tcMar>
                  <w:vAlign w:val="bottom"/>
                </w:tcPr>
                <w:p w14:paraId="50FCFB8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449AEB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69BFE84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023E270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256B5B4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229AA88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2240818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1FB54E1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0981977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4B9D1C5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6554A9C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w:t>
                  </w:r>
                </w:p>
              </w:tc>
            </w:tr>
            <w:tr w:rsidR="005432E6" w:rsidRPr="004D7A72" w14:paraId="0ECF67CF"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328" w:type="dxa"/>
                  <w:gridSpan w:val="2"/>
                  <w:tcBorders>
                    <w:top w:val="nil"/>
                    <w:left w:val="nil"/>
                    <w:bottom w:val="nil"/>
                    <w:right w:val="nil"/>
                    <w:tl2br w:val="nil"/>
                    <w:tr2bl w:val="nil"/>
                  </w:tcBorders>
                  <w:shd w:val="clear" w:color="auto" w:fill="auto"/>
                  <w:tcMar>
                    <w:left w:w="43" w:type="dxa"/>
                    <w:right w:w="43" w:type="dxa"/>
                  </w:tcMar>
                  <w:vAlign w:val="bottom"/>
                </w:tcPr>
                <w:p w14:paraId="66D389C0"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Buyback and exchange of hybrid debentures from non-controlling interests </w:t>
                  </w:r>
                </w:p>
                <w:p w14:paraId="5C5875A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976" w:type="dxa"/>
                  <w:tcBorders>
                    <w:top w:val="nil"/>
                    <w:left w:val="nil"/>
                    <w:bottom w:val="nil"/>
                    <w:right w:val="nil"/>
                    <w:tl2br w:val="nil"/>
                    <w:tr2bl w:val="nil"/>
                  </w:tcBorders>
                  <w:shd w:val="clear" w:color="auto" w:fill="auto"/>
                  <w:noWrap/>
                  <w:tcMar>
                    <w:left w:w="43" w:type="dxa"/>
                    <w:right w:w="178" w:type="dxa"/>
                  </w:tcMar>
                  <w:vAlign w:val="bottom"/>
                </w:tcPr>
                <w:p w14:paraId="48A7290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4FDE518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1EE998C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0296FF1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75C58F7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71DAE3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50" w:type="dxa"/>
                  <w:tcBorders>
                    <w:top w:val="nil"/>
                    <w:left w:val="nil"/>
                    <w:bottom w:val="nil"/>
                    <w:right w:val="nil"/>
                    <w:tl2br w:val="nil"/>
                    <w:tr2bl w:val="nil"/>
                  </w:tcBorders>
                  <w:shd w:val="clear" w:color="auto" w:fill="auto"/>
                  <w:noWrap/>
                  <w:tcMar>
                    <w:left w:w="43" w:type="dxa"/>
                    <w:right w:w="178" w:type="dxa"/>
                  </w:tcMar>
                  <w:vAlign w:val="bottom"/>
                </w:tcPr>
                <w:p w14:paraId="08B1204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E2F919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51F1333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49</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2D47556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24A4D4C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6284514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092FE3D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49</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0D44AC6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1E96206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(203)</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0066632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72F7283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(154)</w:t>
                  </w:r>
                </w:p>
              </w:tc>
            </w:tr>
            <w:tr w:rsidR="005432E6" w:rsidRPr="004D7A72" w14:paraId="22211C52"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328" w:type="dxa"/>
                  <w:gridSpan w:val="2"/>
                  <w:tcBorders>
                    <w:top w:val="nil"/>
                    <w:left w:val="nil"/>
                    <w:bottom w:val="nil"/>
                    <w:right w:val="nil"/>
                    <w:tl2br w:val="nil"/>
                    <w:tr2bl w:val="nil"/>
                  </w:tcBorders>
                  <w:shd w:val="clear" w:color="auto" w:fill="auto"/>
                  <w:tcMar>
                    <w:left w:w="43" w:type="dxa"/>
                    <w:right w:w="43" w:type="dxa"/>
                  </w:tcMar>
                  <w:vAlign w:val="bottom"/>
                </w:tcPr>
                <w:p w14:paraId="1001F81C" w14:textId="10E5AAE0" w:rsidR="00213131" w:rsidRPr="004D7A72" w:rsidRDefault="00213131" w:rsidP="004D7A72">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Interest on hybrid debentures paid to non-controlling interests </w:t>
                  </w:r>
                </w:p>
              </w:tc>
              <w:tc>
                <w:tcPr>
                  <w:tcW w:w="976" w:type="dxa"/>
                  <w:tcBorders>
                    <w:top w:val="nil"/>
                    <w:left w:val="nil"/>
                    <w:bottom w:val="nil"/>
                    <w:right w:val="nil"/>
                    <w:tl2br w:val="nil"/>
                    <w:tr2bl w:val="nil"/>
                  </w:tcBorders>
                  <w:shd w:val="clear" w:color="auto" w:fill="auto"/>
                  <w:noWrap/>
                  <w:tcMar>
                    <w:left w:w="43" w:type="dxa"/>
                    <w:right w:w="178" w:type="dxa"/>
                  </w:tcMar>
                  <w:vAlign w:val="bottom"/>
                </w:tcPr>
                <w:p w14:paraId="369802E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00B3D1E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0D89368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63FECE0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41331C8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0DB375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50" w:type="dxa"/>
                  <w:tcBorders>
                    <w:top w:val="nil"/>
                    <w:left w:val="nil"/>
                    <w:bottom w:val="nil"/>
                    <w:right w:val="nil"/>
                    <w:tl2br w:val="nil"/>
                    <w:tr2bl w:val="nil"/>
                  </w:tcBorders>
                  <w:shd w:val="clear" w:color="auto" w:fill="auto"/>
                  <w:noWrap/>
                  <w:tcMar>
                    <w:left w:w="43" w:type="dxa"/>
                    <w:right w:w="178" w:type="dxa"/>
                  </w:tcMar>
                  <w:vAlign w:val="bottom"/>
                </w:tcPr>
                <w:p w14:paraId="54E6266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C5CCAB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2ED97AE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684D31D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747D958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10DDBA5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2541E62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6C285F5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63DF0E6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(67)</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7F39933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5ED1651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(67)</w:t>
                  </w:r>
                </w:p>
              </w:tc>
            </w:tr>
            <w:tr w:rsidR="005432E6" w:rsidRPr="004D7A72" w14:paraId="2C44F5B6"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328" w:type="dxa"/>
                  <w:gridSpan w:val="2"/>
                  <w:tcBorders>
                    <w:top w:val="nil"/>
                    <w:left w:val="nil"/>
                    <w:bottom w:val="nil"/>
                    <w:right w:val="nil"/>
                    <w:tl2br w:val="nil"/>
                    <w:tr2bl w:val="nil"/>
                  </w:tcBorders>
                  <w:shd w:val="clear" w:color="auto" w:fill="auto"/>
                  <w:tcMar>
                    <w:left w:w="43" w:type="dxa"/>
                    <w:right w:w="43" w:type="dxa"/>
                  </w:tcMar>
                  <w:vAlign w:val="bottom"/>
                </w:tcPr>
                <w:p w14:paraId="6B484942" w14:textId="473D2037" w:rsidR="00213131" w:rsidRPr="004D7A72" w:rsidRDefault="008A24DD" w:rsidP="00A65A6F">
                  <w:pPr>
                    <w:keepNext/>
                    <w:spacing w:before="0" w:after="0"/>
                    <w:jc w:val="left"/>
                    <w:rPr>
                      <w:rFonts w:asciiTheme="majorBidi" w:eastAsia="Ploni ML Medium AAA Medium" w:hAnsiTheme="majorBidi" w:cstheme="majorBidi"/>
                      <w:color w:val="000000"/>
                      <w:sz w:val="19"/>
                    </w:rPr>
                  </w:pPr>
                  <w:r>
                    <w:rPr>
                      <w:rFonts w:asciiTheme="majorBidi" w:hAnsiTheme="majorBidi" w:cstheme="majorBidi"/>
                      <w:color w:val="000000"/>
                      <w:sz w:val="19"/>
                    </w:rPr>
                    <w:t>IPO</w:t>
                  </w:r>
                  <w:r w:rsidR="00213131" w:rsidRPr="004D7A72">
                    <w:rPr>
                      <w:rFonts w:asciiTheme="majorBidi" w:hAnsiTheme="majorBidi" w:cstheme="majorBidi"/>
                      <w:color w:val="000000"/>
                      <w:sz w:val="19"/>
                    </w:rPr>
                    <w:t xml:space="preserve"> of a subsidiary</w:t>
                  </w:r>
                </w:p>
              </w:tc>
              <w:tc>
                <w:tcPr>
                  <w:tcW w:w="976" w:type="dxa"/>
                  <w:tcBorders>
                    <w:top w:val="nil"/>
                    <w:left w:val="nil"/>
                    <w:bottom w:val="nil"/>
                    <w:right w:val="nil"/>
                    <w:tl2br w:val="nil"/>
                    <w:tr2bl w:val="nil"/>
                  </w:tcBorders>
                  <w:shd w:val="clear" w:color="auto" w:fill="auto"/>
                  <w:noWrap/>
                  <w:tcMar>
                    <w:left w:w="43" w:type="dxa"/>
                    <w:right w:w="178" w:type="dxa"/>
                  </w:tcMar>
                  <w:vAlign w:val="bottom"/>
                </w:tcPr>
                <w:p w14:paraId="4F2F502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6522C6A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022BD06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65E5FFA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438E023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9F7C03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50" w:type="dxa"/>
                  <w:tcBorders>
                    <w:top w:val="nil"/>
                    <w:left w:val="nil"/>
                    <w:bottom w:val="nil"/>
                    <w:right w:val="nil"/>
                    <w:tl2br w:val="nil"/>
                    <w:tr2bl w:val="nil"/>
                  </w:tcBorders>
                  <w:shd w:val="clear" w:color="auto" w:fill="auto"/>
                  <w:noWrap/>
                  <w:tcMar>
                    <w:left w:w="43" w:type="dxa"/>
                    <w:right w:w="178" w:type="dxa"/>
                  </w:tcMar>
                  <w:vAlign w:val="bottom"/>
                </w:tcPr>
                <w:p w14:paraId="7095B55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A5B207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54F8C53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(164)</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66B2252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5B48D52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142761D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45E2237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(121)</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0F767CD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4F9F44C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448</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2C1F556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43" w:type="dxa"/>
                    <w:right w:w="178" w:type="dxa"/>
                  </w:tcMar>
                  <w:vAlign w:val="bottom"/>
                </w:tcPr>
                <w:p w14:paraId="491B02B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327</w:t>
                  </w:r>
                </w:p>
              </w:tc>
            </w:tr>
            <w:tr w:rsidR="005432E6" w:rsidRPr="004D7A72" w14:paraId="7640E93C"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328" w:type="dxa"/>
                  <w:gridSpan w:val="2"/>
                  <w:tcBorders>
                    <w:top w:val="nil"/>
                    <w:left w:val="nil"/>
                    <w:bottom w:val="nil"/>
                    <w:right w:val="nil"/>
                    <w:tl2br w:val="nil"/>
                    <w:tr2bl w:val="nil"/>
                  </w:tcBorders>
                  <w:shd w:val="clear" w:color="auto" w:fill="auto"/>
                  <w:noWrap/>
                  <w:tcMar>
                    <w:left w:w="43" w:type="dxa"/>
                    <w:right w:w="43" w:type="dxa"/>
                  </w:tcMar>
                  <w:vAlign w:val="bottom"/>
                </w:tcPr>
                <w:p w14:paraId="6C9313E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Dividend to holders of non-controlling interests</w:t>
                  </w:r>
                </w:p>
              </w:tc>
              <w:tc>
                <w:tcPr>
                  <w:tcW w:w="976"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16FFF2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209D554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EDCC51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0682678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3C9EA1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426B54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5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C05F3E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B6A05A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D68E99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1CD5DF4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3E2B08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3A9C1FA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2777BB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0CD14BA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451414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(64)</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4C413BC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D9FCB2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(64)</w:t>
                  </w:r>
                </w:p>
              </w:tc>
            </w:tr>
            <w:tr w:rsidR="009A026B" w:rsidRPr="004D7A72" w14:paraId="139F60BB"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26" w:type="dxa"/>
                  <w:tcBorders>
                    <w:top w:val="nil"/>
                    <w:left w:val="nil"/>
                    <w:bottom w:val="nil"/>
                    <w:right w:val="nil"/>
                    <w:tl2br w:val="nil"/>
                    <w:tr2bl w:val="nil"/>
                  </w:tcBorders>
                  <w:shd w:val="clear" w:color="auto" w:fill="auto"/>
                  <w:noWrap/>
                  <w:tcMar>
                    <w:left w:w="0" w:type="dxa"/>
                    <w:right w:w="0" w:type="dxa"/>
                  </w:tcMar>
                  <w:vAlign w:val="bottom"/>
                </w:tcPr>
                <w:p w14:paraId="334095D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902" w:type="dxa"/>
                  <w:tcBorders>
                    <w:top w:val="nil"/>
                    <w:left w:val="nil"/>
                    <w:bottom w:val="nil"/>
                    <w:right w:val="nil"/>
                    <w:tl2br w:val="nil"/>
                    <w:tr2bl w:val="nil"/>
                  </w:tcBorders>
                  <w:shd w:val="clear" w:color="auto" w:fill="auto"/>
                  <w:noWrap/>
                  <w:tcMar>
                    <w:left w:w="0" w:type="dxa"/>
                    <w:right w:w="0" w:type="dxa"/>
                  </w:tcMar>
                  <w:vAlign w:val="bottom"/>
                </w:tcPr>
                <w:p w14:paraId="4FC01F8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97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8859AF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5897B0C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E66A0F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5239B3D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AB51AF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0D86A1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5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96AF7E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7B63DC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56DC13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4E9AD38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4B15C0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4325242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2E9E12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616FC3A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7B29F4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3A94AEE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506740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r>
            <w:tr w:rsidR="005432E6" w:rsidRPr="004D7A72" w14:paraId="4FAF2C07"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328" w:type="dxa"/>
                  <w:gridSpan w:val="2"/>
                  <w:tcBorders>
                    <w:top w:val="nil"/>
                    <w:left w:val="nil"/>
                    <w:bottom w:val="nil"/>
                    <w:right w:val="nil"/>
                    <w:tl2br w:val="nil"/>
                    <w:tr2bl w:val="nil"/>
                  </w:tcBorders>
                  <w:shd w:val="clear" w:color="auto" w:fill="auto"/>
                  <w:noWrap/>
                  <w:tcMar>
                    <w:left w:w="43" w:type="dxa"/>
                    <w:right w:w="43" w:type="dxa"/>
                  </w:tcMar>
                  <w:vAlign w:val="bottom"/>
                </w:tcPr>
                <w:p w14:paraId="644EB46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u w:val="single"/>
                    </w:rPr>
                  </w:pPr>
                  <w:r w:rsidRPr="004D7A72">
                    <w:rPr>
                      <w:rFonts w:asciiTheme="majorBidi" w:hAnsiTheme="majorBidi" w:cstheme="majorBidi"/>
                      <w:color w:val="000000"/>
                      <w:sz w:val="19"/>
                      <w:u w:val="single"/>
                    </w:rPr>
                    <w:t>Balance as at June 30, 2024</w:t>
                  </w:r>
                </w:p>
              </w:tc>
              <w:tc>
                <w:tcPr>
                  <w:tcW w:w="976"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3A6AF44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239</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34296DF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346C0BA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4,782</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3007A94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30F52D8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2,682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8E08B1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5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6945565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(4,071)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40DFEA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47F0201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1,304</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620C0C1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033994B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(11)</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530C1F8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13235EF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4,925</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4EFEBBB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1D7425B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6,829</w:t>
                  </w:r>
                </w:p>
              </w:tc>
              <w:tc>
                <w:tcPr>
                  <w:tcW w:w="243" w:type="dxa"/>
                  <w:tcBorders>
                    <w:top w:val="nil"/>
                    <w:left w:val="nil"/>
                    <w:bottom w:val="nil"/>
                    <w:right w:val="nil"/>
                    <w:tl2br w:val="nil"/>
                    <w:tr2bl w:val="nil"/>
                  </w:tcBorders>
                  <w:shd w:val="clear" w:color="auto" w:fill="auto"/>
                  <w:noWrap/>
                  <w:tcMar>
                    <w:left w:w="0" w:type="dxa"/>
                    <w:right w:w="135" w:type="dxa"/>
                  </w:tcMar>
                  <w:vAlign w:val="bottom"/>
                </w:tcPr>
                <w:p w14:paraId="0BD8775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975"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0A67EB0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11,754</w:t>
                  </w:r>
                </w:p>
              </w:tc>
            </w:tr>
            <w:tr w:rsidR="009A026B" w:rsidRPr="004D7A72" w14:paraId="74A8C4AC"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26" w:type="dxa"/>
                  <w:tcBorders>
                    <w:top w:val="nil"/>
                    <w:left w:val="nil"/>
                    <w:bottom w:val="nil"/>
                    <w:right w:val="nil"/>
                    <w:tl2br w:val="nil"/>
                    <w:tr2bl w:val="nil"/>
                  </w:tcBorders>
                  <w:shd w:val="clear" w:color="auto" w:fill="auto"/>
                  <w:noWrap/>
                  <w:tcMar>
                    <w:left w:w="0" w:type="dxa"/>
                    <w:right w:w="0" w:type="dxa"/>
                  </w:tcMar>
                  <w:vAlign w:val="bottom"/>
                </w:tcPr>
                <w:p w14:paraId="0E38D7E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902" w:type="dxa"/>
                  <w:tcBorders>
                    <w:top w:val="nil"/>
                    <w:left w:val="nil"/>
                    <w:bottom w:val="nil"/>
                    <w:right w:val="nil"/>
                    <w:tl2br w:val="nil"/>
                    <w:tr2bl w:val="nil"/>
                  </w:tcBorders>
                  <w:shd w:val="clear" w:color="auto" w:fill="auto"/>
                  <w:noWrap/>
                  <w:tcMar>
                    <w:left w:w="0" w:type="dxa"/>
                    <w:right w:w="0" w:type="dxa"/>
                  </w:tcMar>
                  <w:vAlign w:val="bottom"/>
                </w:tcPr>
                <w:p w14:paraId="35BF2D6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76"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23CBD2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243" w:type="dxa"/>
                  <w:tcBorders>
                    <w:top w:val="nil"/>
                    <w:left w:val="nil"/>
                    <w:bottom w:val="nil"/>
                    <w:right w:val="nil"/>
                    <w:tl2br w:val="nil"/>
                    <w:tr2bl w:val="nil"/>
                  </w:tcBorders>
                  <w:shd w:val="clear" w:color="auto" w:fill="auto"/>
                  <w:noWrap/>
                  <w:tcMar>
                    <w:left w:w="0" w:type="dxa"/>
                    <w:right w:w="0" w:type="dxa"/>
                  </w:tcMar>
                  <w:vAlign w:val="bottom"/>
                </w:tcPr>
                <w:p w14:paraId="6F305B2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7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D24C70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243" w:type="dxa"/>
                  <w:tcBorders>
                    <w:top w:val="nil"/>
                    <w:left w:val="nil"/>
                    <w:bottom w:val="nil"/>
                    <w:right w:val="nil"/>
                    <w:tl2br w:val="nil"/>
                    <w:tr2bl w:val="nil"/>
                  </w:tcBorders>
                  <w:shd w:val="clear" w:color="auto" w:fill="auto"/>
                  <w:noWrap/>
                  <w:tcMar>
                    <w:left w:w="0" w:type="dxa"/>
                    <w:right w:w="0" w:type="dxa"/>
                  </w:tcMar>
                  <w:vAlign w:val="bottom"/>
                </w:tcPr>
                <w:p w14:paraId="76F501D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7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054267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275568A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29C569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12B3824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7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B98BA7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243" w:type="dxa"/>
                  <w:tcBorders>
                    <w:top w:val="nil"/>
                    <w:left w:val="nil"/>
                    <w:bottom w:val="nil"/>
                    <w:right w:val="nil"/>
                    <w:tl2br w:val="nil"/>
                    <w:tr2bl w:val="nil"/>
                  </w:tcBorders>
                  <w:shd w:val="clear" w:color="auto" w:fill="auto"/>
                  <w:noWrap/>
                  <w:tcMar>
                    <w:left w:w="0" w:type="dxa"/>
                    <w:right w:w="0" w:type="dxa"/>
                  </w:tcMar>
                  <w:vAlign w:val="bottom"/>
                </w:tcPr>
                <w:p w14:paraId="7D35A88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7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E8EA88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243" w:type="dxa"/>
                  <w:tcBorders>
                    <w:top w:val="nil"/>
                    <w:left w:val="nil"/>
                    <w:bottom w:val="nil"/>
                    <w:right w:val="nil"/>
                    <w:tl2br w:val="nil"/>
                    <w:tr2bl w:val="nil"/>
                  </w:tcBorders>
                  <w:shd w:val="clear" w:color="auto" w:fill="auto"/>
                  <w:noWrap/>
                  <w:tcMar>
                    <w:left w:w="0" w:type="dxa"/>
                    <w:right w:w="0" w:type="dxa"/>
                  </w:tcMar>
                  <w:vAlign w:val="bottom"/>
                </w:tcPr>
                <w:p w14:paraId="11E3C4C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7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A0073D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243" w:type="dxa"/>
                  <w:tcBorders>
                    <w:top w:val="nil"/>
                    <w:left w:val="nil"/>
                    <w:bottom w:val="nil"/>
                    <w:right w:val="nil"/>
                    <w:tl2br w:val="nil"/>
                    <w:tr2bl w:val="nil"/>
                  </w:tcBorders>
                  <w:shd w:val="clear" w:color="auto" w:fill="auto"/>
                  <w:noWrap/>
                  <w:tcMar>
                    <w:left w:w="0" w:type="dxa"/>
                    <w:right w:w="0" w:type="dxa"/>
                  </w:tcMar>
                  <w:vAlign w:val="bottom"/>
                </w:tcPr>
                <w:p w14:paraId="2E69A4E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7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5E7ED9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243" w:type="dxa"/>
                  <w:tcBorders>
                    <w:top w:val="nil"/>
                    <w:left w:val="nil"/>
                    <w:bottom w:val="nil"/>
                    <w:right w:val="nil"/>
                    <w:tl2br w:val="nil"/>
                    <w:tr2bl w:val="nil"/>
                  </w:tcBorders>
                  <w:shd w:val="clear" w:color="auto" w:fill="auto"/>
                  <w:noWrap/>
                  <w:tcMar>
                    <w:left w:w="0" w:type="dxa"/>
                    <w:right w:w="0" w:type="dxa"/>
                  </w:tcMar>
                  <w:vAlign w:val="bottom"/>
                </w:tcPr>
                <w:p w14:paraId="4D91774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7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099504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5432E6" w:rsidRPr="004D7A72" w14:paraId="3000B331"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6" w:type="dxa"/>
                  <w:tcBorders>
                    <w:top w:val="nil"/>
                    <w:left w:val="nil"/>
                    <w:bottom w:val="nil"/>
                    <w:right w:val="nil"/>
                    <w:tl2br w:val="nil"/>
                    <w:tr2bl w:val="nil"/>
                  </w:tcBorders>
                  <w:shd w:val="clear" w:color="auto" w:fill="auto"/>
                  <w:noWrap/>
                  <w:tcMar>
                    <w:left w:w="43" w:type="dxa"/>
                    <w:right w:w="43" w:type="dxa"/>
                  </w:tcMar>
                  <w:vAlign w:val="bottom"/>
                </w:tcPr>
                <w:p w14:paraId="098DEC6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w:t>
                  </w:r>
                </w:p>
              </w:tc>
              <w:tc>
                <w:tcPr>
                  <w:tcW w:w="8647" w:type="dxa"/>
                  <w:gridSpan w:val="9"/>
                  <w:tcBorders>
                    <w:top w:val="nil"/>
                    <w:left w:val="nil"/>
                    <w:bottom w:val="nil"/>
                    <w:right w:val="nil"/>
                    <w:tl2br w:val="nil"/>
                    <w:tr2bl w:val="nil"/>
                  </w:tcBorders>
                  <w:shd w:val="clear" w:color="auto" w:fill="auto"/>
                  <w:noWrap/>
                  <w:tcMar>
                    <w:left w:w="43" w:type="dxa"/>
                    <w:right w:w="43" w:type="dxa"/>
                  </w:tcMar>
                  <w:vAlign w:val="bottom"/>
                </w:tcPr>
                <w:p w14:paraId="24B1FC50"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Represents an amount of less than NIS 1 million</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B294FF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0" w:type="dxa"/>
                  </w:tcMar>
                  <w:vAlign w:val="bottom"/>
                </w:tcPr>
                <w:p w14:paraId="5AECCA4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91A18E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0" w:type="dxa"/>
                  </w:tcMar>
                  <w:vAlign w:val="bottom"/>
                </w:tcPr>
                <w:p w14:paraId="093A5ED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F5425E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0" w:type="dxa"/>
                  </w:tcMar>
                  <w:vAlign w:val="bottom"/>
                </w:tcPr>
                <w:p w14:paraId="7A400987"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5BA79B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243" w:type="dxa"/>
                  <w:tcBorders>
                    <w:top w:val="nil"/>
                    <w:left w:val="nil"/>
                    <w:bottom w:val="nil"/>
                    <w:right w:val="nil"/>
                    <w:tl2br w:val="nil"/>
                    <w:tr2bl w:val="nil"/>
                  </w:tcBorders>
                  <w:shd w:val="clear" w:color="auto" w:fill="auto"/>
                  <w:noWrap/>
                  <w:tcMar>
                    <w:left w:w="0" w:type="dxa"/>
                    <w:right w:w="0" w:type="dxa"/>
                  </w:tcMar>
                  <w:vAlign w:val="bottom"/>
                </w:tcPr>
                <w:p w14:paraId="5DDCADC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604C4D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r>
            <w:tr w:rsidR="00213131" w:rsidRPr="004D7A72" w14:paraId="30471657" w14:textId="77777777" w:rsidTr="0054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14920" w:type="dxa"/>
                  <w:gridSpan w:val="19"/>
                  <w:tcBorders>
                    <w:top w:val="nil"/>
                    <w:left w:val="nil"/>
                    <w:bottom w:val="nil"/>
                    <w:right w:val="nil"/>
                    <w:tl2br w:val="nil"/>
                    <w:tr2bl w:val="nil"/>
                  </w:tcBorders>
                  <w:shd w:val="clear" w:color="auto" w:fill="auto"/>
                  <w:noWrap/>
                  <w:tcMar>
                    <w:left w:w="43" w:type="dxa"/>
                    <w:right w:w="43" w:type="dxa"/>
                  </w:tcMar>
                  <w:vAlign w:val="bottom"/>
                </w:tcPr>
                <w:p w14:paraId="25E72A1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The accompanying notes constitute an integral part of these consolidated interim financial statements.</w:t>
                  </w:r>
                </w:p>
              </w:tc>
            </w:tr>
          </w:tbl>
          <w:p w14:paraId="3230DADA" w14:textId="77777777" w:rsidR="00213131" w:rsidRPr="004D7A72" w:rsidRDefault="00213131" w:rsidP="00A65A6F">
            <w:pPr>
              <w:rPr>
                <w:rFonts w:asciiTheme="majorBidi" w:hAnsiTheme="majorBidi" w:cstheme="majorBidi"/>
              </w:rPr>
            </w:pPr>
          </w:p>
        </w:tc>
      </w:tr>
    </w:tbl>
    <w:p w14:paraId="5A805301" w14:textId="77777777" w:rsidR="00213131" w:rsidRPr="004D7A72" w:rsidRDefault="00213131" w:rsidP="00213131">
      <w:pPr>
        <w:rPr>
          <w:rFonts w:asciiTheme="majorBidi" w:hAnsiTheme="majorBidi" w:cstheme="majorBidi"/>
          <w:rtl/>
        </w:rPr>
      </w:pPr>
    </w:p>
    <w:tbl>
      <w:tblPr>
        <w:tblStyle w:val="TableGrid"/>
        <w:tblW w:w="0" w:type="auto"/>
        <w:tblCellMar>
          <w:left w:w="0" w:type="dxa"/>
          <w:right w:w="0" w:type="dxa"/>
        </w:tblCellMar>
        <w:tblLook w:val="04A0" w:firstRow="1" w:lastRow="0" w:firstColumn="1" w:lastColumn="0" w:noHBand="0" w:noVBand="1"/>
      </w:tblPr>
      <w:tblGrid>
        <w:gridCol w:w="14854"/>
      </w:tblGrid>
      <w:tr w:rsidR="00213131" w:rsidRPr="004D7A72" w14:paraId="1DF6900B" w14:textId="77777777" w:rsidTr="00A65A6F">
        <w:trPr>
          <w:cantSplit/>
        </w:trPr>
        <w:tc>
          <w:tcPr>
            <w:tcW w:w="14854" w:type="dxa"/>
            <w:tcBorders>
              <w:top w:val="nil"/>
              <w:left w:val="nil"/>
              <w:bottom w:val="nil"/>
              <w:right w:val="nil"/>
            </w:tcBorders>
          </w:tcPr>
          <w:tbl>
            <w:tblPr>
              <w:tblStyle w:val="CDMRange2"/>
              <w:tblW w:w="14910" w:type="dxa"/>
              <w:tblLook w:val="0600" w:firstRow="0" w:lastRow="0" w:firstColumn="0" w:lastColumn="0" w:noHBand="1" w:noVBand="1"/>
            </w:tblPr>
            <w:tblGrid>
              <w:gridCol w:w="296"/>
              <w:gridCol w:w="4409"/>
              <w:gridCol w:w="1101"/>
              <w:gridCol w:w="30"/>
              <w:gridCol w:w="1101"/>
              <w:gridCol w:w="30"/>
              <w:gridCol w:w="1101"/>
              <w:gridCol w:w="30"/>
              <w:gridCol w:w="1101"/>
              <w:gridCol w:w="30"/>
              <w:gridCol w:w="1101"/>
              <w:gridCol w:w="30"/>
              <w:gridCol w:w="1101"/>
              <w:gridCol w:w="30"/>
              <w:gridCol w:w="1101"/>
              <w:gridCol w:w="30"/>
              <w:gridCol w:w="1101"/>
              <w:gridCol w:w="30"/>
              <w:gridCol w:w="1101"/>
            </w:tblGrid>
            <w:tr w:rsidR="00213131" w:rsidRPr="004D7A72" w14:paraId="38B8600E" w14:textId="77777777" w:rsidTr="00A65A6F">
              <w:trPr>
                <w:cantSplit/>
                <w:trHeight w:hRule="exact" w:val="259"/>
              </w:trPr>
              <w:tc>
                <w:tcPr>
                  <w:tcW w:w="285" w:type="dxa"/>
                  <w:tcBorders>
                    <w:top w:val="nil"/>
                    <w:left w:val="nil"/>
                    <w:bottom w:val="nil"/>
                    <w:right w:val="nil"/>
                    <w:tl2br w:val="nil"/>
                    <w:tr2bl w:val="nil"/>
                  </w:tcBorders>
                  <w:shd w:val="clear" w:color="auto" w:fill="auto"/>
                  <w:noWrap/>
                  <w:tcMar>
                    <w:left w:w="0" w:type="dxa"/>
                    <w:right w:w="0" w:type="dxa"/>
                  </w:tcMar>
                  <w:vAlign w:val="bottom"/>
                </w:tcPr>
                <w:p w14:paraId="07FD20FD"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515" w:type="dxa"/>
                  <w:tcBorders>
                    <w:top w:val="nil"/>
                    <w:left w:val="nil"/>
                    <w:bottom w:val="nil"/>
                    <w:right w:val="nil"/>
                    <w:tl2br w:val="nil"/>
                    <w:tr2bl w:val="nil"/>
                  </w:tcBorders>
                  <w:shd w:val="clear" w:color="auto" w:fill="auto"/>
                  <w:noWrap/>
                  <w:tcMar>
                    <w:left w:w="0" w:type="dxa"/>
                    <w:right w:w="0" w:type="dxa"/>
                  </w:tcMar>
                  <w:vAlign w:val="bottom"/>
                </w:tcPr>
                <w:p w14:paraId="14E7324D"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7860" w:type="dxa"/>
                  <w:gridSpan w:val="13"/>
                  <w:tcBorders>
                    <w:top w:val="nil"/>
                    <w:left w:val="nil"/>
                    <w:bottom w:val="single" w:sz="4" w:space="0" w:color="000000"/>
                    <w:right w:val="nil"/>
                    <w:tl2br w:val="nil"/>
                    <w:tr2bl w:val="nil"/>
                  </w:tcBorders>
                  <w:shd w:val="clear" w:color="auto" w:fill="auto"/>
                  <w:noWrap/>
                  <w:tcMar>
                    <w:left w:w="43" w:type="dxa"/>
                    <w:right w:w="43" w:type="dxa"/>
                  </w:tcMar>
                  <w:vAlign w:val="bottom"/>
                </w:tcPr>
                <w:p w14:paraId="048163C8"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Equity attributable to equity holders of the Company</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2DD9EC9" w14:textId="77777777" w:rsidR="00213131" w:rsidRPr="004D7A72" w:rsidRDefault="00213131" w:rsidP="00A65A6F">
                  <w:pPr>
                    <w:keepNext/>
                    <w:spacing w:before="0" w:after="0"/>
                    <w:jc w:val="left"/>
                    <w:rPr>
                      <w:rFonts w:asciiTheme="majorBidi" w:eastAsia="Ploni ML Medium AAA Medium" w:hAnsiTheme="majorBidi" w:cstheme="majorBidi"/>
                      <w:b/>
                      <w:color w:val="000000"/>
                      <w:sz w:val="18"/>
                      <w:szCs w:val="18"/>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B216886" w14:textId="77777777" w:rsidR="00213131" w:rsidRPr="004D7A72" w:rsidRDefault="00213131" w:rsidP="00A65A6F">
                  <w:pPr>
                    <w:keepNext/>
                    <w:spacing w:before="0" w:after="0"/>
                    <w:jc w:val="left"/>
                    <w:rPr>
                      <w:rFonts w:asciiTheme="majorBidi" w:eastAsia="Ploni ML Medium AAA Medium" w:hAnsiTheme="majorBidi" w:cstheme="majorBidi"/>
                      <w:b/>
                      <w:color w:val="000000"/>
                      <w:sz w:val="18"/>
                      <w:szCs w:val="18"/>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BB3BEEA" w14:textId="77777777" w:rsidR="00213131" w:rsidRPr="004D7A72" w:rsidRDefault="00213131" w:rsidP="00A65A6F">
                  <w:pPr>
                    <w:keepNext/>
                    <w:spacing w:before="0" w:after="0"/>
                    <w:jc w:val="left"/>
                    <w:rPr>
                      <w:rFonts w:asciiTheme="majorBidi" w:eastAsia="Ploni ML Medium AAA Medium" w:hAnsiTheme="majorBidi" w:cstheme="majorBidi"/>
                      <w:b/>
                      <w:color w:val="000000"/>
                      <w:sz w:val="18"/>
                      <w:szCs w:val="18"/>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09AFCF82"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r>
            <w:tr w:rsidR="00213131" w:rsidRPr="004D7A72" w14:paraId="54EDAA8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285" w:type="dxa"/>
                  <w:tcBorders>
                    <w:top w:val="nil"/>
                    <w:left w:val="nil"/>
                    <w:bottom w:val="nil"/>
                    <w:right w:val="nil"/>
                    <w:tl2br w:val="nil"/>
                    <w:tr2bl w:val="nil"/>
                  </w:tcBorders>
                  <w:shd w:val="clear" w:color="auto" w:fill="auto"/>
                  <w:noWrap/>
                  <w:tcMar>
                    <w:left w:w="0" w:type="dxa"/>
                    <w:right w:w="0" w:type="dxa"/>
                  </w:tcMar>
                  <w:vAlign w:val="bottom"/>
                </w:tcPr>
                <w:p w14:paraId="1449CAE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515" w:type="dxa"/>
                  <w:tcBorders>
                    <w:top w:val="nil"/>
                    <w:left w:val="nil"/>
                    <w:bottom w:val="nil"/>
                    <w:right w:val="nil"/>
                    <w:tl2br w:val="nil"/>
                    <w:tr2bl w:val="nil"/>
                  </w:tcBorders>
                  <w:shd w:val="clear" w:color="auto" w:fill="auto"/>
                  <w:noWrap/>
                  <w:tcMar>
                    <w:left w:w="0" w:type="dxa"/>
                    <w:right w:w="0" w:type="dxa"/>
                  </w:tcMar>
                  <w:vAlign w:val="bottom"/>
                </w:tcPr>
                <w:p w14:paraId="6DFA0D9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2CE8DFA8"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Share capital</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7CD8FCAE"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2B629872"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Share premium</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007F235C"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287C4103"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Retained earnings</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41D6D999"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6A6688D3"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Adjustments due to translation of financial statements of foreign operations</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7A9BFEAF"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4D867F54"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Other reserves</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3BCF87D1"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239A2FA6"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Treasury shares</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6D22BB29"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6872F526"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Total</w:t>
                  </w:r>
                </w:p>
              </w:tc>
              <w:tc>
                <w:tcPr>
                  <w:tcW w:w="15" w:type="dxa"/>
                  <w:tcBorders>
                    <w:top w:val="nil"/>
                    <w:left w:val="nil"/>
                    <w:bottom w:val="nil"/>
                    <w:right w:val="nil"/>
                    <w:tl2br w:val="nil"/>
                    <w:tr2bl w:val="nil"/>
                  </w:tcBorders>
                  <w:shd w:val="clear" w:color="auto" w:fill="auto"/>
                  <w:tcMar>
                    <w:left w:w="0" w:type="dxa"/>
                    <w:right w:w="0" w:type="dxa"/>
                  </w:tcMar>
                  <w:vAlign w:val="bottom"/>
                </w:tcPr>
                <w:p w14:paraId="1D33AA51"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nil"/>
                    <w:left w:val="nil"/>
                    <w:bottom w:val="single" w:sz="4" w:space="0" w:color="000000"/>
                    <w:right w:val="nil"/>
                    <w:tl2br w:val="nil"/>
                    <w:tr2bl w:val="nil"/>
                  </w:tcBorders>
                  <w:shd w:val="clear" w:color="auto" w:fill="auto"/>
                  <w:tcMar>
                    <w:left w:w="43" w:type="dxa"/>
                    <w:right w:w="43" w:type="dxa"/>
                  </w:tcMar>
                  <w:vAlign w:val="bottom"/>
                </w:tcPr>
                <w:p w14:paraId="6219B466"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Non-controlling interests</w:t>
                  </w:r>
                </w:p>
              </w:tc>
              <w:tc>
                <w:tcPr>
                  <w:tcW w:w="15" w:type="dxa"/>
                  <w:tcBorders>
                    <w:top w:val="nil"/>
                    <w:left w:val="nil"/>
                    <w:bottom w:val="nil"/>
                    <w:right w:val="nil"/>
                    <w:tl2br w:val="nil"/>
                    <w:tr2bl w:val="nil"/>
                  </w:tcBorders>
                  <w:shd w:val="clear" w:color="auto" w:fill="auto"/>
                  <w:tcMar>
                    <w:left w:w="0" w:type="dxa"/>
                    <w:right w:w="0" w:type="dxa"/>
                  </w:tcMar>
                  <w:vAlign w:val="bottom"/>
                </w:tcPr>
                <w:p w14:paraId="0F2A9821"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nil"/>
                    <w:left w:val="nil"/>
                    <w:bottom w:val="single" w:sz="4" w:space="0" w:color="000000"/>
                    <w:right w:val="nil"/>
                    <w:tl2br w:val="nil"/>
                    <w:tr2bl w:val="nil"/>
                  </w:tcBorders>
                  <w:shd w:val="clear" w:color="auto" w:fill="auto"/>
                  <w:tcMar>
                    <w:left w:w="43" w:type="dxa"/>
                    <w:right w:w="43" w:type="dxa"/>
                  </w:tcMar>
                  <w:vAlign w:val="bottom"/>
                </w:tcPr>
                <w:p w14:paraId="701AF31E"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Total equity</w:t>
                  </w:r>
                </w:p>
              </w:tc>
            </w:tr>
            <w:tr w:rsidR="00213131" w:rsidRPr="004D7A72" w14:paraId="5D7E385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285" w:type="dxa"/>
                  <w:tcBorders>
                    <w:top w:val="nil"/>
                    <w:left w:val="nil"/>
                    <w:bottom w:val="nil"/>
                    <w:right w:val="nil"/>
                    <w:tl2br w:val="nil"/>
                    <w:tr2bl w:val="nil"/>
                  </w:tcBorders>
                  <w:shd w:val="clear" w:color="auto" w:fill="auto"/>
                  <w:noWrap/>
                  <w:tcMar>
                    <w:left w:w="0" w:type="dxa"/>
                    <w:right w:w="0" w:type="dxa"/>
                  </w:tcMar>
                  <w:vAlign w:val="bottom"/>
                </w:tcPr>
                <w:p w14:paraId="3CB3D4C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515" w:type="dxa"/>
                  <w:tcBorders>
                    <w:top w:val="nil"/>
                    <w:left w:val="nil"/>
                    <w:bottom w:val="nil"/>
                    <w:right w:val="nil"/>
                    <w:tl2br w:val="nil"/>
                    <w:tr2bl w:val="nil"/>
                  </w:tcBorders>
                  <w:shd w:val="clear" w:color="auto" w:fill="auto"/>
                  <w:noWrap/>
                  <w:tcMar>
                    <w:left w:w="0" w:type="dxa"/>
                    <w:right w:w="0" w:type="dxa"/>
                  </w:tcMar>
                  <w:vAlign w:val="bottom"/>
                </w:tcPr>
                <w:p w14:paraId="59F6F16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110" w:type="dxa"/>
                  <w:gridSpan w:val="17"/>
                  <w:tcBorders>
                    <w:top w:val="nil"/>
                    <w:left w:val="nil"/>
                    <w:bottom w:val="single" w:sz="4" w:space="0" w:color="000000"/>
                    <w:right w:val="nil"/>
                    <w:tl2br w:val="nil"/>
                    <w:tr2bl w:val="nil"/>
                  </w:tcBorders>
                  <w:shd w:val="clear" w:color="auto" w:fill="auto"/>
                  <w:tcMar>
                    <w:left w:w="43" w:type="dxa"/>
                    <w:right w:w="43" w:type="dxa"/>
                  </w:tcMar>
                  <w:vAlign w:val="bottom"/>
                </w:tcPr>
                <w:p w14:paraId="71978961"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Unaudited</w:t>
                  </w:r>
                </w:p>
              </w:tc>
            </w:tr>
            <w:tr w:rsidR="00213131" w:rsidRPr="004D7A72" w14:paraId="4149A21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285" w:type="dxa"/>
                  <w:tcBorders>
                    <w:top w:val="nil"/>
                    <w:left w:val="nil"/>
                    <w:bottom w:val="nil"/>
                    <w:right w:val="nil"/>
                    <w:tl2br w:val="nil"/>
                    <w:tr2bl w:val="nil"/>
                  </w:tcBorders>
                  <w:shd w:val="clear" w:color="auto" w:fill="auto"/>
                  <w:noWrap/>
                  <w:tcMar>
                    <w:left w:w="0" w:type="dxa"/>
                    <w:right w:w="0" w:type="dxa"/>
                  </w:tcMar>
                  <w:vAlign w:val="bottom"/>
                </w:tcPr>
                <w:p w14:paraId="4E441CE0"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515" w:type="dxa"/>
                  <w:tcBorders>
                    <w:top w:val="nil"/>
                    <w:left w:val="nil"/>
                    <w:bottom w:val="nil"/>
                    <w:right w:val="nil"/>
                    <w:tl2br w:val="nil"/>
                    <w:tr2bl w:val="nil"/>
                  </w:tcBorders>
                  <w:shd w:val="clear" w:color="auto" w:fill="auto"/>
                  <w:noWrap/>
                  <w:tcMar>
                    <w:left w:w="0" w:type="dxa"/>
                    <w:right w:w="0" w:type="dxa"/>
                  </w:tcMar>
                  <w:vAlign w:val="bottom"/>
                </w:tcPr>
                <w:p w14:paraId="26148AD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110" w:type="dxa"/>
                  <w:gridSpan w:val="17"/>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7D1F9FFD"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NIS million</w:t>
                  </w:r>
                </w:p>
              </w:tc>
            </w:tr>
            <w:tr w:rsidR="00213131" w:rsidRPr="004D7A72" w14:paraId="3F8EFF2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00" w:type="dxa"/>
                  <w:gridSpan w:val="2"/>
                  <w:tcBorders>
                    <w:top w:val="nil"/>
                    <w:left w:val="nil"/>
                    <w:bottom w:val="nil"/>
                    <w:right w:val="nil"/>
                    <w:tl2br w:val="nil"/>
                    <w:tr2bl w:val="nil"/>
                  </w:tcBorders>
                  <w:shd w:val="clear" w:color="auto" w:fill="auto"/>
                  <w:noWrap/>
                  <w:tcMar>
                    <w:left w:w="43" w:type="dxa"/>
                    <w:right w:w="43" w:type="dxa"/>
                  </w:tcMar>
                  <w:vAlign w:val="bottom"/>
                </w:tcPr>
                <w:p w14:paraId="40DC763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u w:val="single"/>
                    </w:rPr>
                  </w:pPr>
                  <w:r w:rsidRPr="004D7A72">
                    <w:rPr>
                      <w:rFonts w:asciiTheme="majorBidi" w:hAnsiTheme="majorBidi" w:cstheme="majorBidi"/>
                      <w:color w:val="000000"/>
                      <w:sz w:val="19"/>
                      <w:u w:val="single"/>
                    </w:rPr>
                    <w:t>Balance as at December 31, 2022 (Audited)</w:t>
                  </w: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64B013B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219</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F1375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2DE5A32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4,529</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B0199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47D3295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3,674</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E7081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5C2E276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(4,702)</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A9A9F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14E9B6D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1,297</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17BE0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5AE2ED2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B1221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7C75071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5,016</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9F106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6144CE5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7,029</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AC4BF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17EB790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12,045</w:t>
                  </w:r>
                </w:p>
              </w:tc>
            </w:tr>
            <w:tr w:rsidR="00213131" w:rsidRPr="004D7A72" w14:paraId="63E5FB9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00" w:type="dxa"/>
                  <w:gridSpan w:val="2"/>
                  <w:tcBorders>
                    <w:top w:val="nil"/>
                    <w:left w:val="nil"/>
                    <w:bottom w:val="nil"/>
                    <w:right w:val="nil"/>
                    <w:tl2br w:val="nil"/>
                    <w:tr2bl w:val="nil"/>
                  </w:tcBorders>
                  <w:shd w:val="clear" w:color="auto" w:fill="auto"/>
                  <w:noWrap/>
                  <w:tcMar>
                    <w:left w:w="43" w:type="dxa"/>
                    <w:right w:w="43" w:type="dxa"/>
                  </w:tcMar>
                  <w:vAlign w:val="bottom"/>
                </w:tcPr>
                <w:p w14:paraId="6BDE329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Loss</w:t>
                  </w: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464774A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E53856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2530E27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F6C84E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6132BEE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(512)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2D24D8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08F4207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88D22C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797B3D8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7F5123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5FC92A5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36A1B5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58A7498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(512)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4BD462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0C38BB7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212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77C2BF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71AF0F2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(300)</w:t>
                  </w:r>
                </w:p>
              </w:tc>
            </w:tr>
            <w:tr w:rsidR="00213131" w:rsidRPr="004D7A72" w14:paraId="772E355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00" w:type="dxa"/>
                  <w:gridSpan w:val="2"/>
                  <w:tcBorders>
                    <w:top w:val="nil"/>
                    <w:left w:val="nil"/>
                    <w:bottom w:val="nil"/>
                    <w:right w:val="nil"/>
                    <w:tl2br w:val="nil"/>
                    <w:tr2bl w:val="nil"/>
                  </w:tcBorders>
                  <w:shd w:val="clear" w:color="auto" w:fill="auto"/>
                  <w:noWrap/>
                  <w:tcMar>
                    <w:left w:w="43" w:type="dxa"/>
                    <w:right w:w="43" w:type="dxa"/>
                  </w:tcMar>
                  <w:vAlign w:val="bottom"/>
                </w:tcPr>
                <w:p w14:paraId="08F21D1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Other comprehensive income</w:t>
                  </w: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B529C2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B3E334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C41145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7B60B4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DDB42B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F9B287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0E6D449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718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0ED0E0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13FECB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(28)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C69484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E079CB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5151F0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6535E7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690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75C449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9BF24C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276</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4F29F5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AD6A2B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966</w:t>
                  </w:r>
                </w:p>
              </w:tc>
            </w:tr>
            <w:tr w:rsidR="00213131" w:rsidRPr="004D7A72" w14:paraId="593C38E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285" w:type="dxa"/>
                  <w:tcBorders>
                    <w:top w:val="nil"/>
                    <w:left w:val="nil"/>
                    <w:bottom w:val="nil"/>
                    <w:right w:val="nil"/>
                    <w:tl2br w:val="nil"/>
                    <w:tr2bl w:val="nil"/>
                  </w:tcBorders>
                  <w:shd w:val="clear" w:color="auto" w:fill="auto"/>
                  <w:noWrap/>
                  <w:tcMar>
                    <w:left w:w="0" w:type="dxa"/>
                    <w:right w:w="0" w:type="dxa"/>
                  </w:tcMar>
                  <w:vAlign w:val="bottom"/>
                </w:tcPr>
                <w:p w14:paraId="42C0BD5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4515" w:type="dxa"/>
                  <w:tcBorders>
                    <w:top w:val="nil"/>
                    <w:left w:val="nil"/>
                    <w:bottom w:val="nil"/>
                    <w:right w:val="nil"/>
                    <w:tl2br w:val="nil"/>
                    <w:tr2bl w:val="nil"/>
                  </w:tcBorders>
                  <w:shd w:val="clear" w:color="auto" w:fill="auto"/>
                  <w:noWrap/>
                  <w:tcMar>
                    <w:left w:w="0" w:type="dxa"/>
                    <w:right w:w="0" w:type="dxa"/>
                  </w:tcMar>
                  <w:vAlign w:val="bottom"/>
                </w:tcPr>
                <w:p w14:paraId="772CAD1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7FA0AB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E7954D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FB961F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5F0766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4FC462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D1C517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26DE90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D92286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B25F13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9A351A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9802D8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55EDD1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355C2A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C18888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43BA94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FD9954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941B7F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r>
            <w:tr w:rsidR="00213131" w:rsidRPr="004D7A72" w14:paraId="0050E73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00" w:type="dxa"/>
                  <w:gridSpan w:val="2"/>
                  <w:tcBorders>
                    <w:top w:val="nil"/>
                    <w:left w:val="nil"/>
                    <w:bottom w:val="nil"/>
                    <w:right w:val="nil"/>
                    <w:tl2br w:val="nil"/>
                    <w:tr2bl w:val="nil"/>
                  </w:tcBorders>
                  <w:shd w:val="clear" w:color="auto" w:fill="auto"/>
                  <w:noWrap/>
                  <w:tcMar>
                    <w:left w:w="43" w:type="dxa"/>
                    <w:right w:w="43" w:type="dxa"/>
                  </w:tcMar>
                  <w:vAlign w:val="bottom"/>
                </w:tcPr>
                <w:p w14:paraId="765FE78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Total comprehensive income</w:t>
                  </w: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58414E2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C60059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6AC40A8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DD513F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726AED2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(512)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B18BA8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EB879E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718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62A4B5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6F9A3FE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(28)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B93145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480B5C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8CB9C5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363A97A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178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0D8522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5D4B1B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488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BB32DA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33EC038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666</w:t>
                  </w:r>
                </w:p>
              </w:tc>
            </w:tr>
            <w:tr w:rsidR="00213131" w:rsidRPr="004D7A72" w14:paraId="5FB225C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285" w:type="dxa"/>
                  <w:tcBorders>
                    <w:top w:val="nil"/>
                    <w:left w:val="nil"/>
                    <w:bottom w:val="nil"/>
                    <w:right w:val="nil"/>
                    <w:tl2br w:val="nil"/>
                    <w:tr2bl w:val="nil"/>
                  </w:tcBorders>
                  <w:shd w:val="clear" w:color="auto" w:fill="auto"/>
                  <w:noWrap/>
                  <w:tcMar>
                    <w:left w:w="0" w:type="dxa"/>
                    <w:right w:w="0" w:type="dxa"/>
                  </w:tcMar>
                  <w:vAlign w:val="bottom"/>
                </w:tcPr>
                <w:p w14:paraId="3AC28B7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4515" w:type="dxa"/>
                  <w:tcBorders>
                    <w:top w:val="nil"/>
                    <w:left w:val="nil"/>
                    <w:bottom w:val="nil"/>
                    <w:right w:val="nil"/>
                    <w:tl2br w:val="nil"/>
                    <w:tr2bl w:val="nil"/>
                  </w:tcBorders>
                  <w:shd w:val="clear" w:color="auto" w:fill="auto"/>
                  <w:noWrap/>
                  <w:tcMar>
                    <w:left w:w="0" w:type="dxa"/>
                    <w:right w:w="0" w:type="dxa"/>
                  </w:tcMar>
                  <w:vAlign w:val="bottom"/>
                </w:tcPr>
                <w:p w14:paraId="546CF1F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728BF05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D8F2DD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78DF5A6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B9C7A5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2D0E096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E8AF42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03C475A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2E31F9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7E4021C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D5D7A8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063385B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19D4EC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0AE473A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935801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1480076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EA9B5A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1FAA34A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r>
            <w:tr w:rsidR="00213131" w:rsidRPr="004D7A72" w14:paraId="3324903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800" w:type="dxa"/>
                  <w:gridSpan w:val="2"/>
                  <w:tcBorders>
                    <w:top w:val="nil"/>
                    <w:left w:val="nil"/>
                    <w:bottom w:val="nil"/>
                    <w:right w:val="nil"/>
                    <w:tl2br w:val="nil"/>
                    <w:tr2bl w:val="nil"/>
                  </w:tcBorders>
                  <w:shd w:val="clear" w:color="auto" w:fill="auto"/>
                  <w:tcMar>
                    <w:left w:w="43" w:type="dxa"/>
                    <w:right w:w="43" w:type="dxa"/>
                  </w:tcMar>
                  <w:vAlign w:val="bottom"/>
                </w:tcPr>
                <w:p w14:paraId="506152C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Issue of share capital and options (less issue costs)</w:t>
                  </w: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0B2BC8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3F714A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58E1334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138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279CD8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5CE11C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D8DBEE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71E2D26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5ADC14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5DDC71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82BC3E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2083DA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1311DE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6456287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150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85C85B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7081FDA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5EC5FB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820889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150</w:t>
                  </w:r>
                </w:p>
              </w:tc>
            </w:tr>
            <w:tr w:rsidR="00213131" w:rsidRPr="004D7A72" w14:paraId="2D906FE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00" w:type="dxa"/>
                  <w:gridSpan w:val="2"/>
                  <w:tcBorders>
                    <w:top w:val="nil"/>
                    <w:left w:val="nil"/>
                    <w:bottom w:val="nil"/>
                    <w:right w:val="nil"/>
                    <w:tl2br w:val="nil"/>
                    <w:tr2bl w:val="nil"/>
                  </w:tcBorders>
                  <w:shd w:val="clear" w:color="auto" w:fill="auto"/>
                  <w:noWrap/>
                  <w:tcMar>
                    <w:left w:w="43" w:type="dxa"/>
                    <w:right w:w="43" w:type="dxa"/>
                  </w:tcMar>
                  <w:vAlign w:val="bottom"/>
                </w:tcPr>
                <w:p w14:paraId="1CBCC6B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Exercise and forfeiture of options for Company shares</w:t>
                  </w: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1208B0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881C9D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628BEC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42ACBC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68D9619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680FFA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DDD36F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A924E5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9D32FD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5DE868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54DC7AF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966CC0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67ADB7A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E6C5C3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6E1A60D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5017D5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532EBE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r>
            <w:tr w:rsidR="00213131" w:rsidRPr="004D7A72" w14:paraId="782C7BE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00" w:type="dxa"/>
                  <w:gridSpan w:val="2"/>
                  <w:tcBorders>
                    <w:top w:val="nil"/>
                    <w:left w:val="nil"/>
                    <w:bottom w:val="nil"/>
                    <w:right w:val="nil"/>
                    <w:tl2br w:val="nil"/>
                    <w:tr2bl w:val="nil"/>
                  </w:tcBorders>
                  <w:shd w:val="clear" w:color="auto" w:fill="auto"/>
                  <w:noWrap/>
                  <w:tcMar>
                    <w:left w:w="43" w:type="dxa"/>
                    <w:right w:w="43" w:type="dxa"/>
                  </w:tcMar>
                  <w:vAlign w:val="bottom"/>
                </w:tcPr>
                <w:p w14:paraId="1920F3B7"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Cost of share-based payment</w:t>
                  </w: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032795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B64D6F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76989B7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790681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59F50D3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90819C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36D175E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CA508D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252005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EE405B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CBB02F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D6E6A6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FF561C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3B550D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DEADC0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5</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6082B6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275B1A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6</w:t>
                  </w:r>
                </w:p>
              </w:tc>
            </w:tr>
            <w:tr w:rsidR="00213131" w:rsidRPr="004D7A72" w14:paraId="723A59A7" w14:textId="77777777" w:rsidTr="00480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2"/>
              </w:trPr>
              <w:tc>
                <w:tcPr>
                  <w:tcW w:w="4800" w:type="dxa"/>
                  <w:gridSpan w:val="2"/>
                  <w:tcBorders>
                    <w:top w:val="nil"/>
                    <w:left w:val="nil"/>
                    <w:bottom w:val="nil"/>
                    <w:right w:val="nil"/>
                    <w:tl2br w:val="nil"/>
                    <w:tr2bl w:val="nil"/>
                  </w:tcBorders>
                  <w:shd w:val="clear" w:color="auto" w:fill="auto"/>
                  <w:tcMar>
                    <w:left w:w="43" w:type="dxa"/>
                    <w:right w:w="43" w:type="dxa"/>
                  </w:tcMar>
                  <w:vAlign w:val="bottom"/>
                </w:tcPr>
                <w:p w14:paraId="22040827" w14:textId="3841DA90" w:rsidR="00213131" w:rsidRPr="004D7A72" w:rsidRDefault="00213131" w:rsidP="004802A1">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Buyback of hybrid debentures from non-controlling interests</w:t>
                  </w: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FB986C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B7351A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720FA48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D28498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6D99A29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9FEB5C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7B9034C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645E44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25348F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51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022148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667A43C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B860C5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60936B0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51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27D98B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7758DF5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(166)</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77D59F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EF1EDB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(115)</w:t>
                  </w:r>
                </w:p>
              </w:tc>
            </w:tr>
            <w:tr w:rsidR="00213131" w:rsidRPr="004D7A72" w14:paraId="4137535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4800" w:type="dxa"/>
                  <w:gridSpan w:val="2"/>
                  <w:tcBorders>
                    <w:top w:val="nil"/>
                    <w:left w:val="nil"/>
                    <w:bottom w:val="nil"/>
                    <w:right w:val="nil"/>
                    <w:tl2br w:val="nil"/>
                    <w:tr2bl w:val="nil"/>
                  </w:tcBorders>
                  <w:shd w:val="clear" w:color="auto" w:fill="auto"/>
                  <w:tcMar>
                    <w:left w:w="43" w:type="dxa"/>
                    <w:right w:w="43" w:type="dxa"/>
                  </w:tcMar>
                  <w:vAlign w:val="bottom"/>
                </w:tcPr>
                <w:p w14:paraId="4561E30A" w14:textId="5D2F6904" w:rsidR="00213131" w:rsidRPr="004D7A72" w:rsidRDefault="00213131" w:rsidP="004D7A72">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Interest on hybrid debentures paid to non-controlling interests </w:t>
                  </w: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574FBD8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926445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3C18EA8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2EA92A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C09582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D86B1B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35BCCF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3D3B8C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3C64DDA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498E37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785BB0E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09EC29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59B327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DEC719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72CFD1E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(60)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9B46F8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A28259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(60)</w:t>
                  </w:r>
                </w:p>
              </w:tc>
            </w:tr>
            <w:tr w:rsidR="00213131" w:rsidRPr="004D7A72" w14:paraId="6408F92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800" w:type="dxa"/>
                  <w:gridSpan w:val="2"/>
                  <w:tcBorders>
                    <w:top w:val="nil"/>
                    <w:left w:val="nil"/>
                    <w:bottom w:val="nil"/>
                    <w:right w:val="nil"/>
                    <w:tl2br w:val="nil"/>
                    <w:tr2bl w:val="nil"/>
                  </w:tcBorders>
                  <w:shd w:val="clear" w:color="auto" w:fill="auto"/>
                  <w:tcMar>
                    <w:left w:w="43" w:type="dxa"/>
                    <w:right w:w="43" w:type="dxa"/>
                  </w:tcMar>
                  <w:vAlign w:val="bottom"/>
                </w:tcPr>
                <w:p w14:paraId="02844A7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Classification of capital reserve of exercised financial assets to surplus</w:t>
                  </w: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82A146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15E2E8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52AEF5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B2CCCC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0B89E8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(41)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5A739C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5B61384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BB7D3B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64276A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ECF276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3C279DD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6DF31D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B89200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69DF16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5443B05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3D21B2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6E69986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r>
            <w:tr w:rsidR="00213131" w:rsidRPr="004D7A72" w14:paraId="380B698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00" w:type="dxa"/>
                  <w:gridSpan w:val="2"/>
                  <w:tcBorders>
                    <w:top w:val="nil"/>
                    <w:left w:val="nil"/>
                    <w:bottom w:val="nil"/>
                    <w:right w:val="nil"/>
                    <w:tl2br w:val="nil"/>
                    <w:tr2bl w:val="nil"/>
                  </w:tcBorders>
                  <w:shd w:val="clear" w:color="auto" w:fill="auto"/>
                  <w:noWrap/>
                  <w:tcMar>
                    <w:left w:w="43" w:type="dxa"/>
                    <w:right w:w="43" w:type="dxa"/>
                  </w:tcMar>
                  <w:vAlign w:val="bottom"/>
                </w:tcPr>
                <w:p w14:paraId="474AC3CD"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Dividend to holders of non-controlling interests</w:t>
                  </w: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A4674A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BF5003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115C22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AC718C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30E81B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E93AAF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0211A86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A75805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08CA0B3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A1CF39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3BA44B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BEC192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B8D7E6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E3706B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009776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(78)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6361A2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49660C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(78)</w:t>
                  </w:r>
                </w:p>
              </w:tc>
            </w:tr>
            <w:tr w:rsidR="00213131" w:rsidRPr="004D7A72" w14:paraId="6546965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285" w:type="dxa"/>
                  <w:tcBorders>
                    <w:top w:val="nil"/>
                    <w:left w:val="nil"/>
                    <w:bottom w:val="nil"/>
                    <w:right w:val="nil"/>
                    <w:tl2br w:val="nil"/>
                    <w:tr2bl w:val="nil"/>
                  </w:tcBorders>
                  <w:shd w:val="clear" w:color="auto" w:fill="auto"/>
                  <w:noWrap/>
                  <w:tcMar>
                    <w:left w:w="0" w:type="dxa"/>
                    <w:right w:w="0" w:type="dxa"/>
                  </w:tcMar>
                  <w:vAlign w:val="bottom"/>
                </w:tcPr>
                <w:p w14:paraId="28DBC1C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4515" w:type="dxa"/>
                  <w:tcBorders>
                    <w:top w:val="nil"/>
                    <w:left w:val="nil"/>
                    <w:bottom w:val="nil"/>
                    <w:right w:val="nil"/>
                    <w:tl2br w:val="nil"/>
                    <w:tr2bl w:val="nil"/>
                  </w:tcBorders>
                  <w:shd w:val="clear" w:color="auto" w:fill="auto"/>
                  <w:noWrap/>
                  <w:tcMar>
                    <w:left w:w="0" w:type="dxa"/>
                    <w:right w:w="0" w:type="dxa"/>
                  </w:tcMar>
                  <w:vAlign w:val="bottom"/>
                </w:tcPr>
                <w:p w14:paraId="11A5941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82ECA9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61EB7F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384E9B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D06903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FD717C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9B8BF1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F87578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635BA2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633110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0222A5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9BF26C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54015C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68F8F6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C7DAA7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C01E36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F7E0BD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199D32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r>
            <w:tr w:rsidR="00213131" w:rsidRPr="004D7A72" w14:paraId="14C1459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00" w:type="dxa"/>
                  <w:gridSpan w:val="2"/>
                  <w:tcBorders>
                    <w:top w:val="nil"/>
                    <w:left w:val="nil"/>
                    <w:bottom w:val="nil"/>
                    <w:right w:val="nil"/>
                    <w:tl2br w:val="nil"/>
                    <w:tr2bl w:val="nil"/>
                  </w:tcBorders>
                  <w:shd w:val="clear" w:color="auto" w:fill="auto"/>
                  <w:noWrap/>
                  <w:tcMar>
                    <w:left w:w="43" w:type="dxa"/>
                    <w:right w:w="43" w:type="dxa"/>
                  </w:tcMar>
                  <w:vAlign w:val="bottom"/>
                </w:tcPr>
                <w:p w14:paraId="6003A97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u w:val="single"/>
                    </w:rPr>
                  </w:pPr>
                  <w:r w:rsidRPr="004D7A72">
                    <w:rPr>
                      <w:rFonts w:asciiTheme="majorBidi" w:hAnsiTheme="majorBidi" w:cstheme="majorBidi"/>
                      <w:color w:val="000000"/>
                      <w:sz w:val="19"/>
                      <w:u w:val="single"/>
                    </w:rPr>
                    <w:t>Balance as at June 30, 2023</w:t>
                  </w: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0789ADE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231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7E11EB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2263CA8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4,671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95DE03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517017F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3,121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453509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1B479B1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(3,984)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516240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5D7072A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1,358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DEC9D7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396265D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EE9504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27BA957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5,396</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C046A2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1069C41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7,218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494A9B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163F483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12,614</w:t>
                  </w:r>
                </w:p>
              </w:tc>
            </w:tr>
            <w:tr w:rsidR="00213131" w:rsidRPr="004D7A72" w14:paraId="2046161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285" w:type="dxa"/>
                  <w:tcBorders>
                    <w:top w:val="nil"/>
                    <w:left w:val="nil"/>
                    <w:bottom w:val="nil"/>
                    <w:right w:val="nil"/>
                    <w:tl2br w:val="nil"/>
                    <w:tr2bl w:val="nil"/>
                  </w:tcBorders>
                  <w:shd w:val="clear" w:color="auto" w:fill="auto"/>
                  <w:noWrap/>
                  <w:tcMar>
                    <w:left w:w="0" w:type="dxa"/>
                    <w:right w:w="0" w:type="dxa"/>
                  </w:tcMar>
                  <w:vAlign w:val="bottom"/>
                </w:tcPr>
                <w:p w14:paraId="55965CE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u w:val="single"/>
                    </w:rPr>
                  </w:pPr>
                </w:p>
              </w:tc>
              <w:tc>
                <w:tcPr>
                  <w:tcW w:w="4515" w:type="dxa"/>
                  <w:tcBorders>
                    <w:top w:val="nil"/>
                    <w:left w:val="nil"/>
                    <w:bottom w:val="nil"/>
                    <w:right w:val="nil"/>
                    <w:tl2br w:val="nil"/>
                    <w:tr2bl w:val="nil"/>
                  </w:tcBorders>
                  <w:shd w:val="clear" w:color="auto" w:fill="auto"/>
                  <w:noWrap/>
                  <w:tcMar>
                    <w:left w:w="0" w:type="dxa"/>
                    <w:right w:w="0" w:type="dxa"/>
                  </w:tcMar>
                  <w:vAlign w:val="bottom"/>
                </w:tcPr>
                <w:p w14:paraId="047727F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u w:val="single"/>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A44257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35E02B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89A56E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404DFD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A0D1C7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409F2C0"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CB26A5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3A68D7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78D9307"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D4E3EF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DD3931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8BF3DD0"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BB3279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30262D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D9762C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3B4F90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0C27D1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r>
            <w:tr w:rsidR="00213131" w:rsidRPr="004D7A72" w14:paraId="49D7EA2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85" w:type="dxa"/>
                  <w:tcBorders>
                    <w:top w:val="nil"/>
                    <w:left w:val="nil"/>
                    <w:bottom w:val="nil"/>
                    <w:right w:val="nil"/>
                    <w:tl2br w:val="nil"/>
                    <w:tr2bl w:val="nil"/>
                  </w:tcBorders>
                  <w:shd w:val="clear" w:color="auto" w:fill="auto"/>
                  <w:noWrap/>
                  <w:tcMar>
                    <w:left w:w="43" w:type="dxa"/>
                    <w:right w:w="43" w:type="dxa"/>
                  </w:tcMar>
                  <w:vAlign w:val="bottom"/>
                </w:tcPr>
                <w:p w14:paraId="3BC9C99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w:t>
                  </w:r>
                </w:p>
              </w:tc>
              <w:tc>
                <w:tcPr>
                  <w:tcW w:w="9000" w:type="dxa"/>
                  <w:gridSpan w:val="8"/>
                  <w:tcBorders>
                    <w:top w:val="nil"/>
                    <w:left w:val="nil"/>
                    <w:bottom w:val="nil"/>
                    <w:right w:val="nil"/>
                    <w:tl2br w:val="nil"/>
                    <w:tr2bl w:val="nil"/>
                  </w:tcBorders>
                  <w:shd w:val="clear" w:color="auto" w:fill="auto"/>
                  <w:noWrap/>
                  <w:tcMar>
                    <w:left w:w="43" w:type="dxa"/>
                    <w:right w:w="43" w:type="dxa"/>
                  </w:tcMar>
                  <w:vAlign w:val="bottom"/>
                </w:tcPr>
                <w:p w14:paraId="47488FC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Represents an amount of less than NIS 1 million</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5BFEBC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6EC422A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5715A5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18A2E1E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BC1BE07"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12A3DB3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31DFAE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202EC6D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D8FAB1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4BA3113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r>
            <w:tr w:rsidR="00213131" w:rsidRPr="004D7A72" w14:paraId="5C34FA4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85" w:type="dxa"/>
                  <w:tcBorders>
                    <w:top w:val="nil"/>
                    <w:left w:val="nil"/>
                    <w:bottom w:val="nil"/>
                    <w:right w:val="nil"/>
                    <w:tl2br w:val="nil"/>
                    <w:tr2bl w:val="nil"/>
                  </w:tcBorders>
                  <w:shd w:val="clear" w:color="auto" w:fill="auto"/>
                  <w:noWrap/>
                  <w:tcMar>
                    <w:left w:w="0" w:type="dxa"/>
                    <w:right w:w="0" w:type="dxa"/>
                  </w:tcMar>
                  <w:vAlign w:val="bottom"/>
                </w:tcPr>
                <w:p w14:paraId="7B3EDA7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515" w:type="dxa"/>
                  <w:tcBorders>
                    <w:top w:val="nil"/>
                    <w:left w:val="nil"/>
                    <w:bottom w:val="nil"/>
                    <w:right w:val="nil"/>
                    <w:tl2br w:val="nil"/>
                    <w:tr2bl w:val="nil"/>
                  </w:tcBorders>
                  <w:shd w:val="clear" w:color="auto" w:fill="auto"/>
                  <w:noWrap/>
                  <w:tcMar>
                    <w:left w:w="0" w:type="dxa"/>
                    <w:right w:w="0" w:type="dxa"/>
                  </w:tcMar>
                  <w:vAlign w:val="bottom"/>
                </w:tcPr>
                <w:p w14:paraId="354F200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78D8E6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C9DE78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60C8108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62E760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6F74230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571581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784DC81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B01203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553E01D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6D9C530"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2B6E96B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C996B0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4AC0FB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7E391F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0064345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F396FA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797D6FB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r>
            <w:tr w:rsidR="00213131" w:rsidRPr="004D7A72" w14:paraId="4E67376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9285" w:type="dxa"/>
                  <w:gridSpan w:val="9"/>
                  <w:tcBorders>
                    <w:top w:val="nil"/>
                    <w:left w:val="nil"/>
                    <w:bottom w:val="nil"/>
                    <w:right w:val="nil"/>
                    <w:tl2br w:val="nil"/>
                    <w:tr2bl w:val="nil"/>
                  </w:tcBorders>
                  <w:shd w:val="clear" w:color="auto" w:fill="auto"/>
                  <w:noWrap/>
                  <w:tcMar>
                    <w:left w:w="43" w:type="dxa"/>
                    <w:right w:w="43" w:type="dxa"/>
                  </w:tcMar>
                  <w:vAlign w:val="bottom"/>
                </w:tcPr>
                <w:p w14:paraId="77736F5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The accompanying notes constitute an integral part of these consolidated interim financial statements.</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283DAE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772095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CDE242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611CDCA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B4ADF1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725E6EE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BD2123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512016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ECDA1F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01CA713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r>
          </w:tbl>
          <w:p w14:paraId="68C663FB" w14:textId="77777777" w:rsidR="00213131" w:rsidRPr="004D7A72" w:rsidRDefault="00213131" w:rsidP="00A65A6F">
            <w:pPr>
              <w:rPr>
                <w:rFonts w:asciiTheme="majorBidi" w:hAnsiTheme="majorBidi" w:cstheme="majorBidi"/>
              </w:rPr>
            </w:pPr>
          </w:p>
        </w:tc>
      </w:tr>
      <w:tr w:rsidR="00213131" w:rsidRPr="004D7A72" w14:paraId="0294A2B4" w14:textId="77777777" w:rsidTr="00A65A6F">
        <w:trPr>
          <w:cantSplit/>
        </w:trPr>
        <w:tc>
          <w:tcPr>
            <w:tcW w:w="14854" w:type="dxa"/>
            <w:tcBorders>
              <w:top w:val="nil"/>
              <w:left w:val="nil"/>
              <w:bottom w:val="nil"/>
              <w:right w:val="nil"/>
            </w:tcBorders>
          </w:tcPr>
          <w:tbl>
            <w:tblPr>
              <w:tblStyle w:val="CDMRange1"/>
              <w:tblW w:w="15000" w:type="dxa"/>
              <w:tblLook w:val="0600" w:firstRow="0" w:lastRow="0" w:firstColumn="0" w:lastColumn="0" w:noHBand="1" w:noVBand="1"/>
            </w:tblPr>
            <w:tblGrid>
              <w:gridCol w:w="496"/>
              <w:gridCol w:w="4263"/>
              <w:gridCol w:w="1095"/>
              <w:gridCol w:w="30"/>
              <w:gridCol w:w="1095"/>
              <w:gridCol w:w="30"/>
              <w:gridCol w:w="1095"/>
              <w:gridCol w:w="30"/>
              <w:gridCol w:w="1095"/>
              <w:gridCol w:w="30"/>
              <w:gridCol w:w="1095"/>
              <w:gridCol w:w="30"/>
              <w:gridCol w:w="1095"/>
              <w:gridCol w:w="30"/>
              <w:gridCol w:w="1095"/>
              <w:gridCol w:w="30"/>
              <w:gridCol w:w="1095"/>
              <w:gridCol w:w="30"/>
              <w:gridCol w:w="1095"/>
            </w:tblGrid>
            <w:tr w:rsidR="00213131" w:rsidRPr="004D7A72" w14:paraId="4D543D84" w14:textId="77777777" w:rsidTr="00A65A6F">
              <w:trPr>
                <w:cantSplit/>
                <w:trHeight w:hRule="exact" w:val="259"/>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10E527F3"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395" w:type="dxa"/>
                  <w:tcBorders>
                    <w:top w:val="nil"/>
                    <w:left w:val="nil"/>
                    <w:bottom w:val="nil"/>
                    <w:right w:val="nil"/>
                    <w:tl2br w:val="nil"/>
                    <w:tr2bl w:val="nil"/>
                  </w:tcBorders>
                  <w:shd w:val="clear" w:color="auto" w:fill="auto"/>
                  <w:noWrap/>
                  <w:tcMar>
                    <w:left w:w="0" w:type="dxa"/>
                    <w:right w:w="0" w:type="dxa"/>
                  </w:tcMar>
                  <w:vAlign w:val="bottom"/>
                </w:tcPr>
                <w:p w14:paraId="423A4DC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7860" w:type="dxa"/>
                  <w:gridSpan w:val="13"/>
                  <w:tcBorders>
                    <w:top w:val="nil"/>
                    <w:left w:val="nil"/>
                    <w:bottom w:val="nil"/>
                    <w:right w:val="nil"/>
                    <w:tl2br w:val="nil"/>
                    <w:tr2bl w:val="nil"/>
                  </w:tcBorders>
                  <w:shd w:val="clear" w:color="auto" w:fill="auto"/>
                  <w:noWrap/>
                  <w:tcMar>
                    <w:left w:w="43" w:type="dxa"/>
                    <w:right w:w="43" w:type="dxa"/>
                  </w:tcMar>
                  <w:vAlign w:val="bottom"/>
                </w:tcPr>
                <w:p w14:paraId="51C67D1F"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Equity attributable to equity holders of the Company</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6BAE015" w14:textId="77777777" w:rsidR="00213131" w:rsidRPr="004D7A72" w:rsidRDefault="00213131" w:rsidP="00A65A6F">
                  <w:pPr>
                    <w:keepNext/>
                    <w:spacing w:before="0" w:after="0"/>
                    <w:jc w:val="left"/>
                    <w:rPr>
                      <w:rFonts w:asciiTheme="majorBidi" w:eastAsia="Ploni ML Medium AAA Medium" w:hAnsiTheme="majorBidi" w:cstheme="majorBidi"/>
                      <w:b/>
                      <w:color w:val="000000"/>
                      <w:sz w:val="18"/>
                      <w:szCs w:val="18"/>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0A336CF5" w14:textId="77777777" w:rsidR="00213131" w:rsidRPr="004D7A72" w:rsidRDefault="00213131" w:rsidP="00A65A6F">
                  <w:pPr>
                    <w:keepNext/>
                    <w:spacing w:before="0" w:after="0"/>
                    <w:jc w:val="left"/>
                    <w:rPr>
                      <w:rFonts w:asciiTheme="majorBidi" w:eastAsia="Ploni ML Medium AAA Medium" w:hAnsiTheme="majorBidi" w:cstheme="majorBidi"/>
                      <w:b/>
                      <w:color w:val="000000"/>
                      <w:sz w:val="18"/>
                      <w:szCs w:val="18"/>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1E7B8FC" w14:textId="77777777" w:rsidR="00213131" w:rsidRPr="004D7A72" w:rsidRDefault="00213131" w:rsidP="00A65A6F">
                  <w:pPr>
                    <w:keepNext/>
                    <w:spacing w:before="0" w:after="0"/>
                    <w:jc w:val="left"/>
                    <w:rPr>
                      <w:rFonts w:asciiTheme="majorBidi" w:eastAsia="Ploni ML Medium AAA Medium" w:hAnsiTheme="majorBidi" w:cstheme="majorBidi"/>
                      <w:b/>
                      <w:color w:val="000000"/>
                      <w:sz w:val="18"/>
                      <w:szCs w:val="18"/>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61B08E69"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r>
            <w:tr w:rsidR="00213131" w:rsidRPr="004D7A72" w14:paraId="404F6DB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33C8D5F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395" w:type="dxa"/>
                  <w:tcBorders>
                    <w:top w:val="nil"/>
                    <w:left w:val="nil"/>
                    <w:bottom w:val="nil"/>
                    <w:right w:val="nil"/>
                    <w:tl2br w:val="nil"/>
                    <w:tr2bl w:val="nil"/>
                  </w:tcBorders>
                  <w:shd w:val="clear" w:color="auto" w:fill="auto"/>
                  <w:noWrap/>
                  <w:tcMar>
                    <w:left w:w="0" w:type="dxa"/>
                    <w:right w:w="0" w:type="dxa"/>
                  </w:tcMar>
                  <w:vAlign w:val="bottom"/>
                </w:tcPr>
                <w:p w14:paraId="3AC4EC2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2FA446F8"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9"/>
                    </w:rPr>
                  </w:pPr>
                  <w:r w:rsidRPr="004D7A72">
                    <w:rPr>
                      <w:rFonts w:asciiTheme="majorBidi" w:hAnsiTheme="majorBidi" w:cstheme="majorBidi"/>
                      <w:b/>
                      <w:color w:val="000000"/>
                      <w:sz w:val="19"/>
                    </w:rPr>
                    <w:t>Share capital</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4C4377C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5356E568"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9"/>
                    </w:rPr>
                  </w:pPr>
                  <w:r w:rsidRPr="004D7A72">
                    <w:rPr>
                      <w:rFonts w:asciiTheme="majorBidi" w:hAnsiTheme="majorBidi" w:cstheme="majorBidi"/>
                      <w:b/>
                      <w:color w:val="000000"/>
                      <w:sz w:val="19"/>
                    </w:rPr>
                    <w:t>Share premium</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47ABB7FF"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21BE9D16"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9"/>
                    </w:rPr>
                  </w:pPr>
                  <w:r w:rsidRPr="004D7A72">
                    <w:rPr>
                      <w:rFonts w:asciiTheme="majorBidi" w:hAnsiTheme="majorBidi" w:cstheme="majorBidi"/>
                      <w:b/>
                      <w:color w:val="000000"/>
                      <w:sz w:val="19"/>
                    </w:rPr>
                    <w:t>Retained earnings</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289D1A9A"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2E1255F8"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Adjustments due to translation of financial statements of foreign operations</w:t>
                  </w:r>
                </w:p>
              </w:tc>
              <w:tc>
                <w:tcPr>
                  <w:tcW w:w="15" w:type="dxa"/>
                  <w:tcBorders>
                    <w:top w:val="nil"/>
                    <w:left w:val="nil"/>
                    <w:bottom w:val="nil"/>
                    <w:right w:val="nil"/>
                    <w:tl2br w:val="nil"/>
                    <w:tr2bl w:val="nil"/>
                  </w:tcBorders>
                  <w:shd w:val="clear" w:color="auto" w:fill="auto"/>
                  <w:tcMar>
                    <w:left w:w="0" w:type="dxa"/>
                    <w:right w:w="0" w:type="dxa"/>
                  </w:tcMar>
                  <w:vAlign w:val="bottom"/>
                </w:tcPr>
                <w:p w14:paraId="1078E4A3"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08E7F704"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Other reserves</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45FC17F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73302B74"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Treasury shares</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1A000158"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0D405EB8"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Total</w:t>
                  </w:r>
                </w:p>
              </w:tc>
              <w:tc>
                <w:tcPr>
                  <w:tcW w:w="15" w:type="dxa"/>
                  <w:tcBorders>
                    <w:top w:val="nil"/>
                    <w:left w:val="nil"/>
                    <w:bottom w:val="nil"/>
                    <w:right w:val="nil"/>
                    <w:tl2br w:val="nil"/>
                    <w:tr2bl w:val="nil"/>
                  </w:tcBorders>
                  <w:shd w:val="clear" w:color="auto" w:fill="auto"/>
                  <w:tcMar>
                    <w:left w:w="0" w:type="dxa"/>
                    <w:right w:w="0" w:type="dxa"/>
                  </w:tcMar>
                  <w:vAlign w:val="bottom"/>
                </w:tcPr>
                <w:p w14:paraId="797E72D6"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nil"/>
                    <w:left w:val="nil"/>
                    <w:bottom w:val="single" w:sz="4" w:space="0" w:color="000000"/>
                    <w:right w:val="nil"/>
                    <w:tl2br w:val="nil"/>
                    <w:tr2bl w:val="nil"/>
                  </w:tcBorders>
                  <w:shd w:val="clear" w:color="auto" w:fill="auto"/>
                  <w:tcMar>
                    <w:left w:w="43" w:type="dxa"/>
                    <w:right w:w="43" w:type="dxa"/>
                  </w:tcMar>
                  <w:vAlign w:val="bottom"/>
                </w:tcPr>
                <w:p w14:paraId="03086C3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Non-controlling interests</w:t>
                  </w:r>
                </w:p>
              </w:tc>
              <w:tc>
                <w:tcPr>
                  <w:tcW w:w="15" w:type="dxa"/>
                  <w:tcBorders>
                    <w:top w:val="nil"/>
                    <w:left w:val="nil"/>
                    <w:bottom w:val="nil"/>
                    <w:right w:val="nil"/>
                    <w:tl2br w:val="nil"/>
                    <w:tr2bl w:val="nil"/>
                  </w:tcBorders>
                  <w:shd w:val="clear" w:color="auto" w:fill="auto"/>
                  <w:tcMar>
                    <w:left w:w="0" w:type="dxa"/>
                    <w:right w:w="0" w:type="dxa"/>
                  </w:tcMar>
                  <w:vAlign w:val="bottom"/>
                </w:tcPr>
                <w:p w14:paraId="752C1FD1"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nil"/>
                    <w:left w:val="nil"/>
                    <w:bottom w:val="single" w:sz="4" w:space="0" w:color="000000"/>
                    <w:right w:val="nil"/>
                    <w:tl2br w:val="nil"/>
                    <w:tr2bl w:val="nil"/>
                  </w:tcBorders>
                  <w:shd w:val="clear" w:color="auto" w:fill="auto"/>
                  <w:tcMar>
                    <w:left w:w="43" w:type="dxa"/>
                    <w:right w:w="43" w:type="dxa"/>
                  </w:tcMar>
                  <w:vAlign w:val="bottom"/>
                </w:tcPr>
                <w:p w14:paraId="38CD8AB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Total equity</w:t>
                  </w:r>
                </w:p>
              </w:tc>
            </w:tr>
            <w:tr w:rsidR="00213131" w:rsidRPr="004D7A72" w14:paraId="549E0A3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4230DA2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395" w:type="dxa"/>
                  <w:tcBorders>
                    <w:top w:val="nil"/>
                    <w:left w:val="nil"/>
                    <w:bottom w:val="nil"/>
                    <w:right w:val="nil"/>
                    <w:tl2br w:val="nil"/>
                    <w:tr2bl w:val="nil"/>
                  </w:tcBorders>
                  <w:shd w:val="clear" w:color="auto" w:fill="auto"/>
                  <w:noWrap/>
                  <w:tcMar>
                    <w:left w:w="0" w:type="dxa"/>
                    <w:right w:w="0" w:type="dxa"/>
                  </w:tcMar>
                  <w:vAlign w:val="bottom"/>
                </w:tcPr>
                <w:p w14:paraId="672DC76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110" w:type="dxa"/>
                  <w:gridSpan w:val="17"/>
                  <w:tcBorders>
                    <w:top w:val="nil"/>
                    <w:left w:val="nil"/>
                    <w:bottom w:val="single" w:sz="4" w:space="0" w:color="000000"/>
                    <w:right w:val="nil"/>
                    <w:tl2br w:val="nil"/>
                    <w:tr2bl w:val="nil"/>
                  </w:tcBorders>
                  <w:shd w:val="clear" w:color="auto" w:fill="auto"/>
                  <w:tcMar>
                    <w:left w:w="43" w:type="dxa"/>
                    <w:right w:w="43" w:type="dxa"/>
                  </w:tcMar>
                  <w:vAlign w:val="bottom"/>
                </w:tcPr>
                <w:p w14:paraId="6246E3CD"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Unaudited</w:t>
                  </w:r>
                </w:p>
              </w:tc>
            </w:tr>
            <w:tr w:rsidR="00213131" w:rsidRPr="004D7A72" w14:paraId="6CA3317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4DFA922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395" w:type="dxa"/>
                  <w:tcBorders>
                    <w:top w:val="nil"/>
                    <w:left w:val="nil"/>
                    <w:bottom w:val="nil"/>
                    <w:right w:val="nil"/>
                    <w:tl2br w:val="nil"/>
                    <w:tr2bl w:val="nil"/>
                  </w:tcBorders>
                  <w:shd w:val="clear" w:color="auto" w:fill="auto"/>
                  <w:noWrap/>
                  <w:tcMar>
                    <w:left w:w="0" w:type="dxa"/>
                    <w:right w:w="0" w:type="dxa"/>
                  </w:tcMar>
                  <w:vAlign w:val="bottom"/>
                </w:tcPr>
                <w:p w14:paraId="20C6E360"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110" w:type="dxa"/>
                  <w:gridSpan w:val="17"/>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090DAC99"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NIS million</w:t>
                  </w:r>
                </w:p>
              </w:tc>
            </w:tr>
            <w:tr w:rsidR="00213131" w:rsidRPr="004D7A72" w14:paraId="56D0965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90" w:type="dxa"/>
                  <w:gridSpan w:val="2"/>
                  <w:tcBorders>
                    <w:top w:val="nil"/>
                    <w:left w:val="nil"/>
                    <w:bottom w:val="nil"/>
                    <w:right w:val="nil"/>
                    <w:tl2br w:val="nil"/>
                    <w:tr2bl w:val="nil"/>
                  </w:tcBorders>
                  <w:shd w:val="clear" w:color="auto" w:fill="auto"/>
                  <w:noWrap/>
                  <w:tcMar>
                    <w:left w:w="43" w:type="dxa"/>
                    <w:right w:w="43" w:type="dxa"/>
                  </w:tcMar>
                  <w:vAlign w:val="bottom"/>
                </w:tcPr>
                <w:p w14:paraId="4BAC76F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u w:val="single"/>
                    </w:rPr>
                  </w:pPr>
                  <w:r w:rsidRPr="004D7A72">
                    <w:rPr>
                      <w:rFonts w:asciiTheme="majorBidi" w:hAnsiTheme="majorBidi" w:cstheme="majorBidi"/>
                      <w:color w:val="000000"/>
                      <w:sz w:val="19"/>
                      <w:u w:val="single"/>
                    </w:rPr>
                    <w:t>Balance as at April 1, 2024</w:t>
                  </w: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325BF31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239</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887BC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6B01B91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4,755</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2696D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2F75E77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2,353</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3D718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25395C2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(4,073)</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92082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114FD04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1,296</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F532C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2A96B4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85A07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7968EF7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4,569</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B8501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3EE69AA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6,863</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C7563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D42CD7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11,432</w:t>
                  </w:r>
                </w:p>
              </w:tc>
            </w:tr>
            <w:tr w:rsidR="00213131" w:rsidRPr="004D7A72" w14:paraId="6CABEB2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90" w:type="dxa"/>
                  <w:gridSpan w:val="2"/>
                  <w:tcBorders>
                    <w:top w:val="nil"/>
                    <w:left w:val="nil"/>
                    <w:bottom w:val="nil"/>
                    <w:right w:val="nil"/>
                    <w:tl2br w:val="nil"/>
                    <w:tr2bl w:val="nil"/>
                  </w:tcBorders>
                  <w:shd w:val="clear" w:color="auto" w:fill="auto"/>
                  <w:noWrap/>
                  <w:tcMar>
                    <w:left w:w="43" w:type="dxa"/>
                    <w:right w:w="43" w:type="dxa"/>
                  </w:tcMar>
                  <w:vAlign w:val="bottom"/>
                </w:tcPr>
                <w:p w14:paraId="1B2427C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Net profit</w:t>
                  </w: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5515C7A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F99B99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0770F6B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3B4F0A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1F80A59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329</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55D357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03D83AF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95B0CC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5506934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84CC1D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33B6288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E3DBCF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5186A46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329</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55E9DA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09D3B28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89</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97536E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40C8A69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418</w:t>
                  </w:r>
                </w:p>
              </w:tc>
            </w:tr>
            <w:tr w:rsidR="00213131" w:rsidRPr="004D7A72" w14:paraId="408E082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90" w:type="dxa"/>
                  <w:gridSpan w:val="2"/>
                  <w:tcBorders>
                    <w:top w:val="nil"/>
                    <w:left w:val="nil"/>
                    <w:bottom w:val="nil"/>
                    <w:right w:val="nil"/>
                    <w:tl2br w:val="nil"/>
                    <w:tr2bl w:val="nil"/>
                  </w:tcBorders>
                  <w:shd w:val="clear" w:color="auto" w:fill="auto"/>
                  <w:noWrap/>
                  <w:tcMar>
                    <w:left w:w="43" w:type="dxa"/>
                    <w:right w:w="43" w:type="dxa"/>
                  </w:tcMar>
                  <w:vAlign w:val="bottom"/>
                </w:tcPr>
                <w:p w14:paraId="1A696AD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Other comprehensive income</w:t>
                  </w: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934D07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A2F141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B22978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91C532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EAF376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2EDD07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86297A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961C82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07474C4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545A1F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B639C0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766B3A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A07F7F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EBFE1A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241466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93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D36726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CCF877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97</w:t>
                  </w:r>
                </w:p>
              </w:tc>
            </w:tr>
            <w:tr w:rsidR="00213131" w:rsidRPr="004D7A72" w14:paraId="366A16C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23DC75B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4395" w:type="dxa"/>
                  <w:tcBorders>
                    <w:top w:val="nil"/>
                    <w:left w:val="nil"/>
                    <w:bottom w:val="nil"/>
                    <w:right w:val="nil"/>
                    <w:tl2br w:val="nil"/>
                    <w:tr2bl w:val="nil"/>
                  </w:tcBorders>
                  <w:shd w:val="clear" w:color="auto" w:fill="auto"/>
                  <w:noWrap/>
                  <w:tcMar>
                    <w:left w:w="0" w:type="dxa"/>
                    <w:right w:w="0" w:type="dxa"/>
                  </w:tcMar>
                  <w:vAlign w:val="bottom"/>
                </w:tcPr>
                <w:p w14:paraId="5B9C153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DE6B9D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775602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CF67E3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7554A8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E19774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202F01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5C236E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6C1998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C2CC1A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C0E71D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1334D0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81FF22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C994A0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FBA17F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135E00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ADF639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6FBD6B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r>
            <w:tr w:rsidR="00213131" w:rsidRPr="004D7A72" w14:paraId="5876CA6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90" w:type="dxa"/>
                  <w:gridSpan w:val="2"/>
                  <w:tcBorders>
                    <w:top w:val="nil"/>
                    <w:left w:val="nil"/>
                    <w:bottom w:val="nil"/>
                    <w:right w:val="nil"/>
                    <w:tl2br w:val="nil"/>
                    <w:tr2bl w:val="nil"/>
                  </w:tcBorders>
                  <w:shd w:val="clear" w:color="auto" w:fill="auto"/>
                  <w:noWrap/>
                  <w:tcMar>
                    <w:left w:w="43" w:type="dxa"/>
                    <w:right w:w="43" w:type="dxa"/>
                  </w:tcMar>
                  <w:vAlign w:val="bottom"/>
                </w:tcPr>
                <w:p w14:paraId="1EF8D5E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Total comprehensive income</w:t>
                  </w: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B32607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6ACCBB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E1014A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9F631F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4E70FD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329</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F579FC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5F991B4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FB8ADB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3AEE0CE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972645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481518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0225B2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11095B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333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44CEC3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60FE10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182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A390BD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987C3F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515</w:t>
                  </w:r>
                </w:p>
              </w:tc>
            </w:tr>
            <w:tr w:rsidR="00213131" w:rsidRPr="004D7A72" w14:paraId="0BA4B0E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603FB72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4395" w:type="dxa"/>
                  <w:tcBorders>
                    <w:top w:val="nil"/>
                    <w:left w:val="nil"/>
                    <w:bottom w:val="nil"/>
                    <w:right w:val="nil"/>
                    <w:tl2br w:val="nil"/>
                    <w:tr2bl w:val="nil"/>
                  </w:tcBorders>
                  <w:shd w:val="clear" w:color="auto" w:fill="auto"/>
                  <w:noWrap/>
                  <w:tcMar>
                    <w:left w:w="0" w:type="dxa"/>
                    <w:right w:w="0" w:type="dxa"/>
                  </w:tcMar>
                  <w:vAlign w:val="bottom"/>
                </w:tcPr>
                <w:p w14:paraId="0762E017"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773B824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102F42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295C715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A74671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3EA4242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A0B4EC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5EDABA2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824666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7779370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041484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637DECB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0EEC8B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1396674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C05BA9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52D3B62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EFFCFB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56D02EE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r>
            <w:tr w:rsidR="00213131" w:rsidRPr="004D7A72" w14:paraId="46AE1E9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90" w:type="dxa"/>
                  <w:gridSpan w:val="2"/>
                  <w:tcBorders>
                    <w:top w:val="nil"/>
                    <w:left w:val="nil"/>
                    <w:bottom w:val="nil"/>
                    <w:right w:val="nil"/>
                    <w:tl2br w:val="nil"/>
                    <w:tr2bl w:val="nil"/>
                  </w:tcBorders>
                  <w:shd w:val="clear" w:color="auto" w:fill="auto"/>
                  <w:noWrap/>
                  <w:tcMar>
                    <w:left w:w="43" w:type="dxa"/>
                    <w:right w:w="43" w:type="dxa"/>
                  </w:tcMar>
                  <w:vAlign w:val="bottom"/>
                </w:tcPr>
                <w:p w14:paraId="48229AD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Exercise and forfeiture of options for Company shares</w:t>
                  </w: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729A90D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EB3F33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886F7F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27</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CE3E79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E39824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F47843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5A8AC3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2E4941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61176A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(27)</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70248F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DB663E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92380E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62147AD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6B9D6B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626FC67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51D606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30735F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r>
            <w:tr w:rsidR="00213131" w:rsidRPr="004D7A72" w14:paraId="2AAFE9B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90" w:type="dxa"/>
                  <w:gridSpan w:val="2"/>
                  <w:tcBorders>
                    <w:top w:val="nil"/>
                    <w:left w:val="nil"/>
                    <w:bottom w:val="nil"/>
                    <w:right w:val="nil"/>
                    <w:tl2br w:val="nil"/>
                    <w:tr2bl w:val="nil"/>
                  </w:tcBorders>
                  <w:shd w:val="clear" w:color="auto" w:fill="auto"/>
                  <w:noWrap/>
                  <w:tcMar>
                    <w:left w:w="43" w:type="dxa"/>
                    <w:right w:w="43" w:type="dxa"/>
                  </w:tcMar>
                  <w:vAlign w:val="bottom"/>
                </w:tcPr>
                <w:p w14:paraId="20D798B7"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Acquisition of treasury shares</w:t>
                  </w: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A0A6E8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D3E5CC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6C78FE5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8C1A86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3866EAD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F4CD99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244E76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86F0B7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6717263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E2244A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3B1973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F03B25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5BDD696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8217E4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7F6CFF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2955D4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6728FE4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(10)</w:t>
                  </w:r>
                </w:p>
              </w:tc>
            </w:tr>
            <w:tr w:rsidR="00213131" w:rsidRPr="004D7A72" w14:paraId="7997734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90" w:type="dxa"/>
                  <w:gridSpan w:val="2"/>
                  <w:tcBorders>
                    <w:top w:val="nil"/>
                    <w:left w:val="nil"/>
                    <w:bottom w:val="nil"/>
                    <w:right w:val="nil"/>
                    <w:tl2br w:val="nil"/>
                    <w:tr2bl w:val="nil"/>
                  </w:tcBorders>
                  <w:shd w:val="clear" w:color="auto" w:fill="auto"/>
                  <w:noWrap/>
                  <w:tcMar>
                    <w:left w:w="43" w:type="dxa"/>
                    <w:right w:w="43" w:type="dxa"/>
                  </w:tcMar>
                  <w:vAlign w:val="bottom"/>
                </w:tcPr>
                <w:p w14:paraId="39A52DD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Cost of share-based payment</w:t>
                  </w: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0DBE18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E67C4C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DF4936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AC7CE7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E48118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DD55CA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D4F7E9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DB8CC4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7581ED6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47D5CF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86338D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1880E7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5B9F787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FDE596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6017E13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F27C1F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347EE8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w:t>
                  </w:r>
                </w:p>
              </w:tc>
            </w:tr>
            <w:tr w:rsidR="00213131" w:rsidRPr="004D7A72" w14:paraId="56AE017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890" w:type="dxa"/>
                  <w:gridSpan w:val="2"/>
                  <w:tcBorders>
                    <w:top w:val="nil"/>
                    <w:left w:val="nil"/>
                    <w:bottom w:val="nil"/>
                    <w:right w:val="nil"/>
                    <w:tl2br w:val="nil"/>
                    <w:tr2bl w:val="nil"/>
                  </w:tcBorders>
                  <w:shd w:val="clear" w:color="auto" w:fill="auto"/>
                  <w:tcMar>
                    <w:left w:w="43" w:type="dxa"/>
                    <w:right w:w="43" w:type="dxa"/>
                  </w:tcMar>
                  <w:vAlign w:val="bottom"/>
                </w:tcPr>
                <w:p w14:paraId="3365A23C" w14:textId="72A52260" w:rsidR="00213131" w:rsidRPr="004D7A72" w:rsidRDefault="00213131" w:rsidP="004802A1">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Buyback and exchange of hybrid debentures from non-controlling interests   </w:t>
                  </w: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5D0DAF2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105B02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243B67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ABBB51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E1F269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C18941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35F5643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21328A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540AE30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0B59B3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210E5A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D47DD0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38F69AA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797B4F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20709D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(173)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311D60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7E4C783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(139)</w:t>
                  </w:r>
                </w:p>
              </w:tc>
            </w:tr>
            <w:tr w:rsidR="00213131" w:rsidRPr="004D7A72" w14:paraId="075B484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890" w:type="dxa"/>
                  <w:gridSpan w:val="2"/>
                  <w:tcBorders>
                    <w:top w:val="nil"/>
                    <w:left w:val="nil"/>
                    <w:bottom w:val="nil"/>
                    <w:right w:val="nil"/>
                    <w:tl2br w:val="nil"/>
                    <w:tr2bl w:val="nil"/>
                  </w:tcBorders>
                  <w:shd w:val="clear" w:color="auto" w:fill="auto"/>
                  <w:tcMar>
                    <w:left w:w="43" w:type="dxa"/>
                    <w:right w:w="43" w:type="dxa"/>
                  </w:tcMar>
                  <w:vAlign w:val="bottom"/>
                </w:tcPr>
                <w:p w14:paraId="2C4D59F5" w14:textId="1325EBE7" w:rsidR="00213131" w:rsidRPr="004D7A72" w:rsidRDefault="00213131" w:rsidP="004D7A72">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Interest on hybrid debentures paid to non-controlling interests </w:t>
                  </w: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E80D64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FA87C0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DAB723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5494EA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785ADF4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135016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7984DA5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8B9EFD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033AF4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9D70C7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3A06A98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CA311B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6EA5EC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8421FC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BCAE7D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(15)</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22C2FC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343243A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(15)</w:t>
                  </w:r>
                </w:p>
              </w:tc>
            </w:tr>
            <w:tr w:rsidR="00213131" w:rsidRPr="004D7A72" w14:paraId="6086155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890" w:type="dxa"/>
                  <w:gridSpan w:val="2"/>
                  <w:tcBorders>
                    <w:top w:val="nil"/>
                    <w:left w:val="nil"/>
                    <w:bottom w:val="nil"/>
                    <w:right w:val="nil"/>
                    <w:tl2br w:val="nil"/>
                    <w:tr2bl w:val="nil"/>
                  </w:tcBorders>
                  <w:shd w:val="clear" w:color="auto" w:fill="auto"/>
                  <w:tcMar>
                    <w:left w:w="43" w:type="dxa"/>
                    <w:right w:w="43" w:type="dxa"/>
                  </w:tcMar>
                  <w:vAlign w:val="bottom"/>
                </w:tcPr>
                <w:p w14:paraId="53EF7127"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Acquisition of non-controlling interests   </w:t>
                  </w: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3D4BDF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388433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0D8734F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70823C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E52462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55A992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1FB2CD4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97A01A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89E038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(5)</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0F999F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3295AA9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2BD824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2B3B8C1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67A7EA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445A029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C225BF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3" w:type="dxa"/>
                    <w:right w:w="178" w:type="dxa"/>
                  </w:tcMar>
                  <w:vAlign w:val="bottom"/>
                </w:tcPr>
                <w:p w14:paraId="5D2E9E9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r>
            <w:tr w:rsidR="00213131" w:rsidRPr="004D7A72" w14:paraId="2C44466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90" w:type="dxa"/>
                  <w:gridSpan w:val="2"/>
                  <w:tcBorders>
                    <w:top w:val="nil"/>
                    <w:left w:val="nil"/>
                    <w:bottom w:val="nil"/>
                    <w:right w:val="nil"/>
                    <w:tl2br w:val="nil"/>
                    <w:tr2bl w:val="nil"/>
                  </w:tcBorders>
                  <w:shd w:val="clear" w:color="auto" w:fill="auto"/>
                  <w:noWrap/>
                  <w:tcMar>
                    <w:left w:w="43" w:type="dxa"/>
                    <w:right w:w="43" w:type="dxa"/>
                  </w:tcMar>
                  <w:vAlign w:val="bottom"/>
                </w:tcPr>
                <w:p w14:paraId="12ED7D5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Dividend to holders of non-controlling interests</w:t>
                  </w: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BEDC75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C0668C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0CEE1E9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61761B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A0C766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B2848B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37A0D1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C53F96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0C93AF0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8AF35E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4B3B0E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C95E9B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E3468A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BA0821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7ABDD5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(31)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757076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0C4E2F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(31)</w:t>
                  </w:r>
                </w:p>
              </w:tc>
            </w:tr>
            <w:tr w:rsidR="00213131" w:rsidRPr="004D7A72" w14:paraId="51B9897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524D65A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4395" w:type="dxa"/>
                  <w:tcBorders>
                    <w:top w:val="nil"/>
                    <w:left w:val="nil"/>
                    <w:bottom w:val="nil"/>
                    <w:right w:val="nil"/>
                    <w:tl2br w:val="nil"/>
                    <w:tr2bl w:val="nil"/>
                  </w:tcBorders>
                  <w:shd w:val="clear" w:color="auto" w:fill="auto"/>
                  <w:noWrap/>
                  <w:tcMar>
                    <w:left w:w="0" w:type="dxa"/>
                    <w:right w:w="0" w:type="dxa"/>
                  </w:tcMar>
                  <w:vAlign w:val="bottom"/>
                </w:tcPr>
                <w:p w14:paraId="7E41DD7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FDAB6C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4A2331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D8E50B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7BC77F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454257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B2EFA8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44F2B1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C352E5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F3F3AF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7C5BF5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84958F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0E80EE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19136D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AF2D94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185A76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F74AA0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9ABDFE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r>
            <w:tr w:rsidR="00213131" w:rsidRPr="004D7A72" w14:paraId="43BEBF6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890" w:type="dxa"/>
                  <w:gridSpan w:val="2"/>
                  <w:tcBorders>
                    <w:top w:val="nil"/>
                    <w:left w:val="nil"/>
                    <w:bottom w:val="nil"/>
                    <w:right w:val="nil"/>
                    <w:tl2br w:val="nil"/>
                    <w:tr2bl w:val="nil"/>
                  </w:tcBorders>
                  <w:shd w:val="clear" w:color="auto" w:fill="auto"/>
                  <w:noWrap/>
                  <w:tcMar>
                    <w:left w:w="43" w:type="dxa"/>
                    <w:right w:w="43" w:type="dxa"/>
                  </w:tcMar>
                  <w:vAlign w:val="bottom"/>
                </w:tcPr>
                <w:p w14:paraId="55DA9CE0"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u w:val="single"/>
                    </w:rPr>
                  </w:pPr>
                  <w:r w:rsidRPr="004D7A72">
                    <w:rPr>
                      <w:rFonts w:asciiTheme="majorBidi" w:hAnsiTheme="majorBidi" w:cstheme="majorBidi"/>
                      <w:color w:val="000000"/>
                      <w:sz w:val="19"/>
                      <w:u w:val="single"/>
                    </w:rPr>
                    <w:t>Balance as at June 30, 2024</w:t>
                  </w: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3EC11BA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239</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14E030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78D6C99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4,782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30123A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3DC1067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2,682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121224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5F2CAF9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(4,071)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05A389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3039937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1,304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BDAB57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007148E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506FDF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4848E49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4,925</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F76324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6472F56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6,829</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93C573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0AE9BB2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11,754</w:t>
                  </w:r>
                </w:p>
              </w:tc>
            </w:tr>
            <w:tr w:rsidR="00213131" w:rsidRPr="004D7A72" w14:paraId="04DD63D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07C0ED1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395" w:type="dxa"/>
                  <w:tcBorders>
                    <w:top w:val="nil"/>
                    <w:left w:val="nil"/>
                    <w:bottom w:val="nil"/>
                    <w:right w:val="nil"/>
                    <w:tl2br w:val="nil"/>
                    <w:tr2bl w:val="nil"/>
                  </w:tcBorders>
                  <w:shd w:val="clear" w:color="auto" w:fill="auto"/>
                  <w:noWrap/>
                  <w:tcMar>
                    <w:left w:w="0" w:type="dxa"/>
                    <w:right w:w="0" w:type="dxa"/>
                  </w:tcMar>
                  <w:vAlign w:val="bottom"/>
                </w:tcPr>
                <w:p w14:paraId="0F555B9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8A6579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07BF3A3"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E3E604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A002FC7"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435BC2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C80C22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2A461E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74D975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6B3C12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905686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F84227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B2A4B2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090F10D"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37C652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642471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7AE0BB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B04DE9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r>
            <w:tr w:rsidR="00213131" w:rsidRPr="004D7A72" w14:paraId="28E0784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95" w:type="dxa"/>
                  <w:tcBorders>
                    <w:top w:val="nil"/>
                    <w:left w:val="nil"/>
                    <w:bottom w:val="nil"/>
                    <w:right w:val="nil"/>
                    <w:tl2br w:val="nil"/>
                    <w:tr2bl w:val="nil"/>
                  </w:tcBorders>
                  <w:shd w:val="clear" w:color="auto" w:fill="auto"/>
                  <w:noWrap/>
                  <w:tcMar>
                    <w:left w:w="43" w:type="dxa"/>
                    <w:right w:w="43" w:type="dxa"/>
                  </w:tcMar>
                  <w:vAlign w:val="bottom"/>
                </w:tcPr>
                <w:p w14:paraId="3C4CD08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w:t>
                  </w:r>
                </w:p>
              </w:tc>
              <w:tc>
                <w:tcPr>
                  <w:tcW w:w="8895" w:type="dxa"/>
                  <w:gridSpan w:val="9"/>
                  <w:tcBorders>
                    <w:top w:val="nil"/>
                    <w:left w:val="nil"/>
                    <w:bottom w:val="nil"/>
                    <w:right w:val="nil"/>
                    <w:tl2br w:val="nil"/>
                    <w:tr2bl w:val="nil"/>
                  </w:tcBorders>
                  <w:shd w:val="clear" w:color="auto" w:fill="auto"/>
                  <w:noWrap/>
                  <w:tcMar>
                    <w:left w:w="43" w:type="dxa"/>
                    <w:right w:w="43" w:type="dxa"/>
                  </w:tcMar>
                  <w:vAlign w:val="bottom"/>
                </w:tcPr>
                <w:p w14:paraId="69E9A50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Represents an amount of less than NIS 1 million</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436E299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43F147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302294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4F633E0"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2431033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7557C73"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7593F9F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8E9E07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4F55C7D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r>
            <w:tr w:rsidR="00213131" w:rsidRPr="004D7A72" w14:paraId="736C09C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4673B26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395" w:type="dxa"/>
                  <w:tcBorders>
                    <w:top w:val="nil"/>
                    <w:left w:val="nil"/>
                    <w:bottom w:val="nil"/>
                    <w:right w:val="nil"/>
                    <w:tl2br w:val="nil"/>
                    <w:tr2bl w:val="nil"/>
                  </w:tcBorders>
                  <w:shd w:val="clear" w:color="auto" w:fill="auto"/>
                  <w:noWrap/>
                  <w:tcMar>
                    <w:left w:w="0" w:type="dxa"/>
                    <w:right w:w="0" w:type="dxa"/>
                  </w:tcMar>
                  <w:vAlign w:val="bottom"/>
                </w:tcPr>
                <w:p w14:paraId="5F8F2AF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12707657"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F789FF3"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519D1DE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390B45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162E810"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A6D76B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1470409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169DEB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45918C0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BB61DA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149C1DC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42E54A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40722E7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76E1E2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568735C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C26DFF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1A6A19C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r>
            <w:tr w:rsidR="00213131" w:rsidRPr="004D7A72" w14:paraId="498E9A6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12750" w:type="dxa"/>
                  <w:gridSpan w:val="15"/>
                  <w:tcBorders>
                    <w:top w:val="nil"/>
                    <w:left w:val="nil"/>
                    <w:bottom w:val="nil"/>
                    <w:right w:val="nil"/>
                    <w:tl2br w:val="nil"/>
                    <w:tr2bl w:val="nil"/>
                  </w:tcBorders>
                  <w:shd w:val="clear" w:color="auto" w:fill="auto"/>
                  <w:noWrap/>
                  <w:tcMar>
                    <w:left w:w="43" w:type="dxa"/>
                    <w:right w:w="43" w:type="dxa"/>
                  </w:tcMar>
                  <w:vAlign w:val="bottom"/>
                </w:tcPr>
                <w:p w14:paraId="12C1499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The accompanying notes constitute an integral part of these consolidated interim financial statements.</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C30848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0C5875F3"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8B1B56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14883CB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r>
          </w:tbl>
          <w:p w14:paraId="7EC5BA9A" w14:textId="77777777" w:rsidR="00213131" w:rsidRPr="004D7A72" w:rsidRDefault="00213131" w:rsidP="00A65A6F">
            <w:pPr>
              <w:rPr>
                <w:rFonts w:asciiTheme="majorBidi" w:hAnsiTheme="majorBidi" w:cstheme="majorBidi"/>
              </w:rPr>
            </w:pPr>
          </w:p>
        </w:tc>
      </w:tr>
    </w:tbl>
    <w:p w14:paraId="1B329781" w14:textId="77777777" w:rsidR="00213131" w:rsidRPr="004D7A72" w:rsidRDefault="00213131" w:rsidP="00213131">
      <w:pPr>
        <w:rPr>
          <w:rFonts w:asciiTheme="majorBidi" w:hAnsiTheme="majorBidi" w:cstheme="majorBidi"/>
          <w:rtl/>
        </w:rPr>
      </w:pPr>
    </w:p>
    <w:tbl>
      <w:tblPr>
        <w:tblStyle w:val="TableGrid"/>
        <w:tblW w:w="0" w:type="auto"/>
        <w:tblCellMar>
          <w:left w:w="0" w:type="dxa"/>
          <w:right w:w="0" w:type="dxa"/>
        </w:tblCellMar>
        <w:tblLook w:val="04A0" w:firstRow="1" w:lastRow="0" w:firstColumn="1" w:lastColumn="0" w:noHBand="0" w:noVBand="1"/>
      </w:tblPr>
      <w:tblGrid>
        <w:gridCol w:w="14854"/>
      </w:tblGrid>
      <w:tr w:rsidR="00213131" w:rsidRPr="004D7A72" w14:paraId="5D3AA4B2" w14:textId="77777777" w:rsidTr="00A65A6F">
        <w:trPr>
          <w:cantSplit/>
        </w:trPr>
        <w:tc>
          <w:tcPr>
            <w:tcW w:w="14854" w:type="dxa"/>
            <w:tcBorders>
              <w:top w:val="nil"/>
              <w:left w:val="nil"/>
              <w:bottom w:val="nil"/>
              <w:right w:val="nil"/>
            </w:tcBorders>
          </w:tcPr>
          <w:tbl>
            <w:tblPr>
              <w:tblStyle w:val="CDMRange2"/>
              <w:tblW w:w="14865" w:type="dxa"/>
              <w:tblLook w:val="0600" w:firstRow="0" w:lastRow="0" w:firstColumn="0" w:lastColumn="0" w:noHBand="1" w:noVBand="1"/>
            </w:tblPr>
            <w:tblGrid>
              <w:gridCol w:w="502"/>
              <w:gridCol w:w="4176"/>
              <w:gridCol w:w="1104"/>
              <w:gridCol w:w="30"/>
              <w:gridCol w:w="1104"/>
              <w:gridCol w:w="30"/>
              <w:gridCol w:w="1104"/>
              <w:gridCol w:w="30"/>
              <w:gridCol w:w="1104"/>
              <w:gridCol w:w="30"/>
              <w:gridCol w:w="1104"/>
              <w:gridCol w:w="30"/>
              <w:gridCol w:w="1104"/>
              <w:gridCol w:w="30"/>
              <w:gridCol w:w="1104"/>
              <w:gridCol w:w="30"/>
              <w:gridCol w:w="1104"/>
              <w:gridCol w:w="30"/>
              <w:gridCol w:w="1104"/>
            </w:tblGrid>
            <w:tr w:rsidR="00213131" w:rsidRPr="004D7A72" w14:paraId="3B092264" w14:textId="77777777" w:rsidTr="00A65A6F">
              <w:trPr>
                <w:cantSplit/>
                <w:trHeight w:hRule="exact" w:val="259"/>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7EEAE79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260" w:type="dxa"/>
                  <w:tcBorders>
                    <w:top w:val="nil"/>
                    <w:left w:val="nil"/>
                    <w:bottom w:val="nil"/>
                    <w:right w:val="nil"/>
                    <w:tl2br w:val="nil"/>
                    <w:tr2bl w:val="nil"/>
                  </w:tcBorders>
                  <w:shd w:val="clear" w:color="auto" w:fill="auto"/>
                  <w:noWrap/>
                  <w:tcMar>
                    <w:left w:w="0" w:type="dxa"/>
                    <w:right w:w="0" w:type="dxa"/>
                  </w:tcMar>
                  <w:vAlign w:val="bottom"/>
                </w:tcPr>
                <w:p w14:paraId="14C441E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7860" w:type="dxa"/>
                  <w:gridSpan w:val="13"/>
                  <w:tcBorders>
                    <w:top w:val="nil"/>
                    <w:left w:val="nil"/>
                    <w:bottom w:val="single" w:sz="4" w:space="0" w:color="000000"/>
                    <w:right w:val="nil"/>
                    <w:tl2br w:val="nil"/>
                    <w:tr2bl w:val="nil"/>
                  </w:tcBorders>
                  <w:shd w:val="clear" w:color="auto" w:fill="auto"/>
                  <w:noWrap/>
                  <w:tcMar>
                    <w:left w:w="40" w:type="dxa"/>
                    <w:right w:w="40" w:type="dxa"/>
                  </w:tcMar>
                  <w:vAlign w:val="bottom"/>
                </w:tcPr>
                <w:p w14:paraId="48215366"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Equity attributable to equity holders of the Company</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1893C08" w14:textId="77777777" w:rsidR="00213131" w:rsidRPr="004D7A72" w:rsidRDefault="00213131" w:rsidP="00A65A6F">
                  <w:pPr>
                    <w:keepNext/>
                    <w:spacing w:before="0" w:after="0"/>
                    <w:jc w:val="left"/>
                    <w:rPr>
                      <w:rFonts w:asciiTheme="majorBidi" w:eastAsia="Ploni ML Medium AAA Medium" w:hAnsiTheme="majorBidi" w:cstheme="majorBidi"/>
                      <w:b/>
                      <w:color w:val="000000"/>
                      <w:sz w:val="18"/>
                      <w:szCs w:val="18"/>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48D0DFCA" w14:textId="77777777" w:rsidR="00213131" w:rsidRPr="004D7A72" w:rsidRDefault="00213131" w:rsidP="00A65A6F">
                  <w:pPr>
                    <w:keepNext/>
                    <w:spacing w:before="0" w:after="0"/>
                    <w:jc w:val="left"/>
                    <w:rPr>
                      <w:rFonts w:asciiTheme="majorBidi" w:eastAsia="Ploni ML Medium AAA Medium" w:hAnsiTheme="majorBidi" w:cstheme="majorBidi"/>
                      <w:b/>
                      <w:color w:val="000000"/>
                      <w:sz w:val="18"/>
                      <w:szCs w:val="18"/>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0261CE8" w14:textId="77777777" w:rsidR="00213131" w:rsidRPr="004D7A72" w:rsidRDefault="00213131" w:rsidP="00A65A6F">
                  <w:pPr>
                    <w:keepNext/>
                    <w:spacing w:before="0" w:after="0"/>
                    <w:jc w:val="left"/>
                    <w:rPr>
                      <w:rFonts w:asciiTheme="majorBidi" w:eastAsia="Ploni ML Medium AAA Medium" w:hAnsiTheme="majorBidi" w:cstheme="majorBidi"/>
                      <w:b/>
                      <w:color w:val="000000"/>
                      <w:sz w:val="18"/>
                      <w:szCs w:val="18"/>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212F9F90"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r>
            <w:tr w:rsidR="00213131" w:rsidRPr="004D7A72" w14:paraId="073069E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6879305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260" w:type="dxa"/>
                  <w:tcBorders>
                    <w:top w:val="nil"/>
                    <w:left w:val="nil"/>
                    <w:bottom w:val="nil"/>
                    <w:right w:val="nil"/>
                    <w:tl2br w:val="nil"/>
                    <w:tr2bl w:val="nil"/>
                  </w:tcBorders>
                  <w:shd w:val="clear" w:color="auto" w:fill="auto"/>
                  <w:noWrap/>
                  <w:tcMar>
                    <w:left w:w="0" w:type="dxa"/>
                    <w:right w:w="0" w:type="dxa"/>
                  </w:tcMar>
                  <w:vAlign w:val="bottom"/>
                </w:tcPr>
                <w:p w14:paraId="0C3F730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92CF16A"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9"/>
                    </w:rPr>
                  </w:pPr>
                  <w:r w:rsidRPr="004D7A72">
                    <w:rPr>
                      <w:rFonts w:asciiTheme="majorBidi" w:hAnsiTheme="majorBidi" w:cstheme="majorBidi"/>
                      <w:b/>
                      <w:color w:val="000000"/>
                      <w:sz w:val="19"/>
                    </w:rPr>
                    <w:t>Share capital</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4C3664D8"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DC79DB1"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9"/>
                    </w:rPr>
                  </w:pPr>
                  <w:r w:rsidRPr="004D7A72">
                    <w:rPr>
                      <w:rFonts w:asciiTheme="majorBidi" w:hAnsiTheme="majorBidi" w:cstheme="majorBidi"/>
                      <w:b/>
                      <w:color w:val="000000"/>
                      <w:sz w:val="19"/>
                    </w:rPr>
                    <w:t>Share premium</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4DF9665E"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3D90088"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Retained earnings</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66F6602F"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4D4D1CE"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Adjustments due to translation of financial statements of foreign operations</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43818070"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A290FCB"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Other reserves</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744FC70B"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393EB35"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Treasury shares</w:t>
                  </w:r>
                </w:p>
              </w:tc>
              <w:tc>
                <w:tcPr>
                  <w:tcW w:w="15" w:type="dxa"/>
                  <w:tcBorders>
                    <w:top w:val="single" w:sz="4" w:space="0" w:color="000000"/>
                    <w:left w:val="nil"/>
                    <w:bottom w:val="nil"/>
                    <w:right w:val="nil"/>
                    <w:tl2br w:val="nil"/>
                    <w:tr2bl w:val="nil"/>
                  </w:tcBorders>
                  <w:shd w:val="clear" w:color="auto" w:fill="auto"/>
                  <w:tcMar>
                    <w:left w:w="0" w:type="dxa"/>
                    <w:right w:w="0" w:type="dxa"/>
                  </w:tcMar>
                  <w:vAlign w:val="bottom"/>
                </w:tcPr>
                <w:p w14:paraId="4CB30D9F"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C1E5D8A"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Total</w:t>
                  </w:r>
                </w:p>
              </w:tc>
              <w:tc>
                <w:tcPr>
                  <w:tcW w:w="15" w:type="dxa"/>
                  <w:tcBorders>
                    <w:top w:val="nil"/>
                    <w:left w:val="nil"/>
                    <w:bottom w:val="nil"/>
                    <w:right w:val="nil"/>
                    <w:tl2br w:val="nil"/>
                    <w:tr2bl w:val="nil"/>
                  </w:tcBorders>
                  <w:shd w:val="clear" w:color="auto" w:fill="auto"/>
                  <w:tcMar>
                    <w:left w:w="0" w:type="dxa"/>
                    <w:right w:w="0" w:type="dxa"/>
                  </w:tcMar>
                  <w:vAlign w:val="bottom"/>
                </w:tcPr>
                <w:p w14:paraId="03F72345"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nil"/>
                    <w:left w:val="nil"/>
                    <w:bottom w:val="single" w:sz="4" w:space="0" w:color="000000"/>
                    <w:right w:val="nil"/>
                    <w:tl2br w:val="nil"/>
                    <w:tr2bl w:val="nil"/>
                  </w:tcBorders>
                  <w:shd w:val="clear" w:color="auto" w:fill="auto"/>
                  <w:tcMar>
                    <w:left w:w="40" w:type="dxa"/>
                    <w:right w:w="40" w:type="dxa"/>
                  </w:tcMar>
                  <w:vAlign w:val="bottom"/>
                </w:tcPr>
                <w:p w14:paraId="3B10C105"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Non-controlling interests</w:t>
                  </w:r>
                </w:p>
              </w:tc>
              <w:tc>
                <w:tcPr>
                  <w:tcW w:w="15" w:type="dxa"/>
                  <w:tcBorders>
                    <w:top w:val="nil"/>
                    <w:left w:val="nil"/>
                    <w:bottom w:val="nil"/>
                    <w:right w:val="nil"/>
                    <w:tl2br w:val="nil"/>
                    <w:tr2bl w:val="nil"/>
                  </w:tcBorders>
                  <w:shd w:val="clear" w:color="auto" w:fill="auto"/>
                  <w:tcMar>
                    <w:left w:w="0" w:type="dxa"/>
                    <w:right w:w="0" w:type="dxa"/>
                  </w:tcMar>
                  <w:vAlign w:val="bottom"/>
                </w:tcPr>
                <w:p w14:paraId="0CC9A414"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110" w:type="dxa"/>
                  <w:tcBorders>
                    <w:top w:val="nil"/>
                    <w:left w:val="nil"/>
                    <w:bottom w:val="single" w:sz="4" w:space="0" w:color="000000"/>
                    <w:right w:val="nil"/>
                    <w:tl2br w:val="nil"/>
                    <w:tr2bl w:val="nil"/>
                  </w:tcBorders>
                  <w:shd w:val="clear" w:color="auto" w:fill="auto"/>
                  <w:tcMar>
                    <w:left w:w="40" w:type="dxa"/>
                    <w:right w:w="40" w:type="dxa"/>
                  </w:tcMar>
                  <w:vAlign w:val="bottom"/>
                </w:tcPr>
                <w:p w14:paraId="2EA83CC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Total equity</w:t>
                  </w:r>
                </w:p>
              </w:tc>
            </w:tr>
            <w:tr w:rsidR="00213131" w:rsidRPr="004D7A72" w14:paraId="591C385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675B5A9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260" w:type="dxa"/>
                  <w:tcBorders>
                    <w:top w:val="nil"/>
                    <w:left w:val="nil"/>
                    <w:bottom w:val="nil"/>
                    <w:right w:val="nil"/>
                    <w:tl2br w:val="nil"/>
                    <w:tr2bl w:val="nil"/>
                  </w:tcBorders>
                  <w:shd w:val="clear" w:color="auto" w:fill="auto"/>
                  <w:noWrap/>
                  <w:tcMar>
                    <w:left w:w="0" w:type="dxa"/>
                    <w:right w:w="0" w:type="dxa"/>
                  </w:tcMar>
                  <w:vAlign w:val="bottom"/>
                </w:tcPr>
                <w:p w14:paraId="36AF625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110" w:type="dxa"/>
                  <w:gridSpan w:val="17"/>
                  <w:tcBorders>
                    <w:top w:val="nil"/>
                    <w:left w:val="nil"/>
                    <w:bottom w:val="single" w:sz="4" w:space="0" w:color="000000"/>
                    <w:right w:val="nil"/>
                    <w:tl2br w:val="nil"/>
                    <w:tr2bl w:val="nil"/>
                  </w:tcBorders>
                  <w:shd w:val="clear" w:color="auto" w:fill="auto"/>
                  <w:tcMar>
                    <w:left w:w="40" w:type="dxa"/>
                    <w:right w:w="40" w:type="dxa"/>
                  </w:tcMar>
                  <w:vAlign w:val="bottom"/>
                </w:tcPr>
                <w:p w14:paraId="015C9DBE"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Unaudited</w:t>
                  </w:r>
                </w:p>
              </w:tc>
            </w:tr>
            <w:tr w:rsidR="00213131" w:rsidRPr="004D7A72" w14:paraId="0DD7BD7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2AAA7C43"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260" w:type="dxa"/>
                  <w:tcBorders>
                    <w:top w:val="nil"/>
                    <w:left w:val="nil"/>
                    <w:bottom w:val="nil"/>
                    <w:right w:val="nil"/>
                    <w:tl2br w:val="nil"/>
                    <w:tr2bl w:val="nil"/>
                  </w:tcBorders>
                  <w:shd w:val="clear" w:color="auto" w:fill="auto"/>
                  <w:noWrap/>
                  <w:tcMar>
                    <w:left w:w="0" w:type="dxa"/>
                    <w:right w:w="0" w:type="dxa"/>
                  </w:tcMar>
                  <w:vAlign w:val="bottom"/>
                </w:tcPr>
                <w:p w14:paraId="696DD1A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110" w:type="dxa"/>
                  <w:gridSpan w:val="17"/>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511FB05"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NIS million</w:t>
                  </w:r>
                </w:p>
              </w:tc>
            </w:tr>
            <w:tr w:rsidR="00213131" w:rsidRPr="004D7A72" w14:paraId="1776D59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755" w:type="dxa"/>
                  <w:gridSpan w:val="2"/>
                  <w:tcBorders>
                    <w:top w:val="nil"/>
                    <w:left w:val="nil"/>
                    <w:bottom w:val="nil"/>
                    <w:right w:val="nil"/>
                    <w:tl2br w:val="nil"/>
                    <w:tr2bl w:val="nil"/>
                  </w:tcBorders>
                  <w:shd w:val="clear" w:color="auto" w:fill="auto"/>
                  <w:noWrap/>
                  <w:tcMar>
                    <w:left w:w="40" w:type="dxa"/>
                    <w:right w:w="40" w:type="dxa"/>
                  </w:tcMar>
                  <w:vAlign w:val="bottom"/>
                </w:tcPr>
                <w:p w14:paraId="288D59F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u w:val="single"/>
                    </w:rPr>
                  </w:pPr>
                  <w:r w:rsidRPr="004D7A72">
                    <w:rPr>
                      <w:rFonts w:asciiTheme="majorBidi" w:hAnsiTheme="majorBidi" w:cstheme="majorBidi"/>
                      <w:color w:val="000000"/>
                      <w:sz w:val="19"/>
                      <w:u w:val="single"/>
                    </w:rPr>
                    <w:t>Balance as at April 1, 2023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51C17F1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231</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34B8A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0C9D5DE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4,669</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27277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552249A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3,131</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F6FD5A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063F63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(4,314)</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E90BD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87941D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1,350</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DF375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045B99F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2F698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3AF0727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5,066</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63A32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A7624C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7,100</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6D761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F58A9C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12,166</w:t>
                  </w:r>
                </w:p>
              </w:tc>
            </w:tr>
            <w:tr w:rsidR="00213131" w:rsidRPr="004D7A72" w14:paraId="1989B5A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755" w:type="dxa"/>
                  <w:gridSpan w:val="2"/>
                  <w:tcBorders>
                    <w:top w:val="nil"/>
                    <w:left w:val="nil"/>
                    <w:bottom w:val="nil"/>
                    <w:right w:val="nil"/>
                    <w:tl2br w:val="nil"/>
                    <w:tr2bl w:val="nil"/>
                  </w:tcBorders>
                  <w:shd w:val="clear" w:color="auto" w:fill="auto"/>
                  <w:noWrap/>
                  <w:tcMar>
                    <w:left w:w="40" w:type="dxa"/>
                    <w:right w:w="40" w:type="dxa"/>
                  </w:tcMar>
                  <w:vAlign w:val="bottom"/>
                </w:tcPr>
                <w:p w14:paraId="44ED03E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Net profit</w:t>
                  </w:r>
                </w:p>
              </w:tc>
              <w:tc>
                <w:tcPr>
                  <w:tcW w:w="111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53BCA7E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78194E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113AD2F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8BC0E2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0178698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3762F9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680BDCB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A1F344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0A26441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90E0EB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2B56D0A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C8F789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67126EE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936892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4C37D40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101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4CE52A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4A46CF4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98</w:t>
                  </w:r>
                </w:p>
              </w:tc>
            </w:tr>
            <w:tr w:rsidR="00213131" w:rsidRPr="004D7A72" w14:paraId="4571E5B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755" w:type="dxa"/>
                  <w:gridSpan w:val="2"/>
                  <w:tcBorders>
                    <w:top w:val="nil"/>
                    <w:left w:val="nil"/>
                    <w:bottom w:val="nil"/>
                    <w:right w:val="nil"/>
                    <w:tl2br w:val="nil"/>
                    <w:tr2bl w:val="nil"/>
                  </w:tcBorders>
                  <w:shd w:val="clear" w:color="auto" w:fill="auto"/>
                  <w:noWrap/>
                  <w:tcMar>
                    <w:left w:w="40" w:type="dxa"/>
                    <w:right w:w="40" w:type="dxa"/>
                  </w:tcMar>
                  <w:vAlign w:val="bottom"/>
                </w:tcPr>
                <w:p w14:paraId="530979C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Other comprehensive income</w:t>
                  </w: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D91285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4C5B77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01D62D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264EA6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48162A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2B1CC4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9F76B9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330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3E7032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070C8B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(16)</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1D0A3E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C2D31E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CDF77E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407B9C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314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76FC1F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57202E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85</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1E6BC8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BDB41A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399</w:t>
                  </w:r>
                </w:p>
              </w:tc>
            </w:tr>
            <w:tr w:rsidR="00213131" w:rsidRPr="004D7A72" w14:paraId="63D707C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3D85FBE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4260" w:type="dxa"/>
                  <w:tcBorders>
                    <w:top w:val="nil"/>
                    <w:left w:val="nil"/>
                    <w:bottom w:val="nil"/>
                    <w:right w:val="nil"/>
                    <w:tl2br w:val="nil"/>
                    <w:tr2bl w:val="nil"/>
                  </w:tcBorders>
                  <w:shd w:val="clear" w:color="auto" w:fill="auto"/>
                  <w:noWrap/>
                  <w:tcMar>
                    <w:left w:w="0" w:type="dxa"/>
                    <w:right w:w="0" w:type="dxa"/>
                  </w:tcMar>
                  <w:vAlign w:val="bottom"/>
                </w:tcPr>
                <w:p w14:paraId="581E0B7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3AA845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FA3A24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3941DE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44C310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A0110D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5F0C0C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02091F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C8CC4B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F63705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4DA1EA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ED71DD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DA1E41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6B8AF7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62FF8A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9627CF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2605A2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56F8F3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r>
            <w:tr w:rsidR="00213131" w:rsidRPr="004D7A72" w14:paraId="3D9B5A9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755" w:type="dxa"/>
                  <w:gridSpan w:val="2"/>
                  <w:tcBorders>
                    <w:top w:val="nil"/>
                    <w:left w:val="nil"/>
                    <w:bottom w:val="nil"/>
                    <w:right w:val="nil"/>
                    <w:tl2br w:val="nil"/>
                    <w:tr2bl w:val="nil"/>
                  </w:tcBorders>
                  <w:shd w:val="clear" w:color="auto" w:fill="auto"/>
                  <w:noWrap/>
                  <w:tcMar>
                    <w:left w:w="40" w:type="dxa"/>
                    <w:right w:w="40" w:type="dxa"/>
                  </w:tcMar>
                  <w:vAlign w:val="bottom"/>
                </w:tcPr>
                <w:p w14:paraId="4B524E5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Total comprehensive income</w:t>
                  </w: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2F94FCE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1B82AA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1149FE2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EA6CBD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3FE7137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EE332B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0D1E93C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330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918946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6F0151E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(16)</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0B131F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48D6993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BBF92B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2F6C4CE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311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8CDF17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3FB6002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186</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430DDC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21B87CE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497</w:t>
                  </w:r>
                </w:p>
              </w:tc>
            </w:tr>
            <w:tr w:rsidR="00213131" w:rsidRPr="004D7A72" w14:paraId="3425E29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0BEF3C0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4260" w:type="dxa"/>
                  <w:tcBorders>
                    <w:top w:val="nil"/>
                    <w:left w:val="nil"/>
                    <w:bottom w:val="nil"/>
                    <w:right w:val="nil"/>
                    <w:tl2br w:val="nil"/>
                    <w:tr2bl w:val="nil"/>
                  </w:tcBorders>
                  <w:shd w:val="clear" w:color="auto" w:fill="auto"/>
                  <w:noWrap/>
                  <w:tcMar>
                    <w:left w:w="0" w:type="dxa"/>
                    <w:right w:w="0" w:type="dxa"/>
                  </w:tcMar>
                  <w:vAlign w:val="bottom"/>
                </w:tcPr>
                <w:p w14:paraId="73DFBFD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69CEDA3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F9664C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07A5A06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807756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512F85B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728EDF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683E9AB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4C3155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0B1735F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47D88B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2EF29B5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C3F122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0AA94EE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C456FE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2EE2C54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CB76F9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135" w:type="dxa"/>
                  </w:tcMar>
                  <w:vAlign w:val="bottom"/>
                </w:tcPr>
                <w:p w14:paraId="3440C72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r>
            <w:tr w:rsidR="00213131" w:rsidRPr="004D7A72" w14:paraId="1246FF9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755" w:type="dxa"/>
                  <w:gridSpan w:val="2"/>
                  <w:tcBorders>
                    <w:top w:val="nil"/>
                    <w:left w:val="nil"/>
                    <w:bottom w:val="nil"/>
                    <w:right w:val="nil"/>
                    <w:tl2br w:val="nil"/>
                    <w:tr2bl w:val="nil"/>
                  </w:tcBorders>
                  <w:shd w:val="clear" w:color="auto" w:fill="auto"/>
                  <w:noWrap/>
                  <w:tcMar>
                    <w:left w:w="40" w:type="dxa"/>
                    <w:right w:w="40" w:type="dxa"/>
                  </w:tcMar>
                  <w:vAlign w:val="bottom"/>
                </w:tcPr>
                <w:p w14:paraId="2C727B2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Exercise and forfeiture of options for Company shares</w:t>
                  </w: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3EEB0E7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A95A9E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3AA45DE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EB4713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7B6736B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1AA38F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3A57F73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BB45F4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31B9417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B11AEC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6069D5E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73F530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336062F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3C2A05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2C8ECD7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D6CA16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4B79949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r>
            <w:tr w:rsidR="00213131" w:rsidRPr="004D7A72" w14:paraId="2C32451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755" w:type="dxa"/>
                  <w:gridSpan w:val="2"/>
                  <w:tcBorders>
                    <w:top w:val="nil"/>
                    <w:left w:val="nil"/>
                    <w:bottom w:val="nil"/>
                    <w:right w:val="nil"/>
                    <w:tl2br w:val="nil"/>
                    <w:tr2bl w:val="nil"/>
                  </w:tcBorders>
                  <w:shd w:val="clear" w:color="auto" w:fill="auto"/>
                  <w:noWrap/>
                  <w:tcMar>
                    <w:left w:w="40" w:type="dxa"/>
                    <w:right w:w="40" w:type="dxa"/>
                  </w:tcMar>
                  <w:vAlign w:val="bottom"/>
                </w:tcPr>
                <w:p w14:paraId="48C6F773"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Cost of share-based payment</w:t>
                  </w: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140FE33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08BEEF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535C93D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19F70F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7CBDD53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9A8F01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010EEE2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4D2510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037BB97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C85C3A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72AEFA0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DBB9EF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61CD2B5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7046D6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1FE5656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E70E71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0C5ECED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w:t>
                  </w:r>
                </w:p>
              </w:tc>
            </w:tr>
            <w:tr w:rsidR="00213131" w:rsidRPr="004D7A72" w14:paraId="7F4166B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755" w:type="dxa"/>
                  <w:gridSpan w:val="2"/>
                  <w:tcBorders>
                    <w:top w:val="nil"/>
                    <w:left w:val="nil"/>
                    <w:bottom w:val="nil"/>
                    <w:right w:val="nil"/>
                    <w:tl2br w:val="nil"/>
                    <w:tr2bl w:val="nil"/>
                  </w:tcBorders>
                  <w:shd w:val="clear" w:color="auto" w:fill="auto"/>
                  <w:tcMar>
                    <w:left w:w="40" w:type="dxa"/>
                    <w:right w:w="40" w:type="dxa"/>
                  </w:tcMar>
                  <w:vAlign w:val="bottom"/>
                </w:tcPr>
                <w:p w14:paraId="18B379FB" w14:textId="4E46A7AB" w:rsidR="00213131" w:rsidRPr="004D7A72" w:rsidRDefault="00213131" w:rsidP="004D7A72">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Buyback of hybrid debentures from non-controlling interests</w:t>
                  </w: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385B3F5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F9AC0E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0EE844C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FA24ED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10B881A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1539A6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4F56F8A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68DB79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15CA14E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19</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4906FA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3417568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E5FF14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41B8286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19</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0F1E72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6B3EB6A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(31)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FF2614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708A288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(12)</w:t>
                  </w:r>
                </w:p>
              </w:tc>
            </w:tr>
            <w:tr w:rsidR="00213131" w:rsidRPr="004D7A72" w14:paraId="4B078B7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755" w:type="dxa"/>
                  <w:gridSpan w:val="2"/>
                  <w:tcBorders>
                    <w:top w:val="nil"/>
                    <w:left w:val="nil"/>
                    <w:bottom w:val="nil"/>
                    <w:right w:val="nil"/>
                    <w:tl2br w:val="nil"/>
                    <w:tr2bl w:val="nil"/>
                  </w:tcBorders>
                  <w:shd w:val="clear" w:color="auto" w:fill="auto"/>
                  <w:tcMar>
                    <w:left w:w="40" w:type="dxa"/>
                    <w:right w:w="40" w:type="dxa"/>
                  </w:tcMar>
                  <w:vAlign w:val="bottom"/>
                </w:tcPr>
                <w:p w14:paraId="0B0E194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Classification of capital reserve of exercised financial assets to surplus</w:t>
                  </w: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36EC857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AC8394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5E4A7B5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A69851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6D23220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(7)</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7DCAD7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67F6DF0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4D7100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498F638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7</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CEA946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6E4C032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521601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1C70D88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02FA27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2E78668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C0224D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40" w:type="dxa"/>
                    <w:right w:w="175" w:type="dxa"/>
                  </w:tcMar>
                  <w:vAlign w:val="bottom"/>
                </w:tcPr>
                <w:p w14:paraId="594BC66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r>
            <w:tr w:rsidR="00213131" w:rsidRPr="004D7A72" w14:paraId="27471AD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755" w:type="dxa"/>
                  <w:gridSpan w:val="2"/>
                  <w:tcBorders>
                    <w:top w:val="nil"/>
                    <w:left w:val="nil"/>
                    <w:bottom w:val="nil"/>
                    <w:right w:val="nil"/>
                    <w:tl2br w:val="nil"/>
                    <w:tr2bl w:val="nil"/>
                  </w:tcBorders>
                  <w:shd w:val="clear" w:color="auto" w:fill="auto"/>
                  <w:noWrap/>
                  <w:tcMar>
                    <w:left w:w="40" w:type="dxa"/>
                    <w:right w:w="40" w:type="dxa"/>
                  </w:tcMar>
                  <w:vAlign w:val="bottom"/>
                </w:tcPr>
                <w:p w14:paraId="7B7E9F4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Dividend to holders of non-controlling interests</w:t>
                  </w: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3B196C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EF303E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BE8743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FBEC1D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41F0B8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60928C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86D6C9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8EC066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1BF12B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A3E844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B6634D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B0534A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1C0E44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00123F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6CDCE3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(40)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06C0A4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BD28BB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(40)</w:t>
                  </w:r>
                </w:p>
              </w:tc>
            </w:tr>
            <w:tr w:rsidR="00213131" w:rsidRPr="004D7A72" w14:paraId="32D0E73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6DDC78E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4260" w:type="dxa"/>
                  <w:tcBorders>
                    <w:top w:val="nil"/>
                    <w:left w:val="nil"/>
                    <w:bottom w:val="nil"/>
                    <w:right w:val="nil"/>
                    <w:tl2br w:val="nil"/>
                    <w:tr2bl w:val="nil"/>
                  </w:tcBorders>
                  <w:shd w:val="clear" w:color="auto" w:fill="auto"/>
                  <w:noWrap/>
                  <w:tcMar>
                    <w:left w:w="0" w:type="dxa"/>
                    <w:right w:w="0" w:type="dxa"/>
                  </w:tcMar>
                  <w:vAlign w:val="bottom"/>
                </w:tcPr>
                <w:p w14:paraId="3E16F98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26E9DB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8A50C6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ED9E1F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7BDFDE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EC2132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664CA3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3AE185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8E8873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B98190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50414E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8A2BE2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665CF0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AC36EB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67A7CF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41871C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8D1068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5F3535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r>
            <w:tr w:rsidR="00213131" w:rsidRPr="004D7A72" w14:paraId="1F2E89E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755" w:type="dxa"/>
                  <w:gridSpan w:val="2"/>
                  <w:tcBorders>
                    <w:top w:val="nil"/>
                    <w:left w:val="nil"/>
                    <w:bottom w:val="nil"/>
                    <w:right w:val="nil"/>
                    <w:tl2br w:val="nil"/>
                    <w:tr2bl w:val="nil"/>
                  </w:tcBorders>
                  <w:shd w:val="clear" w:color="auto" w:fill="auto"/>
                  <w:noWrap/>
                  <w:tcMar>
                    <w:left w:w="40" w:type="dxa"/>
                    <w:right w:w="40" w:type="dxa"/>
                  </w:tcMar>
                  <w:vAlign w:val="bottom"/>
                </w:tcPr>
                <w:p w14:paraId="134385D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u w:val="single"/>
                    </w:rPr>
                  </w:pPr>
                  <w:r w:rsidRPr="004D7A72">
                    <w:rPr>
                      <w:rFonts w:asciiTheme="majorBidi" w:hAnsiTheme="majorBidi" w:cstheme="majorBidi"/>
                      <w:color w:val="000000"/>
                      <w:sz w:val="19"/>
                      <w:u w:val="single"/>
                    </w:rPr>
                    <w:t>Balance as at June 30, 2023</w:t>
                  </w:r>
                </w:p>
              </w:tc>
              <w:tc>
                <w:tcPr>
                  <w:tcW w:w="111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07381C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231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A46408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4264C5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4,671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C4B828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7DAE4C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3,121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387BCE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7966A12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(3,984)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140B6E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AB560B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1,358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B4BE0C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8FB617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ED752D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35930EC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5,396</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5AAB2F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0A1BE2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7,218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80885A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39FC4D4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12,614</w:t>
                  </w:r>
                </w:p>
              </w:tc>
            </w:tr>
            <w:tr w:rsidR="00213131" w:rsidRPr="004D7A72" w14:paraId="7B5B693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576DDB6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260" w:type="dxa"/>
                  <w:tcBorders>
                    <w:top w:val="nil"/>
                    <w:left w:val="nil"/>
                    <w:bottom w:val="nil"/>
                    <w:right w:val="nil"/>
                    <w:tl2br w:val="nil"/>
                    <w:tr2bl w:val="nil"/>
                  </w:tcBorders>
                  <w:shd w:val="clear" w:color="auto" w:fill="auto"/>
                  <w:noWrap/>
                  <w:tcMar>
                    <w:left w:w="0" w:type="dxa"/>
                    <w:right w:w="0" w:type="dxa"/>
                  </w:tcMar>
                  <w:vAlign w:val="bottom"/>
                </w:tcPr>
                <w:p w14:paraId="2C85FE5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B7C25B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4C038A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D49F73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99EF58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23E9E40"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749E56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8F2667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65229C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91A118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820795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0DC932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9069CC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DBA6FE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4643F20"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4D65D4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EC6596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A604C4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r>
            <w:tr w:rsidR="00213131" w:rsidRPr="004D7A72" w14:paraId="1B1C2A8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95" w:type="dxa"/>
                  <w:tcBorders>
                    <w:top w:val="nil"/>
                    <w:left w:val="nil"/>
                    <w:bottom w:val="nil"/>
                    <w:right w:val="nil"/>
                    <w:tl2br w:val="nil"/>
                    <w:tr2bl w:val="nil"/>
                  </w:tcBorders>
                  <w:shd w:val="clear" w:color="auto" w:fill="auto"/>
                  <w:noWrap/>
                  <w:tcMar>
                    <w:left w:w="40" w:type="dxa"/>
                    <w:right w:w="40" w:type="dxa"/>
                  </w:tcMar>
                  <w:vAlign w:val="bottom"/>
                </w:tcPr>
                <w:p w14:paraId="7CDFE42D"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w:t>
                  </w:r>
                </w:p>
              </w:tc>
              <w:tc>
                <w:tcPr>
                  <w:tcW w:w="9870" w:type="dxa"/>
                  <w:gridSpan w:val="10"/>
                  <w:tcBorders>
                    <w:top w:val="nil"/>
                    <w:left w:val="nil"/>
                    <w:bottom w:val="nil"/>
                    <w:right w:val="nil"/>
                    <w:tl2br w:val="nil"/>
                    <w:tr2bl w:val="nil"/>
                  </w:tcBorders>
                  <w:shd w:val="clear" w:color="auto" w:fill="auto"/>
                  <w:noWrap/>
                  <w:tcMar>
                    <w:left w:w="40" w:type="dxa"/>
                    <w:right w:w="40" w:type="dxa"/>
                  </w:tcMar>
                  <w:vAlign w:val="bottom"/>
                </w:tcPr>
                <w:p w14:paraId="34418EF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Represents an amount of less than NIS 1 million.</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216032D"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184BBB3"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C21A083"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41179D4D"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1FA796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4110238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32F09D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5E987DB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r>
            <w:tr w:rsidR="00213131" w:rsidRPr="004D7A72" w14:paraId="48BFA28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95" w:type="dxa"/>
                  <w:tcBorders>
                    <w:top w:val="nil"/>
                    <w:left w:val="nil"/>
                    <w:bottom w:val="nil"/>
                    <w:right w:val="nil"/>
                    <w:tl2br w:val="nil"/>
                    <w:tr2bl w:val="nil"/>
                  </w:tcBorders>
                  <w:shd w:val="clear" w:color="auto" w:fill="auto"/>
                  <w:noWrap/>
                  <w:tcMar>
                    <w:left w:w="0" w:type="dxa"/>
                    <w:right w:w="0" w:type="dxa"/>
                  </w:tcMar>
                  <w:vAlign w:val="bottom"/>
                </w:tcPr>
                <w:p w14:paraId="229759D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260" w:type="dxa"/>
                  <w:tcBorders>
                    <w:top w:val="nil"/>
                    <w:left w:val="nil"/>
                    <w:bottom w:val="nil"/>
                    <w:right w:val="nil"/>
                    <w:tl2br w:val="nil"/>
                    <w:tr2bl w:val="nil"/>
                  </w:tcBorders>
                  <w:shd w:val="clear" w:color="auto" w:fill="auto"/>
                  <w:noWrap/>
                  <w:tcMar>
                    <w:left w:w="0" w:type="dxa"/>
                    <w:right w:w="0" w:type="dxa"/>
                  </w:tcMar>
                  <w:vAlign w:val="bottom"/>
                </w:tcPr>
                <w:p w14:paraId="235EC28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0558C58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99F814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72F261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6D5C52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71FA5AB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C76F2A0"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6A46BD5D"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6DB7F70"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1DB4BFA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A2A67C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07DD0B67"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60B1F6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3C1442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85F944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25C8766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6725A7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C05E21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r>
            <w:tr w:rsidR="00213131" w:rsidRPr="004D7A72" w14:paraId="485F7FF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12615" w:type="dxa"/>
                  <w:gridSpan w:val="15"/>
                  <w:tcBorders>
                    <w:top w:val="nil"/>
                    <w:left w:val="nil"/>
                    <w:bottom w:val="nil"/>
                    <w:right w:val="nil"/>
                    <w:tl2br w:val="nil"/>
                    <w:tr2bl w:val="nil"/>
                  </w:tcBorders>
                  <w:shd w:val="clear" w:color="auto" w:fill="auto"/>
                  <w:noWrap/>
                  <w:tcMar>
                    <w:left w:w="40" w:type="dxa"/>
                    <w:right w:w="40" w:type="dxa"/>
                  </w:tcMar>
                  <w:vAlign w:val="bottom"/>
                </w:tcPr>
                <w:p w14:paraId="7ACA55B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The accompanying notes constitute an integral part of these consolidated interim financial statements.</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F47AE1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BEF7DF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DBFD74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73B380C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r>
          </w:tbl>
          <w:p w14:paraId="12BC4F4B" w14:textId="77777777" w:rsidR="00213131" w:rsidRPr="004D7A72" w:rsidRDefault="00213131" w:rsidP="00A65A6F">
            <w:pPr>
              <w:rPr>
                <w:rFonts w:asciiTheme="majorBidi" w:hAnsiTheme="majorBidi" w:cstheme="majorBidi"/>
              </w:rPr>
            </w:pPr>
          </w:p>
        </w:tc>
      </w:tr>
    </w:tbl>
    <w:p w14:paraId="2DCD2033" w14:textId="77777777" w:rsidR="00213131" w:rsidRPr="004D7A72" w:rsidRDefault="00213131" w:rsidP="00213131">
      <w:pPr>
        <w:rPr>
          <w:rFonts w:asciiTheme="majorBidi" w:hAnsiTheme="majorBidi" w:cstheme="majorBidi"/>
          <w:rtl/>
        </w:rPr>
      </w:pPr>
    </w:p>
    <w:tbl>
      <w:tblPr>
        <w:tblStyle w:val="TableGrid"/>
        <w:tblW w:w="0" w:type="auto"/>
        <w:tblCellMar>
          <w:left w:w="0" w:type="dxa"/>
          <w:right w:w="0" w:type="dxa"/>
        </w:tblCellMar>
        <w:tblLook w:val="04A0" w:firstRow="1" w:lastRow="0" w:firstColumn="1" w:lastColumn="0" w:noHBand="0" w:noVBand="1"/>
      </w:tblPr>
      <w:tblGrid>
        <w:gridCol w:w="14854"/>
      </w:tblGrid>
      <w:tr w:rsidR="00213131" w:rsidRPr="004D7A72" w14:paraId="4CEF53DE" w14:textId="77777777" w:rsidTr="00A65A6F">
        <w:trPr>
          <w:cantSplit/>
        </w:trPr>
        <w:tc>
          <w:tcPr>
            <w:tcW w:w="14854" w:type="dxa"/>
            <w:tcBorders>
              <w:top w:val="nil"/>
              <w:left w:val="nil"/>
              <w:bottom w:val="nil"/>
              <w:right w:val="nil"/>
            </w:tcBorders>
          </w:tcPr>
          <w:tbl>
            <w:tblPr>
              <w:tblStyle w:val="CDMRange1"/>
              <w:tblW w:w="14854" w:type="dxa"/>
              <w:tblLook w:val="0600" w:firstRow="0" w:lastRow="0" w:firstColumn="0" w:lastColumn="0" w:noHBand="1" w:noVBand="1"/>
            </w:tblPr>
            <w:tblGrid>
              <w:gridCol w:w="375"/>
              <w:gridCol w:w="4225"/>
              <w:gridCol w:w="1094"/>
              <w:gridCol w:w="45"/>
              <w:gridCol w:w="1094"/>
              <w:gridCol w:w="45"/>
              <w:gridCol w:w="1094"/>
              <w:gridCol w:w="45"/>
              <w:gridCol w:w="1142"/>
              <w:gridCol w:w="45"/>
              <w:gridCol w:w="1094"/>
              <w:gridCol w:w="45"/>
              <w:gridCol w:w="1094"/>
              <w:gridCol w:w="45"/>
              <w:gridCol w:w="1094"/>
              <w:gridCol w:w="45"/>
              <w:gridCol w:w="1094"/>
              <w:gridCol w:w="45"/>
              <w:gridCol w:w="1094"/>
            </w:tblGrid>
            <w:tr w:rsidR="00213131" w:rsidRPr="004D7A72" w14:paraId="5BD28030" w14:textId="77777777" w:rsidTr="00A65A6F">
              <w:trPr>
                <w:cantSplit/>
                <w:trHeight w:hRule="exact" w:val="259"/>
              </w:trPr>
              <w:tc>
                <w:tcPr>
                  <w:tcW w:w="366" w:type="dxa"/>
                  <w:tcBorders>
                    <w:top w:val="nil"/>
                    <w:left w:val="nil"/>
                    <w:bottom w:val="nil"/>
                    <w:right w:val="nil"/>
                    <w:tl2br w:val="nil"/>
                    <w:tr2bl w:val="nil"/>
                  </w:tcBorders>
                  <w:shd w:val="clear" w:color="auto" w:fill="auto"/>
                  <w:noWrap/>
                  <w:tcMar>
                    <w:left w:w="0" w:type="dxa"/>
                    <w:right w:w="0" w:type="dxa"/>
                  </w:tcMar>
                  <w:vAlign w:val="bottom"/>
                </w:tcPr>
                <w:p w14:paraId="31590EB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308" w:type="dxa"/>
                  <w:tcBorders>
                    <w:top w:val="nil"/>
                    <w:left w:val="nil"/>
                    <w:bottom w:val="nil"/>
                    <w:right w:val="nil"/>
                    <w:tl2br w:val="nil"/>
                    <w:tr2bl w:val="nil"/>
                  </w:tcBorders>
                  <w:shd w:val="clear" w:color="auto" w:fill="auto"/>
                  <w:noWrap/>
                  <w:tcMar>
                    <w:left w:w="0" w:type="dxa"/>
                    <w:right w:w="0" w:type="dxa"/>
                  </w:tcMar>
                  <w:vAlign w:val="bottom"/>
                </w:tcPr>
                <w:p w14:paraId="409608D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7922" w:type="dxa"/>
                  <w:gridSpan w:val="13"/>
                  <w:tcBorders>
                    <w:top w:val="nil"/>
                    <w:left w:val="nil"/>
                    <w:bottom w:val="single" w:sz="4" w:space="0" w:color="000000"/>
                    <w:right w:val="nil"/>
                    <w:tl2br w:val="nil"/>
                    <w:tr2bl w:val="nil"/>
                  </w:tcBorders>
                  <w:shd w:val="clear" w:color="auto" w:fill="auto"/>
                  <w:noWrap/>
                  <w:tcMar>
                    <w:left w:w="43" w:type="dxa"/>
                    <w:right w:w="43" w:type="dxa"/>
                  </w:tcMar>
                  <w:vAlign w:val="bottom"/>
                </w:tcPr>
                <w:p w14:paraId="56DE578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Equity attributable to equity holders of the Company</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AD0C90F" w14:textId="77777777" w:rsidR="00213131" w:rsidRPr="004D7A72" w:rsidRDefault="00213131" w:rsidP="00A65A6F">
                  <w:pPr>
                    <w:keepNext/>
                    <w:spacing w:before="0" w:after="0"/>
                    <w:jc w:val="left"/>
                    <w:rPr>
                      <w:rFonts w:asciiTheme="majorBidi" w:eastAsia="Ploni ML Medium AAA Medium" w:hAnsiTheme="majorBidi" w:cstheme="majorBidi"/>
                      <w:b/>
                      <w:color w:val="000000"/>
                      <w:sz w:val="18"/>
                      <w:szCs w:val="18"/>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26BE1752" w14:textId="77777777" w:rsidR="00213131" w:rsidRPr="004D7A72" w:rsidRDefault="00213131" w:rsidP="00A65A6F">
                  <w:pPr>
                    <w:keepNext/>
                    <w:spacing w:before="0" w:after="0"/>
                    <w:jc w:val="left"/>
                    <w:rPr>
                      <w:rFonts w:asciiTheme="majorBidi" w:eastAsia="Ploni ML Medium AAA Medium" w:hAnsiTheme="majorBidi" w:cstheme="majorBidi"/>
                      <w:b/>
                      <w:color w:val="000000"/>
                      <w:sz w:val="18"/>
                      <w:szCs w:val="18"/>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5917A94" w14:textId="77777777" w:rsidR="00213131" w:rsidRPr="004D7A72" w:rsidRDefault="00213131" w:rsidP="00A65A6F">
                  <w:pPr>
                    <w:keepNext/>
                    <w:spacing w:before="0" w:after="0"/>
                    <w:jc w:val="left"/>
                    <w:rPr>
                      <w:rFonts w:asciiTheme="majorBidi" w:eastAsia="Ploni ML Medium AAA Medium" w:hAnsiTheme="majorBidi" w:cstheme="majorBidi"/>
                      <w:b/>
                      <w:color w:val="000000"/>
                      <w:sz w:val="18"/>
                      <w:szCs w:val="18"/>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19187F25"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r>
            <w:tr w:rsidR="00213131" w:rsidRPr="004D7A72" w14:paraId="31CF459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366" w:type="dxa"/>
                  <w:tcBorders>
                    <w:top w:val="nil"/>
                    <w:left w:val="nil"/>
                    <w:bottom w:val="nil"/>
                    <w:right w:val="nil"/>
                    <w:tl2br w:val="nil"/>
                    <w:tr2bl w:val="nil"/>
                  </w:tcBorders>
                  <w:shd w:val="clear" w:color="auto" w:fill="auto"/>
                  <w:noWrap/>
                  <w:tcMar>
                    <w:left w:w="0" w:type="dxa"/>
                    <w:right w:w="0" w:type="dxa"/>
                  </w:tcMar>
                  <w:vAlign w:val="bottom"/>
                </w:tcPr>
                <w:p w14:paraId="358C91C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308" w:type="dxa"/>
                  <w:tcBorders>
                    <w:top w:val="nil"/>
                    <w:left w:val="nil"/>
                    <w:bottom w:val="nil"/>
                    <w:right w:val="nil"/>
                    <w:tl2br w:val="nil"/>
                    <w:tr2bl w:val="nil"/>
                  </w:tcBorders>
                  <w:shd w:val="clear" w:color="auto" w:fill="auto"/>
                  <w:noWrap/>
                  <w:tcMar>
                    <w:left w:w="0" w:type="dxa"/>
                    <w:right w:w="0" w:type="dxa"/>
                  </w:tcMar>
                  <w:vAlign w:val="bottom"/>
                </w:tcPr>
                <w:p w14:paraId="6CC2093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99"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6AE84F1B"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9"/>
                    </w:rPr>
                  </w:pPr>
                  <w:r w:rsidRPr="004D7A72">
                    <w:rPr>
                      <w:rFonts w:asciiTheme="majorBidi" w:hAnsiTheme="majorBidi" w:cstheme="majorBidi"/>
                      <w:b/>
                      <w:color w:val="000000"/>
                      <w:sz w:val="19"/>
                    </w:rPr>
                    <w:t>Share capital</w:t>
                  </w:r>
                </w:p>
              </w:tc>
              <w:tc>
                <w:tcPr>
                  <w:tcW w:w="30" w:type="dxa"/>
                  <w:tcBorders>
                    <w:top w:val="single" w:sz="4" w:space="0" w:color="000000"/>
                    <w:left w:val="nil"/>
                    <w:bottom w:val="nil"/>
                    <w:right w:val="nil"/>
                    <w:tl2br w:val="nil"/>
                    <w:tr2bl w:val="nil"/>
                  </w:tcBorders>
                  <w:shd w:val="clear" w:color="auto" w:fill="auto"/>
                  <w:tcMar>
                    <w:left w:w="0" w:type="dxa"/>
                    <w:right w:w="0" w:type="dxa"/>
                  </w:tcMar>
                  <w:vAlign w:val="bottom"/>
                </w:tcPr>
                <w:p w14:paraId="6D2FADA0"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9"/>
                    </w:rPr>
                  </w:pPr>
                </w:p>
              </w:tc>
              <w:tc>
                <w:tcPr>
                  <w:tcW w:w="1099"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5924C5D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9"/>
                    </w:rPr>
                  </w:pPr>
                  <w:r w:rsidRPr="004D7A72">
                    <w:rPr>
                      <w:rFonts w:asciiTheme="majorBidi" w:hAnsiTheme="majorBidi" w:cstheme="majorBidi"/>
                      <w:b/>
                      <w:color w:val="000000"/>
                      <w:sz w:val="19"/>
                    </w:rPr>
                    <w:t>Share premium</w:t>
                  </w:r>
                </w:p>
              </w:tc>
              <w:tc>
                <w:tcPr>
                  <w:tcW w:w="30" w:type="dxa"/>
                  <w:tcBorders>
                    <w:top w:val="single" w:sz="4" w:space="0" w:color="000000"/>
                    <w:left w:val="nil"/>
                    <w:bottom w:val="nil"/>
                    <w:right w:val="nil"/>
                    <w:tl2br w:val="nil"/>
                    <w:tr2bl w:val="nil"/>
                  </w:tcBorders>
                  <w:shd w:val="clear" w:color="auto" w:fill="auto"/>
                  <w:tcMar>
                    <w:left w:w="0" w:type="dxa"/>
                    <w:right w:w="0" w:type="dxa"/>
                  </w:tcMar>
                  <w:vAlign w:val="bottom"/>
                </w:tcPr>
                <w:p w14:paraId="72C6A68A"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9"/>
                    </w:rPr>
                  </w:pPr>
                </w:p>
              </w:tc>
              <w:tc>
                <w:tcPr>
                  <w:tcW w:w="1099"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49EFE961"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Retained earnings</w:t>
                  </w:r>
                </w:p>
              </w:tc>
              <w:tc>
                <w:tcPr>
                  <w:tcW w:w="30" w:type="dxa"/>
                  <w:tcBorders>
                    <w:top w:val="single" w:sz="4" w:space="0" w:color="000000"/>
                    <w:left w:val="nil"/>
                    <w:bottom w:val="nil"/>
                    <w:right w:val="nil"/>
                    <w:tl2br w:val="nil"/>
                    <w:tr2bl w:val="nil"/>
                  </w:tcBorders>
                  <w:shd w:val="clear" w:color="auto" w:fill="auto"/>
                  <w:tcMar>
                    <w:left w:w="0" w:type="dxa"/>
                    <w:right w:w="0" w:type="dxa"/>
                  </w:tcMar>
                  <w:vAlign w:val="bottom"/>
                </w:tcPr>
                <w:p w14:paraId="13D901C9"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87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072643CE"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Adjustments due to translation of financial statements of foreign operations</w:t>
                  </w:r>
                </w:p>
              </w:tc>
              <w:tc>
                <w:tcPr>
                  <w:tcW w:w="308" w:type="dxa"/>
                  <w:tcBorders>
                    <w:top w:val="single" w:sz="4" w:space="0" w:color="000000"/>
                    <w:left w:val="nil"/>
                    <w:bottom w:val="nil"/>
                    <w:right w:val="nil"/>
                    <w:tl2br w:val="nil"/>
                    <w:tr2bl w:val="nil"/>
                  </w:tcBorders>
                  <w:shd w:val="clear" w:color="auto" w:fill="auto"/>
                  <w:tcMar>
                    <w:left w:w="0" w:type="dxa"/>
                    <w:right w:w="0" w:type="dxa"/>
                  </w:tcMar>
                  <w:vAlign w:val="bottom"/>
                </w:tcPr>
                <w:p w14:paraId="6203E9C2"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099"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4B2BB2F5"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Other reserves</w:t>
                  </w:r>
                </w:p>
              </w:tc>
              <w:tc>
                <w:tcPr>
                  <w:tcW w:w="30" w:type="dxa"/>
                  <w:tcBorders>
                    <w:top w:val="single" w:sz="4" w:space="0" w:color="000000"/>
                    <w:left w:val="nil"/>
                    <w:bottom w:val="nil"/>
                    <w:right w:val="nil"/>
                    <w:tl2br w:val="nil"/>
                    <w:tr2bl w:val="nil"/>
                  </w:tcBorders>
                  <w:shd w:val="clear" w:color="auto" w:fill="auto"/>
                  <w:tcMar>
                    <w:left w:w="0" w:type="dxa"/>
                    <w:right w:w="0" w:type="dxa"/>
                  </w:tcMar>
                  <w:vAlign w:val="bottom"/>
                </w:tcPr>
                <w:p w14:paraId="667D480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099"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6F412B60"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Treasury shares</w:t>
                  </w:r>
                </w:p>
              </w:tc>
              <w:tc>
                <w:tcPr>
                  <w:tcW w:w="30" w:type="dxa"/>
                  <w:tcBorders>
                    <w:top w:val="single" w:sz="4" w:space="0" w:color="000000"/>
                    <w:left w:val="nil"/>
                    <w:bottom w:val="nil"/>
                    <w:right w:val="nil"/>
                    <w:tl2br w:val="nil"/>
                    <w:tr2bl w:val="nil"/>
                  </w:tcBorders>
                  <w:shd w:val="clear" w:color="auto" w:fill="auto"/>
                  <w:tcMar>
                    <w:left w:w="0" w:type="dxa"/>
                    <w:right w:w="0" w:type="dxa"/>
                  </w:tcMar>
                  <w:vAlign w:val="bottom"/>
                </w:tcPr>
                <w:p w14:paraId="322A053A"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099"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11174595"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Total</w:t>
                  </w:r>
                </w:p>
              </w:tc>
              <w:tc>
                <w:tcPr>
                  <w:tcW w:w="30" w:type="dxa"/>
                  <w:tcBorders>
                    <w:top w:val="nil"/>
                    <w:left w:val="nil"/>
                    <w:bottom w:val="nil"/>
                    <w:right w:val="nil"/>
                    <w:tl2br w:val="nil"/>
                    <w:tr2bl w:val="nil"/>
                  </w:tcBorders>
                  <w:shd w:val="clear" w:color="auto" w:fill="auto"/>
                  <w:tcMar>
                    <w:left w:w="0" w:type="dxa"/>
                    <w:right w:w="0" w:type="dxa"/>
                  </w:tcMar>
                  <w:vAlign w:val="bottom"/>
                </w:tcPr>
                <w:p w14:paraId="44D531DB"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099" w:type="dxa"/>
                  <w:tcBorders>
                    <w:top w:val="nil"/>
                    <w:left w:val="nil"/>
                    <w:bottom w:val="single" w:sz="4" w:space="0" w:color="000000"/>
                    <w:right w:val="nil"/>
                    <w:tl2br w:val="nil"/>
                    <w:tr2bl w:val="nil"/>
                  </w:tcBorders>
                  <w:shd w:val="clear" w:color="auto" w:fill="auto"/>
                  <w:tcMar>
                    <w:left w:w="43" w:type="dxa"/>
                    <w:right w:w="43" w:type="dxa"/>
                  </w:tcMar>
                  <w:vAlign w:val="bottom"/>
                </w:tcPr>
                <w:p w14:paraId="41E67866"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Non-controlling interests</w:t>
                  </w:r>
                </w:p>
              </w:tc>
              <w:tc>
                <w:tcPr>
                  <w:tcW w:w="30" w:type="dxa"/>
                  <w:tcBorders>
                    <w:top w:val="nil"/>
                    <w:left w:val="nil"/>
                    <w:bottom w:val="nil"/>
                    <w:right w:val="nil"/>
                    <w:tl2br w:val="nil"/>
                    <w:tr2bl w:val="nil"/>
                  </w:tcBorders>
                  <w:shd w:val="clear" w:color="auto" w:fill="auto"/>
                  <w:tcMar>
                    <w:left w:w="0" w:type="dxa"/>
                    <w:right w:w="0" w:type="dxa"/>
                  </w:tcMar>
                  <w:vAlign w:val="bottom"/>
                </w:tcPr>
                <w:p w14:paraId="41A5B2BA"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099" w:type="dxa"/>
                  <w:tcBorders>
                    <w:top w:val="nil"/>
                    <w:left w:val="nil"/>
                    <w:bottom w:val="single" w:sz="4" w:space="0" w:color="000000"/>
                    <w:right w:val="nil"/>
                    <w:tl2br w:val="nil"/>
                    <w:tr2bl w:val="nil"/>
                  </w:tcBorders>
                  <w:shd w:val="clear" w:color="auto" w:fill="auto"/>
                  <w:tcMar>
                    <w:left w:w="43" w:type="dxa"/>
                    <w:right w:w="43" w:type="dxa"/>
                  </w:tcMar>
                  <w:vAlign w:val="bottom"/>
                </w:tcPr>
                <w:p w14:paraId="0CC662F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Total equity</w:t>
                  </w:r>
                </w:p>
              </w:tc>
            </w:tr>
            <w:tr w:rsidR="00213131" w:rsidRPr="004D7A72" w14:paraId="6A05478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366" w:type="dxa"/>
                  <w:tcBorders>
                    <w:top w:val="nil"/>
                    <w:left w:val="nil"/>
                    <w:bottom w:val="nil"/>
                    <w:right w:val="nil"/>
                    <w:tl2br w:val="nil"/>
                    <w:tr2bl w:val="nil"/>
                  </w:tcBorders>
                  <w:shd w:val="clear" w:color="auto" w:fill="auto"/>
                  <w:noWrap/>
                  <w:tcMar>
                    <w:left w:w="0" w:type="dxa"/>
                    <w:right w:w="0" w:type="dxa"/>
                  </w:tcMar>
                  <w:vAlign w:val="bottom"/>
                </w:tcPr>
                <w:p w14:paraId="77ADA3F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308" w:type="dxa"/>
                  <w:tcBorders>
                    <w:top w:val="nil"/>
                    <w:left w:val="nil"/>
                    <w:bottom w:val="nil"/>
                    <w:right w:val="nil"/>
                    <w:tl2br w:val="nil"/>
                    <w:tr2bl w:val="nil"/>
                  </w:tcBorders>
                  <w:shd w:val="clear" w:color="auto" w:fill="auto"/>
                  <w:noWrap/>
                  <w:tcMar>
                    <w:left w:w="0" w:type="dxa"/>
                    <w:right w:w="0" w:type="dxa"/>
                  </w:tcMar>
                  <w:vAlign w:val="bottom"/>
                </w:tcPr>
                <w:p w14:paraId="5B78536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180" w:type="dxa"/>
                  <w:gridSpan w:val="17"/>
                  <w:tcBorders>
                    <w:top w:val="nil"/>
                    <w:left w:val="nil"/>
                    <w:bottom w:val="single" w:sz="4" w:space="0" w:color="000000"/>
                    <w:right w:val="nil"/>
                    <w:tl2br w:val="nil"/>
                    <w:tr2bl w:val="nil"/>
                  </w:tcBorders>
                  <w:shd w:val="clear" w:color="auto" w:fill="auto"/>
                  <w:tcMar>
                    <w:left w:w="43" w:type="dxa"/>
                    <w:right w:w="43" w:type="dxa"/>
                  </w:tcMar>
                  <w:vAlign w:val="bottom"/>
                </w:tcPr>
                <w:p w14:paraId="3225AA5C"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Audited</w:t>
                  </w:r>
                </w:p>
              </w:tc>
            </w:tr>
            <w:tr w:rsidR="00213131" w:rsidRPr="004D7A72" w14:paraId="24EBF1E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366" w:type="dxa"/>
                  <w:tcBorders>
                    <w:top w:val="nil"/>
                    <w:left w:val="nil"/>
                    <w:bottom w:val="nil"/>
                    <w:right w:val="nil"/>
                    <w:tl2br w:val="nil"/>
                    <w:tr2bl w:val="nil"/>
                  </w:tcBorders>
                  <w:shd w:val="clear" w:color="auto" w:fill="auto"/>
                  <w:noWrap/>
                  <w:tcMar>
                    <w:left w:w="0" w:type="dxa"/>
                    <w:right w:w="0" w:type="dxa"/>
                  </w:tcMar>
                  <w:vAlign w:val="bottom"/>
                </w:tcPr>
                <w:p w14:paraId="6795605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308" w:type="dxa"/>
                  <w:tcBorders>
                    <w:top w:val="nil"/>
                    <w:left w:val="nil"/>
                    <w:bottom w:val="nil"/>
                    <w:right w:val="nil"/>
                    <w:tl2br w:val="nil"/>
                    <w:tr2bl w:val="nil"/>
                  </w:tcBorders>
                  <w:shd w:val="clear" w:color="auto" w:fill="auto"/>
                  <w:noWrap/>
                  <w:tcMar>
                    <w:left w:w="0" w:type="dxa"/>
                    <w:right w:w="0" w:type="dxa"/>
                  </w:tcMar>
                  <w:vAlign w:val="bottom"/>
                </w:tcPr>
                <w:p w14:paraId="689E4EE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180" w:type="dxa"/>
                  <w:gridSpan w:val="17"/>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1C452D6A"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NIS million</w:t>
                  </w:r>
                </w:p>
              </w:tc>
            </w:tr>
            <w:tr w:rsidR="00213131" w:rsidRPr="004D7A72" w14:paraId="035737A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674" w:type="dxa"/>
                  <w:gridSpan w:val="2"/>
                  <w:tcBorders>
                    <w:top w:val="nil"/>
                    <w:left w:val="nil"/>
                    <w:bottom w:val="nil"/>
                    <w:right w:val="nil"/>
                    <w:tl2br w:val="nil"/>
                    <w:tr2bl w:val="nil"/>
                  </w:tcBorders>
                  <w:shd w:val="clear" w:color="auto" w:fill="auto"/>
                  <w:noWrap/>
                  <w:tcMar>
                    <w:left w:w="43" w:type="dxa"/>
                    <w:right w:w="43" w:type="dxa"/>
                  </w:tcMar>
                  <w:vAlign w:val="bottom"/>
                </w:tcPr>
                <w:p w14:paraId="0AAC262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u w:val="single"/>
                    </w:rPr>
                  </w:pPr>
                  <w:r w:rsidRPr="004D7A72">
                    <w:rPr>
                      <w:rFonts w:asciiTheme="majorBidi" w:hAnsiTheme="majorBidi" w:cstheme="majorBidi"/>
                      <w:color w:val="000000"/>
                      <w:sz w:val="19"/>
                      <w:u w:val="single"/>
                    </w:rPr>
                    <w:t>Balance as at December 31, 2022 (Audited)</w:t>
                  </w:r>
                </w:p>
              </w:tc>
              <w:tc>
                <w:tcPr>
                  <w:tcW w:w="1099"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9415E7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219</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D1FE6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321A9DD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4,529</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2575A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321F64E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3,674</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6DE41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7D3B30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(4,702)</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87CC6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77B9D32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1,297</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E748E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79E5955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A03F3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59A61BC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5,016</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84E32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90A658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7,029</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E574C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73BF0CB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12,045</w:t>
                  </w:r>
                </w:p>
              </w:tc>
            </w:tr>
            <w:tr w:rsidR="00213131" w:rsidRPr="004D7A72" w14:paraId="48191BA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674" w:type="dxa"/>
                  <w:gridSpan w:val="2"/>
                  <w:tcBorders>
                    <w:top w:val="nil"/>
                    <w:left w:val="nil"/>
                    <w:bottom w:val="nil"/>
                    <w:right w:val="nil"/>
                    <w:tl2br w:val="nil"/>
                    <w:tr2bl w:val="nil"/>
                  </w:tcBorders>
                  <w:shd w:val="clear" w:color="auto" w:fill="auto"/>
                  <w:noWrap/>
                  <w:tcMar>
                    <w:left w:w="43" w:type="dxa"/>
                    <w:right w:w="43" w:type="dxa"/>
                  </w:tcMar>
                  <w:vAlign w:val="bottom"/>
                </w:tcPr>
                <w:p w14:paraId="43FDADB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Loss</w:t>
                  </w:r>
                </w:p>
              </w:tc>
              <w:tc>
                <w:tcPr>
                  <w:tcW w:w="1099"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75FD64D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511C05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650D247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43CFF6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731E531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(1,203)</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D66F9F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22914E5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B76CA4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5739DC0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1B9FBA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36F77DE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FA69B2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459C026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(1,203)</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D145F2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6193A7D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(117)</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89BF92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12B1BFD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(1,320)</w:t>
                  </w:r>
                </w:p>
              </w:tc>
            </w:tr>
            <w:tr w:rsidR="00213131" w:rsidRPr="004D7A72" w14:paraId="60BE1F4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674" w:type="dxa"/>
                  <w:gridSpan w:val="2"/>
                  <w:tcBorders>
                    <w:top w:val="nil"/>
                    <w:left w:val="nil"/>
                    <w:bottom w:val="nil"/>
                    <w:right w:val="nil"/>
                    <w:tl2br w:val="nil"/>
                    <w:tr2bl w:val="nil"/>
                  </w:tcBorders>
                  <w:shd w:val="clear" w:color="auto" w:fill="auto"/>
                  <w:noWrap/>
                  <w:tcMar>
                    <w:left w:w="43" w:type="dxa"/>
                    <w:right w:w="43" w:type="dxa"/>
                  </w:tcMar>
                  <w:vAlign w:val="bottom"/>
                </w:tcPr>
                <w:p w14:paraId="0645D3B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Other comprehensive income</w:t>
                  </w:r>
                </w:p>
              </w:tc>
              <w:tc>
                <w:tcPr>
                  <w:tcW w:w="10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FD8FB3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22A22A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57F566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123689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66F72C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C92BF3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04BE7E0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667</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AF6366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291CF0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(129)</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EC12A6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3853F1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9D1FE4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814574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538</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F656A8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0B4A32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378</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CE4989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8BDB46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916</w:t>
                  </w:r>
                </w:p>
              </w:tc>
            </w:tr>
            <w:tr w:rsidR="00213131" w:rsidRPr="004D7A72" w14:paraId="23D8B51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366" w:type="dxa"/>
                  <w:tcBorders>
                    <w:top w:val="nil"/>
                    <w:left w:val="nil"/>
                    <w:bottom w:val="nil"/>
                    <w:right w:val="nil"/>
                    <w:tl2br w:val="nil"/>
                    <w:tr2bl w:val="nil"/>
                  </w:tcBorders>
                  <w:shd w:val="clear" w:color="auto" w:fill="auto"/>
                  <w:noWrap/>
                  <w:tcMar>
                    <w:left w:w="0" w:type="dxa"/>
                    <w:right w:w="0" w:type="dxa"/>
                  </w:tcMar>
                  <w:vAlign w:val="bottom"/>
                </w:tcPr>
                <w:p w14:paraId="78C263B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4308" w:type="dxa"/>
                  <w:tcBorders>
                    <w:top w:val="nil"/>
                    <w:left w:val="nil"/>
                    <w:bottom w:val="nil"/>
                    <w:right w:val="nil"/>
                    <w:tl2br w:val="nil"/>
                    <w:tr2bl w:val="nil"/>
                  </w:tcBorders>
                  <w:shd w:val="clear" w:color="auto" w:fill="auto"/>
                  <w:noWrap/>
                  <w:tcMar>
                    <w:left w:w="0" w:type="dxa"/>
                    <w:right w:w="0" w:type="dxa"/>
                  </w:tcMar>
                  <w:vAlign w:val="bottom"/>
                </w:tcPr>
                <w:p w14:paraId="547878E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CC27DC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C60D31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98E632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67FCF6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044674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B3AE5D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D91054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F85801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F90BF4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F06486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F137F5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A08043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09792B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1E5632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819D11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1775E3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B6604F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r>
            <w:tr w:rsidR="00213131" w:rsidRPr="004D7A72" w14:paraId="3AABD0E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674" w:type="dxa"/>
                  <w:gridSpan w:val="2"/>
                  <w:tcBorders>
                    <w:top w:val="nil"/>
                    <w:left w:val="nil"/>
                    <w:bottom w:val="nil"/>
                    <w:right w:val="nil"/>
                    <w:tl2br w:val="nil"/>
                    <w:tr2bl w:val="nil"/>
                  </w:tcBorders>
                  <w:shd w:val="clear" w:color="auto" w:fill="auto"/>
                  <w:noWrap/>
                  <w:tcMar>
                    <w:left w:w="43" w:type="dxa"/>
                    <w:right w:w="43" w:type="dxa"/>
                  </w:tcMar>
                  <w:vAlign w:val="bottom"/>
                </w:tcPr>
                <w:p w14:paraId="4BA92DB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Total comprehensive loss</w:t>
                  </w: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344CB6C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E0DBC1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6FF50A6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69DFC9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15F03CF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(1,203)</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C5ECEB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nil"/>
                    <w:left w:val="nil"/>
                    <w:bottom w:val="nil"/>
                    <w:right w:val="nil"/>
                    <w:tl2br w:val="nil"/>
                    <w:tr2bl w:val="nil"/>
                  </w:tcBorders>
                  <w:shd w:val="clear" w:color="auto" w:fill="auto"/>
                  <w:noWrap/>
                  <w:tcMar>
                    <w:left w:w="43" w:type="dxa"/>
                    <w:right w:w="178" w:type="dxa"/>
                  </w:tcMar>
                  <w:vAlign w:val="bottom"/>
                </w:tcPr>
                <w:p w14:paraId="1C2CB17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667</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9A13FE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3A1C7B2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(129)</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1AE182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3EE09F5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A4D1E6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0B931FF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(665)</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63D3CF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16579B9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261</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9F949A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2B8C267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(404)</w:t>
                  </w:r>
                </w:p>
              </w:tc>
            </w:tr>
            <w:tr w:rsidR="00213131" w:rsidRPr="004D7A72" w14:paraId="558AC5E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366" w:type="dxa"/>
                  <w:tcBorders>
                    <w:top w:val="nil"/>
                    <w:left w:val="nil"/>
                    <w:bottom w:val="nil"/>
                    <w:right w:val="nil"/>
                    <w:tl2br w:val="nil"/>
                    <w:tr2bl w:val="nil"/>
                  </w:tcBorders>
                  <w:shd w:val="clear" w:color="auto" w:fill="auto"/>
                  <w:noWrap/>
                  <w:tcMar>
                    <w:left w:w="0" w:type="dxa"/>
                    <w:right w:w="0" w:type="dxa"/>
                  </w:tcMar>
                  <w:vAlign w:val="bottom"/>
                </w:tcPr>
                <w:p w14:paraId="6C79566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4308" w:type="dxa"/>
                  <w:tcBorders>
                    <w:top w:val="nil"/>
                    <w:left w:val="nil"/>
                    <w:bottom w:val="nil"/>
                    <w:right w:val="nil"/>
                    <w:tl2br w:val="nil"/>
                    <w:tr2bl w:val="nil"/>
                  </w:tcBorders>
                  <w:shd w:val="clear" w:color="auto" w:fill="auto"/>
                  <w:noWrap/>
                  <w:tcMar>
                    <w:left w:w="0" w:type="dxa"/>
                    <w:right w:w="0" w:type="dxa"/>
                  </w:tcMar>
                  <w:vAlign w:val="bottom"/>
                </w:tcPr>
                <w:p w14:paraId="05F4814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135" w:type="dxa"/>
                  </w:tcMar>
                  <w:vAlign w:val="bottom"/>
                </w:tcPr>
                <w:p w14:paraId="100FCB1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8EE425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135" w:type="dxa"/>
                  </w:tcMar>
                  <w:vAlign w:val="bottom"/>
                </w:tcPr>
                <w:p w14:paraId="7772C98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9AB4C4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135" w:type="dxa"/>
                  </w:tcMar>
                  <w:vAlign w:val="bottom"/>
                </w:tcPr>
                <w:p w14:paraId="0B9993F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DCE143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nil"/>
                    <w:left w:val="nil"/>
                    <w:bottom w:val="nil"/>
                    <w:right w:val="nil"/>
                    <w:tl2br w:val="nil"/>
                    <w:tr2bl w:val="nil"/>
                  </w:tcBorders>
                  <w:shd w:val="clear" w:color="auto" w:fill="auto"/>
                  <w:noWrap/>
                  <w:tcMar>
                    <w:left w:w="0" w:type="dxa"/>
                    <w:right w:w="135" w:type="dxa"/>
                  </w:tcMar>
                  <w:vAlign w:val="bottom"/>
                </w:tcPr>
                <w:p w14:paraId="05EB5A2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0ED620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135" w:type="dxa"/>
                  </w:tcMar>
                  <w:vAlign w:val="bottom"/>
                </w:tcPr>
                <w:p w14:paraId="1DD68FA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B5266E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135" w:type="dxa"/>
                  </w:tcMar>
                  <w:vAlign w:val="bottom"/>
                </w:tcPr>
                <w:p w14:paraId="3342158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94036E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135" w:type="dxa"/>
                  </w:tcMar>
                  <w:vAlign w:val="bottom"/>
                </w:tcPr>
                <w:p w14:paraId="7F862BF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95218A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135" w:type="dxa"/>
                  </w:tcMar>
                  <w:vAlign w:val="bottom"/>
                </w:tcPr>
                <w:p w14:paraId="3D88517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1AA7F8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135" w:type="dxa"/>
                  </w:tcMar>
                  <w:vAlign w:val="bottom"/>
                </w:tcPr>
                <w:p w14:paraId="74EA249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r>
            <w:tr w:rsidR="00213131" w:rsidRPr="004D7A72" w14:paraId="25EDC56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674" w:type="dxa"/>
                  <w:gridSpan w:val="2"/>
                  <w:tcBorders>
                    <w:top w:val="nil"/>
                    <w:left w:val="nil"/>
                    <w:bottom w:val="nil"/>
                    <w:right w:val="nil"/>
                    <w:tl2br w:val="nil"/>
                    <w:tr2bl w:val="nil"/>
                  </w:tcBorders>
                  <w:shd w:val="clear" w:color="auto" w:fill="auto"/>
                  <w:noWrap/>
                  <w:tcMar>
                    <w:left w:w="43" w:type="dxa"/>
                    <w:right w:w="43" w:type="dxa"/>
                  </w:tcMar>
                  <w:vAlign w:val="bottom"/>
                </w:tcPr>
                <w:p w14:paraId="47D7950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Issue of share capital and options (less issue costs)</w:t>
                  </w: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347CDA0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20</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4C5FA8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2A2872F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221</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CCF65D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6B82C97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377A47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nil"/>
                    <w:left w:val="nil"/>
                    <w:bottom w:val="nil"/>
                    <w:right w:val="nil"/>
                    <w:tl2br w:val="nil"/>
                    <w:tr2bl w:val="nil"/>
                  </w:tcBorders>
                  <w:shd w:val="clear" w:color="auto" w:fill="auto"/>
                  <w:noWrap/>
                  <w:tcMar>
                    <w:left w:w="43" w:type="dxa"/>
                    <w:right w:w="178" w:type="dxa"/>
                  </w:tcMar>
                  <w:vAlign w:val="bottom"/>
                </w:tcPr>
                <w:p w14:paraId="6FEE032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8FD0F9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3F4D0FD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A64A29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51BE304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84F013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59ED6FC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241</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4E5B08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7AB234A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19C114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7B4F228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241</w:t>
                  </w:r>
                </w:p>
              </w:tc>
            </w:tr>
            <w:tr w:rsidR="00213131" w:rsidRPr="004D7A72" w14:paraId="10A4E24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674" w:type="dxa"/>
                  <w:gridSpan w:val="2"/>
                  <w:tcBorders>
                    <w:top w:val="nil"/>
                    <w:left w:val="nil"/>
                    <w:bottom w:val="nil"/>
                    <w:right w:val="nil"/>
                    <w:tl2br w:val="nil"/>
                    <w:tr2bl w:val="nil"/>
                  </w:tcBorders>
                  <w:shd w:val="clear" w:color="auto" w:fill="auto"/>
                  <w:noWrap/>
                  <w:tcMar>
                    <w:left w:w="43" w:type="dxa"/>
                    <w:right w:w="43" w:type="dxa"/>
                  </w:tcMar>
                  <w:vAlign w:val="bottom"/>
                </w:tcPr>
                <w:p w14:paraId="2DB9F6C7"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Exercise and forfeiture of options for Company shares</w:t>
                  </w: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523CF04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6DAD8A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14B5E74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176E85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69BB042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69B23C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nil"/>
                    <w:left w:val="nil"/>
                    <w:bottom w:val="nil"/>
                    <w:right w:val="nil"/>
                    <w:tl2br w:val="nil"/>
                    <w:tr2bl w:val="nil"/>
                  </w:tcBorders>
                  <w:shd w:val="clear" w:color="auto" w:fill="auto"/>
                  <w:noWrap/>
                  <w:tcMar>
                    <w:left w:w="43" w:type="dxa"/>
                    <w:right w:w="178" w:type="dxa"/>
                  </w:tcMar>
                  <w:vAlign w:val="bottom"/>
                </w:tcPr>
                <w:p w14:paraId="48B7B04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9F275B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759B238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(4)</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BAFE74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0647C5B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A79B9A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7AD50FC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ACABDF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2EE5F4E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6F15C1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3467E40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r>
            <w:tr w:rsidR="00213131" w:rsidRPr="004D7A72" w14:paraId="3AE73FC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674" w:type="dxa"/>
                  <w:gridSpan w:val="2"/>
                  <w:tcBorders>
                    <w:top w:val="nil"/>
                    <w:left w:val="nil"/>
                    <w:bottom w:val="nil"/>
                    <w:right w:val="nil"/>
                    <w:tl2br w:val="nil"/>
                    <w:tr2bl w:val="nil"/>
                  </w:tcBorders>
                  <w:shd w:val="clear" w:color="auto" w:fill="auto"/>
                  <w:noWrap/>
                  <w:tcMar>
                    <w:left w:w="43" w:type="dxa"/>
                    <w:right w:w="43" w:type="dxa"/>
                  </w:tcMar>
                  <w:vAlign w:val="bottom"/>
                </w:tcPr>
                <w:p w14:paraId="2089749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Cost of share-based payment</w:t>
                  </w: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5449B00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9F3A03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025722E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3E18F4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5F41FDC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1B145C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nil"/>
                    <w:left w:val="nil"/>
                    <w:bottom w:val="nil"/>
                    <w:right w:val="nil"/>
                    <w:tl2br w:val="nil"/>
                    <w:tr2bl w:val="nil"/>
                  </w:tcBorders>
                  <w:shd w:val="clear" w:color="auto" w:fill="auto"/>
                  <w:noWrap/>
                  <w:tcMar>
                    <w:left w:w="43" w:type="dxa"/>
                    <w:right w:w="178" w:type="dxa"/>
                  </w:tcMar>
                  <w:vAlign w:val="bottom"/>
                </w:tcPr>
                <w:p w14:paraId="08CEF3F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672B45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797E058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2A6EE0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090566C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F44554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6B886A1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B5B0AB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1EB7BD6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5</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9EA73B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0266C02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5</w:t>
                  </w:r>
                </w:p>
              </w:tc>
            </w:tr>
            <w:tr w:rsidR="00213131" w:rsidRPr="004D7A72" w14:paraId="489862F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674" w:type="dxa"/>
                  <w:gridSpan w:val="2"/>
                  <w:tcBorders>
                    <w:top w:val="nil"/>
                    <w:left w:val="nil"/>
                    <w:bottom w:val="nil"/>
                    <w:right w:val="nil"/>
                    <w:tl2br w:val="nil"/>
                    <w:tr2bl w:val="nil"/>
                  </w:tcBorders>
                  <w:shd w:val="clear" w:color="auto" w:fill="auto"/>
                  <w:noWrap/>
                  <w:tcMar>
                    <w:left w:w="43" w:type="dxa"/>
                    <w:right w:w="43" w:type="dxa"/>
                  </w:tcMar>
                  <w:vAlign w:val="bottom"/>
                </w:tcPr>
                <w:p w14:paraId="5485E54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Issue of convertible debentures</w:t>
                  </w: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2FB9793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96BCAB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374D580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D36D43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2B7738D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7CD40B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nil"/>
                    <w:left w:val="nil"/>
                    <w:bottom w:val="nil"/>
                    <w:right w:val="nil"/>
                    <w:tl2br w:val="nil"/>
                    <w:tr2bl w:val="nil"/>
                  </w:tcBorders>
                  <w:shd w:val="clear" w:color="auto" w:fill="auto"/>
                  <w:noWrap/>
                  <w:tcMar>
                    <w:left w:w="43" w:type="dxa"/>
                    <w:right w:w="178" w:type="dxa"/>
                  </w:tcMar>
                  <w:vAlign w:val="bottom"/>
                </w:tcPr>
                <w:p w14:paraId="383787F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566E08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16C0427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64</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8C24AC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00BCCBE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5E73B8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72E479D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64</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22449A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052AB6B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2B0F1B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69359B6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64</w:t>
                  </w:r>
                </w:p>
              </w:tc>
            </w:tr>
            <w:tr w:rsidR="00213131" w:rsidRPr="004D7A72" w14:paraId="7F18CFF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674" w:type="dxa"/>
                  <w:gridSpan w:val="2"/>
                  <w:tcBorders>
                    <w:top w:val="nil"/>
                    <w:left w:val="nil"/>
                    <w:bottom w:val="nil"/>
                    <w:right w:val="nil"/>
                    <w:tl2br w:val="nil"/>
                    <w:tr2bl w:val="nil"/>
                  </w:tcBorders>
                  <w:shd w:val="clear" w:color="auto" w:fill="auto"/>
                  <w:tcMar>
                    <w:left w:w="43" w:type="dxa"/>
                    <w:right w:w="43" w:type="dxa"/>
                  </w:tcMar>
                  <w:vAlign w:val="bottom"/>
                </w:tcPr>
                <w:p w14:paraId="5986B4F0" w14:textId="37A629F0" w:rsidR="00213131" w:rsidRPr="004D7A72" w:rsidRDefault="00213131" w:rsidP="004D7A72">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Buyback of hybrid debentures from non-controlling interests    </w:t>
                  </w: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1FD8396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51DD7B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24E9580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6E2E88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69FE35D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863590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nil"/>
                    <w:left w:val="nil"/>
                    <w:bottom w:val="nil"/>
                    <w:right w:val="nil"/>
                    <w:tl2br w:val="nil"/>
                    <w:tr2bl w:val="nil"/>
                  </w:tcBorders>
                  <w:shd w:val="clear" w:color="auto" w:fill="auto"/>
                  <w:noWrap/>
                  <w:tcMar>
                    <w:left w:w="43" w:type="dxa"/>
                    <w:right w:w="178" w:type="dxa"/>
                  </w:tcMar>
                  <w:vAlign w:val="bottom"/>
                </w:tcPr>
                <w:p w14:paraId="765C6EE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316DD8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2F3D164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199</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58B746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61FDADD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C031F2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7ECF9D7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199</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DD7FCA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62053FC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(577)</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E6D9C4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4E110C7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(378)</w:t>
                  </w:r>
                </w:p>
              </w:tc>
            </w:tr>
            <w:tr w:rsidR="00213131" w:rsidRPr="004D7A72" w14:paraId="60C1F00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4674" w:type="dxa"/>
                  <w:gridSpan w:val="2"/>
                  <w:tcBorders>
                    <w:top w:val="nil"/>
                    <w:left w:val="nil"/>
                    <w:bottom w:val="nil"/>
                    <w:right w:val="nil"/>
                    <w:tl2br w:val="nil"/>
                    <w:tr2bl w:val="nil"/>
                  </w:tcBorders>
                  <w:shd w:val="clear" w:color="auto" w:fill="auto"/>
                  <w:tcMar>
                    <w:left w:w="43" w:type="dxa"/>
                    <w:right w:w="43" w:type="dxa"/>
                  </w:tcMar>
                  <w:vAlign w:val="bottom"/>
                </w:tcPr>
                <w:p w14:paraId="072690D3" w14:textId="5FA0D206" w:rsidR="00213131" w:rsidRPr="004D7A72" w:rsidRDefault="00213131" w:rsidP="004D7A72">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Interest on hybrid debentures paid to non-controlling interests</w:t>
                  </w: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6D8E97A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25C2FC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75A14D3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81D119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1E38FEE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B9812C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nil"/>
                    <w:left w:val="nil"/>
                    <w:bottom w:val="nil"/>
                    <w:right w:val="nil"/>
                    <w:tl2br w:val="nil"/>
                    <w:tr2bl w:val="nil"/>
                  </w:tcBorders>
                  <w:shd w:val="clear" w:color="auto" w:fill="auto"/>
                  <w:noWrap/>
                  <w:tcMar>
                    <w:left w:w="43" w:type="dxa"/>
                    <w:right w:w="178" w:type="dxa"/>
                  </w:tcMar>
                  <w:vAlign w:val="bottom"/>
                </w:tcPr>
                <w:p w14:paraId="64161A5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EFE3E1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3AA1168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0EA23E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416FBC6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69C1F7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5E71480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AE5A00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16399BD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(166)</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B1D4D4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6E2A1DB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(166)</w:t>
                  </w:r>
                </w:p>
              </w:tc>
            </w:tr>
            <w:tr w:rsidR="00213131" w:rsidRPr="004D7A72" w14:paraId="5E56A09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674" w:type="dxa"/>
                  <w:gridSpan w:val="2"/>
                  <w:tcBorders>
                    <w:top w:val="nil"/>
                    <w:left w:val="nil"/>
                    <w:bottom w:val="nil"/>
                    <w:right w:val="nil"/>
                    <w:tl2br w:val="nil"/>
                    <w:tr2bl w:val="nil"/>
                  </w:tcBorders>
                  <w:shd w:val="clear" w:color="auto" w:fill="auto"/>
                  <w:noWrap/>
                  <w:tcMar>
                    <w:left w:w="43" w:type="dxa"/>
                    <w:right w:w="43" w:type="dxa"/>
                  </w:tcMar>
                  <w:vAlign w:val="bottom"/>
                </w:tcPr>
                <w:p w14:paraId="0B224FEE"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Classification of capital reserve of exercised financial assets to surplus</w:t>
                  </w: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3E611BF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E7A25D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1F0AD73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DF01E1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7FBF5DE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(41)</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B814E9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nil"/>
                    <w:left w:val="nil"/>
                    <w:bottom w:val="nil"/>
                    <w:right w:val="nil"/>
                    <w:tl2br w:val="nil"/>
                    <w:tr2bl w:val="nil"/>
                  </w:tcBorders>
                  <w:shd w:val="clear" w:color="auto" w:fill="auto"/>
                  <w:noWrap/>
                  <w:tcMar>
                    <w:left w:w="43" w:type="dxa"/>
                    <w:right w:w="178" w:type="dxa"/>
                  </w:tcMar>
                  <w:vAlign w:val="bottom"/>
                </w:tcPr>
                <w:p w14:paraId="5AB0C63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AB0A08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750AC9C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41</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9ECEC9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513CD6A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603022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5C75A0C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7A6B92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42190CF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61341B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3BCDB99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r>
            <w:tr w:rsidR="00213131" w:rsidRPr="004D7A72" w14:paraId="724F9F4B" w14:textId="77777777" w:rsidTr="00A45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12"/>
              </w:trPr>
              <w:tc>
                <w:tcPr>
                  <w:tcW w:w="4674" w:type="dxa"/>
                  <w:gridSpan w:val="2"/>
                  <w:tcBorders>
                    <w:top w:val="nil"/>
                    <w:left w:val="nil"/>
                    <w:bottom w:val="nil"/>
                    <w:right w:val="nil"/>
                    <w:tl2br w:val="nil"/>
                    <w:tr2bl w:val="nil"/>
                  </w:tcBorders>
                  <w:shd w:val="clear" w:color="auto" w:fill="auto"/>
                  <w:noWrap/>
                  <w:tcMar>
                    <w:left w:w="43" w:type="dxa"/>
                    <w:right w:w="43" w:type="dxa"/>
                  </w:tcMar>
                  <w:vAlign w:val="bottom"/>
                </w:tcPr>
                <w:p w14:paraId="3C5B918E" w14:textId="1F98B738"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Acquisition of non-controlling interests and </w:t>
                  </w:r>
                  <w:r w:rsidR="008A24DD">
                    <w:rPr>
                      <w:rFonts w:asciiTheme="majorBidi" w:hAnsiTheme="majorBidi" w:cstheme="majorBidi"/>
                      <w:color w:val="000000"/>
                      <w:sz w:val="19"/>
                    </w:rPr>
                    <w:t>IPO</w:t>
                  </w:r>
                  <w:r w:rsidRPr="004D7A72">
                    <w:rPr>
                      <w:rFonts w:asciiTheme="majorBidi" w:hAnsiTheme="majorBidi" w:cstheme="majorBidi"/>
                      <w:color w:val="000000"/>
                      <w:sz w:val="19"/>
                    </w:rPr>
                    <w:t xml:space="preserve"> of subsidiary</w:t>
                  </w: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1FEBC01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235F5F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5B2A185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8F494F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5A05013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D0C30C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nil"/>
                    <w:left w:val="nil"/>
                    <w:bottom w:val="nil"/>
                    <w:right w:val="nil"/>
                    <w:tl2br w:val="nil"/>
                    <w:tr2bl w:val="nil"/>
                  </w:tcBorders>
                  <w:shd w:val="clear" w:color="auto" w:fill="auto"/>
                  <w:noWrap/>
                  <w:tcMar>
                    <w:left w:w="43" w:type="dxa"/>
                    <w:right w:w="178" w:type="dxa"/>
                  </w:tcMar>
                  <w:vAlign w:val="bottom"/>
                </w:tcPr>
                <w:p w14:paraId="27B8636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37</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7C9BB0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41191B9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(55)</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B44491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05B5046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C7584A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136EFA3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(18)</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3812FD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2E156FF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105</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774882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43" w:type="dxa"/>
                    <w:right w:w="178" w:type="dxa"/>
                  </w:tcMar>
                  <w:vAlign w:val="bottom"/>
                </w:tcPr>
                <w:p w14:paraId="1C97457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87</w:t>
                  </w:r>
                </w:p>
              </w:tc>
            </w:tr>
            <w:tr w:rsidR="00213131" w:rsidRPr="004D7A72" w14:paraId="417E640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674" w:type="dxa"/>
                  <w:gridSpan w:val="2"/>
                  <w:tcBorders>
                    <w:top w:val="nil"/>
                    <w:left w:val="nil"/>
                    <w:bottom w:val="nil"/>
                    <w:right w:val="nil"/>
                    <w:tl2br w:val="nil"/>
                    <w:tr2bl w:val="nil"/>
                  </w:tcBorders>
                  <w:shd w:val="clear" w:color="auto" w:fill="auto"/>
                  <w:noWrap/>
                  <w:tcMar>
                    <w:left w:w="43" w:type="dxa"/>
                    <w:right w:w="43" w:type="dxa"/>
                  </w:tcMar>
                  <w:vAlign w:val="bottom"/>
                </w:tcPr>
                <w:p w14:paraId="739EF6A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Dividend to holders of non-controlling interests</w:t>
                  </w:r>
                </w:p>
              </w:tc>
              <w:tc>
                <w:tcPr>
                  <w:tcW w:w="10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4687E6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7C59E9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360EB2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82A262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405E6E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179069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AFF79D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5F13D6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2CCDF8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8A8DCD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12E16C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02C99E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A17E81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22F794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24D224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(164)</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428536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A13B7C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(164)</w:t>
                  </w:r>
                </w:p>
              </w:tc>
            </w:tr>
            <w:tr w:rsidR="00213131" w:rsidRPr="004D7A72" w14:paraId="14381F2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366" w:type="dxa"/>
                  <w:tcBorders>
                    <w:top w:val="nil"/>
                    <w:left w:val="nil"/>
                    <w:bottom w:val="nil"/>
                    <w:right w:val="nil"/>
                    <w:tl2br w:val="nil"/>
                    <w:tr2bl w:val="nil"/>
                  </w:tcBorders>
                  <w:shd w:val="clear" w:color="auto" w:fill="auto"/>
                  <w:noWrap/>
                  <w:tcMar>
                    <w:left w:w="0" w:type="dxa"/>
                    <w:right w:w="0" w:type="dxa"/>
                  </w:tcMar>
                  <w:vAlign w:val="bottom"/>
                </w:tcPr>
                <w:p w14:paraId="28D10BE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4308" w:type="dxa"/>
                  <w:tcBorders>
                    <w:top w:val="nil"/>
                    <w:left w:val="nil"/>
                    <w:bottom w:val="nil"/>
                    <w:right w:val="nil"/>
                    <w:tl2br w:val="nil"/>
                    <w:tr2bl w:val="nil"/>
                  </w:tcBorders>
                  <w:shd w:val="clear" w:color="auto" w:fill="auto"/>
                  <w:noWrap/>
                  <w:tcMar>
                    <w:left w:w="0" w:type="dxa"/>
                    <w:right w:w="0" w:type="dxa"/>
                  </w:tcMar>
                  <w:vAlign w:val="bottom"/>
                </w:tcPr>
                <w:p w14:paraId="76C1A9AD"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E97441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C1CE68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BC4825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CCA01E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CB7C5C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12B020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9F9193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4490A9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127A11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85ABFB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C79FF0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F39EC8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C333B2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472022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4C9F6C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30CEAE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19BE1F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r>
            <w:tr w:rsidR="00213131" w:rsidRPr="004D7A72" w14:paraId="0C5030E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4674" w:type="dxa"/>
                  <w:gridSpan w:val="2"/>
                  <w:tcBorders>
                    <w:top w:val="nil"/>
                    <w:left w:val="nil"/>
                    <w:bottom w:val="nil"/>
                    <w:right w:val="nil"/>
                    <w:tl2br w:val="nil"/>
                    <w:tr2bl w:val="nil"/>
                  </w:tcBorders>
                  <w:shd w:val="clear" w:color="auto" w:fill="auto"/>
                  <w:noWrap/>
                  <w:tcMar>
                    <w:left w:w="43" w:type="dxa"/>
                    <w:right w:w="43" w:type="dxa"/>
                  </w:tcMar>
                  <w:vAlign w:val="bottom"/>
                </w:tcPr>
                <w:p w14:paraId="481059B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u w:val="single"/>
                    </w:rPr>
                  </w:pPr>
                  <w:r w:rsidRPr="004D7A72">
                    <w:rPr>
                      <w:rFonts w:asciiTheme="majorBidi" w:hAnsiTheme="majorBidi" w:cstheme="majorBidi"/>
                      <w:color w:val="000000"/>
                      <w:sz w:val="19"/>
                      <w:u w:val="single"/>
                    </w:rPr>
                    <w:t>Balance as at December 31, 2023 (Audited)</w:t>
                  </w:r>
                </w:p>
              </w:tc>
              <w:tc>
                <w:tcPr>
                  <w:tcW w:w="1099"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364E719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239</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A68527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0F31A52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4,754</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E99D34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6E4A821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2,430</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B6E652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152C7D0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(3,998)</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6C5AE9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48C8AFE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1,413</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610F5D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63B48A3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(1)</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027D1B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32A498D2"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4,837</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F876D2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397277B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6,493</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7674A2B"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509557A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r w:rsidRPr="004D7A72">
                    <w:rPr>
                      <w:rFonts w:asciiTheme="majorBidi" w:hAnsiTheme="majorBidi" w:cstheme="majorBidi"/>
                      <w:color w:val="000000"/>
                      <w:sz w:val="19"/>
                    </w:rPr>
                    <w:t xml:space="preserve"> 11,330</w:t>
                  </w:r>
                </w:p>
              </w:tc>
            </w:tr>
            <w:tr w:rsidR="00213131" w:rsidRPr="004D7A72" w14:paraId="53FF633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366" w:type="dxa"/>
                  <w:tcBorders>
                    <w:top w:val="nil"/>
                    <w:left w:val="nil"/>
                    <w:bottom w:val="nil"/>
                    <w:right w:val="nil"/>
                    <w:tl2br w:val="nil"/>
                    <w:tr2bl w:val="nil"/>
                  </w:tcBorders>
                  <w:shd w:val="clear" w:color="auto" w:fill="auto"/>
                  <w:noWrap/>
                  <w:tcMar>
                    <w:left w:w="0" w:type="dxa"/>
                    <w:right w:w="0" w:type="dxa"/>
                  </w:tcMar>
                  <w:vAlign w:val="bottom"/>
                </w:tcPr>
                <w:p w14:paraId="7B6FFCB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308" w:type="dxa"/>
                  <w:tcBorders>
                    <w:top w:val="nil"/>
                    <w:left w:val="nil"/>
                    <w:bottom w:val="nil"/>
                    <w:right w:val="nil"/>
                    <w:tl2br w:val="nil"/>
                    <w:tr2bl w:val="nil"/>
                  </w:tcBorders>
                  <w:shd w:val="clear" w:color="auto" w:fill="auto"/>
                  <w:noWrap/>
                  <w:tcMar>
                    <w:left w:w="0" w:type="dxa"/>
                    <w:right w:w="0" w:type="dxa"/>
                  </w:tcMar>
                  <w:vAlign w:val="bottom"/>
                </w:tcPr>
                <w:p w14:paraId="123E84D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37B2B43"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737662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357DF6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D236E4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34B7D0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208557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4C309CC"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95BBBF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F46B8F1"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731B09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850962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69D355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813A53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4B616A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890FA0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CD50987"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3DB6D5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r>
            <w:tr w:rsidR="00213131" w:rsidRPr="004D7A72" w14:paraId="5BB87F0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66" w:type="dxa"/>
                  <w:tcBorders>
                    <w:top w:val="nil"/>
                    <w:left w:val="nil"/>
                    <w:bottom w:val="nil"/>
                    <w:right w:val="nil"/>
                    <w:tl2br w:val="nil"/>
                    <w:tr2bl w:val="nil"/>
                  </w:tcBorders>
                  <w:shd w:val="clear" w:color="auto" w:fill="auto"/>
                  <w:noWrap/>
                  <w:tcMar>
                    <w:left w:w="43" w:type="dxa"/>
                    <w:right w:w="43" w:type="dxa"/>
                  </w:tcMar>
                  <w:vAlign w:val="bottom"/>
                </w:tcPr>
                <w:p w14:paraId="078E64C4"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w:t>
                  </w:r>
                </w:p>
              </w:tc>
              <w:tc>
                <w:tcPr>
                  <w:tcW w:w="9972" w:type="dxa"/>
                  <w:gridSpan w:val="10"/>
                  <w:tcBorders>
                    <w:top w:val="nil"/>
                    <w:left w:val="nil"/>
                    <w:bottom w:val="nil"/>
                    <w:right w:val="nil"/>
                    <w:tl2br w:val="nil"/>
                    <w:tr2bl w:val="nil"/>
                  </w:tcBorders>
                  <w:shd w:val="clear" w:color="auto" w:fill="auto"/>
                  <w:noWrap/>
                  <w:tcMar>
                    <w:left w:w="43" w:type="dxa"/>
                    <w:right w:w="43" w:type="dxa"/>
                  </w:tcMar>
                  <w:vAlign w:val="bottom"/>
                </w:tcPr>
                <w:p w14:paraId="7CBC6B9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Represents an amount of less than NIS 1 million</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379AA5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4D88EE4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929DA6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75ABAB1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5D00BE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2965F96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81EE09B"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639B668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r>
            <w:tr w:rsidR="00213131" w:rsidRPr="004D7A72" w14:paraId="6677981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66" w:type="dxa"/>
                  <w:tcBorders>
                    <w:top w:val="nil"/>
                    <w:left w:val="nil"/>
                    <w:bottom w:val="nil"/>
                    <w:right w:val="nil"/>
                    <w:tl2br w:val="nil"/>
                    <w:tr2bl w:val="nil"/>
                  </w:tcBorders>
                  <w:shd w:val="clear" w:color="auto" w:fill="auto"/>
                  <w:noWrap/>
                  <w:tcMar>
                    <w:left w:w="0" w:type="dxa"/>
                    <w:right w:w="0" w:type="dxa"/>
                  </w:tcMar>
                  <w:vAlign w:val="bottom"/>
                </w:tcPr>
                <w:p w14:paraId="4FED849C"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4308" w:type="dxa"/>
                  <w:tcBorders>
                    <w:top w:val="nil"/>
                    <w:left w:val="nil"/>
                    <w:bottom w:val="nil"/>
                    <w:right w:val="nil"/>
                    <w:tl2br w:val="nil"/>
                    <w:tr2bl w:val="nil"/>
                  </w:tcBorders>
                  <w:shd w:val="clear" w:color="auto" w:fill="auto"/>
                  <w:noWrap/>
                  <w:tcMar>
                    <w:left w:w="0" w:type="dxa"/>
                    <w:right w:w="0" w:type="dxa"/>
                  </w:tcMar>
                  <w:vAlign w:val="bottom"/>
                </w:tcPr>
                <w:p w14:paraId="66052B7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6F604E90"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CB2D33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535DA3D8"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A637E8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65F9811E"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FDB3CB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148" w:type="dxa"/>
                  <w:tcBorders>
                    <w:top w:val="nil"/>
                    <w:left w:val="nil"/>
                    <w:bottom w:val="nil"/>
                    <w:right w:val="nil"/>
                    <w:tl2br w:val="nil"/>
                    <w:tr2bl w:val="nil"/>
                  </w:tcBorders>
                  <w:shd w:val="clear" w:color="auto" w:fill="auto"/>
                  <w:noWrap/>
                  <w:tcMar>
                    <w:left w:w="0" w:type="dxa"/>
                    <w:right w:w="0" w:type="dxa"/>
                  </w:tcMar>
                  <w:vAlign w:val="bottom"/>
                </w:tcPr>
                <w:p w14:paraId="08B4B94F"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835BF1A"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60F11326" w14:textId="77777777" w:rsidR="00213131" w:rsidRPr="004D7A72" w:rsidRDefault="00213131" w:rsidP="00A65A6F">
                  <w:pPr>
                    <w:keepNext/>
                    <w:spacing w:before="0" w:after="0"/>
                    <w:jc w:val="righ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B78765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775FCF4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19FA611"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54B2BAE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67B9433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4954E5F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5906B255"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70F447E9"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r>
            <w:tr w:rsidR="00213131" w:rsidRPr="004D7A72" w14:paraId="1A486D5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10338" w:type="dxa"/>
                  <w:gridSpan w:val="11"/>
                  <w:tcBorders>
                    <w:top w:val="nil"/>
                    <w:left w:val="nil"/>
                    <w:bottom w:val="nil"/>
                    <w:right w:val="nil"/>
                    <w:tl2br w:val="nil"/>
                    <w:tr2bl w:val="nil"/>
                  </w:tcBorders>
                  <w:shd w:val="clear" w:color="auto" w:fill="auto"/>
                  <w:noWrap/>
                  <w:tcMar>
                    <w:left w:w="43" w:type="dxa"/>
                    <w:right w:w="43" w:type="dxa"/>
                  </w:tcMar>
                  <w:vAlign w:val="bottom"/>
                </w:tcPr>
                <w:p w14:paraId="1512EB00"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r w:rsidRPr="004D7A72">
                    <w:rPr>
                      <w:rFonts w:asciiTheme="majorBidi" w:hAnsiTheme="majorBidi" w:cstheme="majorBidi"/>
                      <w:color w:val="000000"/>
                      <w:sz w:val="19"/>
                    </w:rPr>
                    <w:t>The accompanying notes constitute an integral part of these consolidated interim financial statements.</w:t>
                  </w: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1CE1267"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29A4C420"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104B6C6"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1CE497C8"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89FA2EF"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6F3A650A"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E433602"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c>
                <w:tcPr>
                  <w:tcW w:w="1099" w:type="dxa"/>
                  <w:tcBorders>
                    <w:top w:val="nil"/>
                    <w:left w:val="nil"/>
                    <w:bottom w:val="nil"/>
                    <w:right w:val="nil"/>
                    <w:tl2br w:val="nil"/>
                    <w:tr2bl w:val="nil"/>
                  </w:tcBorders>
                  <w:shd w:val="clear" w:color="auto" w:fill="auto"/>
                  <w:noWrap/>
                  <w:tcMar>
                    <w:left w:w="0" w:type="dxa"/>
                    <w:right w:w="0" w:type="dxa"/>
                  </w:tcMar>
                  <w:vAlign w:val="bottom"/>
                </w:tcPr>
                <w:p w14:paraId="637BAA7D" w14:textId="77777777" w:rsidR="00213131" w:rsidRPr="004D7A72" w:rsidRDefault="00213131" w:rsidP="00A65A6F">
                  <w:pPr>
                    <w:keepNext/>
                    <w:spacing w:before="0" w:after="0"/>
                    <w:jc w:val="left"/>
                    <w:rPr>
                      <w:rFonts w:asciiTheme="majorBidi" w:eastAsia="Ploni ML Medium AAA Medium" w:hAnsiTheme="majorBidi" w:cstheme="majorBidi"/>
                      <w:color w:val="000000"/>
                      <w:sz w:val="19"/>
                    </w:rPr>
                  </w:pPr>
                </w:p>
              </w:tc>
            </w:tr>
          </w:tbl>
          <w:p w14:paraId="6797FDC5" w14:textId="77777777" w:rsidR="00213131" w:rsidRPr="004D7A72" w:rsidRDefault="00213131" w:rsidP="00A65A6F">
            <w:pPr>
              <w:rPr>
                <w:rFonts w:asciiTheme="majorBidi" w:hAnsiTheme="majorBidi" w:cstheme="majorBidi"/>
              </w:rPr>
            </w:pPr>
          </w:p>
        </w:tc>
      </w:tr>
    </w:tbl>
    <w:p w14:paraId="14715BAB" w14:textId="77777777" w:rsidR="00213131" w:rsidRPr="004D7A72" w:rsidRDefault="00213131" w:rsidP="00213131">
      <w:pPr>
        <w:rPr>
          <w:rFonts w:asciiTheme="majorBidi" w:hAnsiTheme="majorBidi" w:cstheme="majorBidi"/>
          <w:vanish/>
        </w:rPr>
        <w:sectPr w:rsidR="00213131" w:rsidRPr="004D7A72" w:rsidSect="00BA0DC2">
          <w:headerReference w:type="even" r:id="rId52"/>
          <w:headerReference w:type="default" r:id="rId53"/>
          <w:footerReference w:type="even" r:id="rId54"/>
          <w:footerReference w:type="default" r:id="rId55"/>
          <w:headerReference w:type="first" r:id="rId56"/>
          <w:footerReference w:type="first" r:id="rId57"/>
          <w:footnotePr>
            <w:numRestart w:val="eachPage"/>
          </w:footnotePr>
          <w:type w:val="continuous"/>
          <w:pgSz w:w="16838" w:h="11906" w:orient="landscape"/>
          <w:pgMar w:top="1173" w:right="992" w:bottom="1134" w:left="992" w:header="567" w:footer="567" w:gutter="0"/>
          <w:pgBorders>
            <w:top w:val="nil"/>
            <w:left w:val="nil"/>
            <w:bottom w:val="nil"/>
            <w:right w:val="nil"/>
          </w:pgBorders>
          <w:cols w:space="720"/>
          <w:rtlGutter/>
          <w:docGrid w:linePitch="360"/>
        </w:sectPr>
      </w:pPr>
    </w:p>
    <w:p w14:paraId="5BD677CD" w14:textId="77777777" w:rsidR="00213131" w:rsidRPr="004D7A72" w:rsidRDefault="00213131" w:rsidP="00213131">
      <w:pPr>
        <w:pageBreakBefore/>
        <w:rPr>
          <w:rFonts w:asciiTheme="majorBidi" w:hAnsiTheme="majorBidi" w:cstheme="majorBidi"/>
          <w:vanish/>
        </w:rPr>
      </w:pPr>
      <w:bookmarkStart w:id="135" w:name="RG_MARKER_56659"/>
      <w:bookmarkStart w:id="136" w:name="RG_MARKER_56586"/>
      <w:bookmarkEnd w:id="135"/>
      <w:bookmarkEnd w:id="1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213131" w:rsidRPr="004D7A72" w14:paraId="5B8978F3" w14:textId="77777777" w:rsidTr="00A65A6F">
        <w:trPr>
          <w:cantSplit/>
        </w:trPr>
        <w:tc>
          <w:tcPr>
            <w:tcW w:w="9921" w:type="dxa"/>
          </w:tcPr>
          <w:tbl>
            <w:tblPr>
              <w:tblStyle w:val="CDMRange1"/>
              <w:tblW w:w="9855" w:type="dxa"/>
              <w:tblLook w:val="0600" w:firstRow="0" w:lastRow="0" w:firstColumn="0" w:lastColumn="0" w:noHBand="1" w:noVBand="1"/>
            </w:tblPr>
            <w:tblGrid>
              <w:gridCol w:w="4663"/>
              <w:gridCol w:w="1027"/>
              <w:gridCol w:w="31"/>
              <w:gridCol w:w="1027"/>
              <w:gridCol w:w="31"/>
              <w:gridCol w:w="1027"/>
              <w:gridCol w:w="31"/>
              <w:gridCol w:w="1027"/>
              <w:gridCol w:w="31"/>
              <w:gridCol w:w="1027"/>
            </w:tblGrid>
            <w:tr w:rsidR="00213131" w:rsidRPr="004D7A72" w14:paraId="34A55BED" w14:textId="77777777" w:rsidTr="00A65A6F">
              <w:trPr>
                <w:cantSplit/>
                <w:trHeight w:val="282"/>
              </w:trPr>
              <w:tc>
                <w:tcPr>
                  <w:tcW w:w="4695" w:type="dxa"/>
                  <w:tcBorders>
                    <w:top w:val="nil"/>
                    <w:left w:val="nil"/>
                    <w:bottom w:val="nil"/>
                    <w:right w:val="nil"/>
                    <w:tl2br w:val="nil"/>
                    <w:tr2bl w:val="nil"/>
                  </w:tcBorders>
                  <w:shd w:val="clear" w:color="auto" w:fill="auto"/>
                  <w:noWrap/>
                  <w:tcMar>
                    <w:left w:w="0" w:type="dxa"/>
                    <w:right w:w="0" w:type="dxa"/>
                  </w:tcMar>
                  <w:vAlign w:val="bottom"/>
                </w:tcPr>
                <w:p w14:paraId="4DBED4A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055"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2CF0FB10"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 xml:space="preserve">Six months ended </w:t>
                  </w:r>
                </w:p>
                <w:p w14:paraId="33DC59F9"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June 30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7747209"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c>
                <w:tcPr>
                  <w:tcW w:w="2055"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39478F2C"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 xml:space="preserve">Three months ended </w:t>
                  </w:r>
                </w:p>
                <w:p w14:paraId="094C64E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June 30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2C7A432"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4FF2E76F"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Year ended December 31</w:t>
                  </w:r>
                </w:p>
              </w:tc>
            </w:tr>
            <w:tr w:rsidR="00213131" w:rsidRPr="004D7A72" w14:paraId="742A427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0" w:type="dxa"/>
                    <w:right w:w="0" w:type="dxa"/>
                  </w:tcMar>
                  <w:vAlign w:val="bottom"/>
                </w:tcPr>
                <w:p w14:paraId="46C45B5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5F0833F"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2024</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E81102"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FE13CCA"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2023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EE5DAA9"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30277F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2024</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C0E7DF"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38BFEC6"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2023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CB9DB94"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1299AF3"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2023</w:t>
                  </w:r>
                </w:p>
              </w:tc>
            </w:tr>
            <w:tr w:rsidR="00213131" w:rsidRPr="004D7A72" w14:paraId="6E9A972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0" w:type="dxa"/>
                    <w:right w:w="0" w:type="dxa"/>
                  </w:tcMar>
                  <w:vAlign w:val="bottom"/>
                </w:tcPr>
                <w:p w14:paraId="1445393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05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3EB1707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Unaudited</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8344B84"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c>
                <w:tcPr>
                  <w:tcW w:w="205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4941C8F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Unaudited</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BC7868A" w14:textId="77777777" w:rsidR="00213131" w:rsidRPr="004D7A72" w:rsidRDefault="00213131" w:rsidP="00A65A6F">
                  <w:pPr>
                    <w:keepNext/>
                    <w:spacing w:before="0" w:after="0"/>
                    <w:jc w:val="left"/>
                    <w:rPr>
                      <w:rFonts w:asciiTheme="majorBidi" w:eastAsia="Ploni ML Medium AAA Medium" w:hAnsiTheme="majorBidi" w:cstheme="majorBidi"/>
                      <w:b/>
                      <w:color w:val="000000"/>
                      <w:sz w:val="18"/>
                      <w:szCs w:val="18"/>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0816208"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Audited</w:t>
                  </w:r>
                </w:p>
              </w:tc>
            </w:tr>
            <w:tr w:rsidR="00213131" w:rsidRPr="004D7A72" w14:paraId="06E94AE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0" w:type="dxa"/>
                    <w:right w:w="0" w:type="dxa"/>
                  </w:tcMar>
                  <w:vAlign w:val="bottom"/>
                </w:tcPr>
                <w:p w14:paraId="3BA5D9F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5160" w:type="dxa"/>
                  <w:gridSpan w:val="9"/>
                  <w:tcBorders>
                    <w:top w:val="nil"/>
                    <w:left w:val="nil"/>
                    <w:bottom w:val="single" w:sz="4" w:space="0" w:color="000000"/>
                    <w:right w:val="nil"/>
                    <w:tl2br w:val="nil"/>
                    <w:tr2bl w:val="nil"/>
                  </w:tcBorders>
                  <w:shd w:val="clear" w:color="auto" w:fill="auto"/>
                  <w:noWrap/>
                  <w:tcMar>
                    <w:left w:w="40" w:type="dxa"/>
                    <w:right w:w="40" w:type="dxa"/>
                  </w:tcMar>
                  <w:vAlign w:val="bottom"/>
                </w:tcPr>
                <w:p w14:paraId="64A772BB"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NIS million</w:t>
                  </w:r>
                </w:p>
              </w:tc>
            </w:tr>
            <w:tr w:rsidR="00213131" w:rsidRPr="004D7A72" w14:paraId="1C9FF8E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695" w:type="dxa"/>
                  <w:tcBorders>
                    <w:top w:val="nil"/>
                    <w:left w:val="nil"/>
                    <w:bottom w:val="nil"/>
                    <w:right w:val="nil"/>
                    <w:tl2br w:val="nil"/>
                    <w:tr2bl w:val="nil"/>
                  </w:tcBorders>
                  <w:shd w:val="clear" w:color="auto" w:fill="auto"/>
                  <w:noWrap/>
                  <w:tcMar>
                    <w:left w:w="40" w:type="dxa"/>
                    <w:right w:w="40" w:type="dxa"/>
                  </w:tcMar>
                  <w:vAlign w:val="bottom"/>
                </w:tcPr>
                <w:p w14:paraId="3EEB20A9"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Cash flows from operating activities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50DBB1"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090F83"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A4D1E2"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1494E9"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A175E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34EEC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B9AD5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3C13D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D0DC4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r>
            <w:tr w:rsidR="00213131" w:rsidRPr="004D7A72" w14:paraId="163B547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40" w:type="dxa"/>
                    <w:right w:w="40" w:type="dxa"/>
                  </w:tcMar>
                  <w:vAlign w:val="bottom"/>
                </w:tcPr>
                <w:p w14:paraId="401C464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Net profit (loss)</w:t>
                  </w: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7BFF60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504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A4DDF7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882437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(300)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8636D1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95D206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418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4B05AA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C9330C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5C245C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8FB280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(1,320)</w:t>
                  </w:r>
                </w:p>
              </w:tc>
            </w:tr>
            <w:tr w:rsidR="00213131" w:rsidRPr="004D7A72" w14:paraId="25F43F5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0" w:type="dxa"/>
                    <w:right w:w="0" w:type="dxa"/>
                  </w:tcMar>
                  <w:vAlign w:val="bottom"/>
                </w:tcPr>
                <w:p w14:paraId="7D23E40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4EF73A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1348D6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822A4E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41D19F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B7B0A9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A51996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7778CE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065CE5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CA9B79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06AD8C9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4695" w:type="dxa"/>
                  <w:tcBorders>
                    <w:top w:val="nil"/>
                    <w:left w:val="nil"/>
                    <w:bottom w:val="nil"/>
                    <w:right w:val="nil"/>
                    <w:tl2br w:val="nil"/>
                    <w:tr2bl w:val="nil"/>
                  </w:tcBorders>
                  <w:shd w:val="clear" w:color="auto" w:fill="auto"/>
                  <w:tcMar>
                    <w:left w:w="40" w:type="dxa"/>
                    <w:right w:w="40" w:type="dxa"/>
                  </w:tcMar>
                  <w:vAlign w:val="bottom"/>
                </w:tcPr>
                <w:p w14:paraId="262DFA1E"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Adjustments required for presentation of cash flows from current operations</w:t>
                  </w:r>
                  <w:r w:rsidRPr="004D7A72">
                    <w:rPr>
                      <w:rFonts w:asciiTheme="majorBidi" w:hAnsiTheme="majorBidi" w:cstheme="majorBidi"/>
                      <w:color w:val="000000"/>
                    </w:rPr>
                    <w:t xml:space="preserve"> </w:t>
                  </w:r>
                </w:p>
                <w:p w14:paraId="4CE115C2"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rPr>
                    <w:t xml:space="preserve">   </w:t>
                  </w: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720C8A8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62BD2E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3A46009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A918E8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2D168E1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554E9A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3594B6D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53608C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24FC860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359CB9D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0" w:type="dxa"/>
                    <w:right w:w="0" w:type="dxa"/>
                  </w:tcMar>
                  <w:vAlign w:val="bottom"/>
                </w:tcPr>
                <w:p w14:paraId="4AF62CA1"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611AFEC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3AD979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159CB67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811122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01F245F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673393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4D6627E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315B99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537E76B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09C2695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40" w:type="dxa"/>
                    <w:right w:w="40" w:type="dxa"/>
                  </w:tcMar>
                  <w:vAlign w:val="bottom"/>
                </w:tcPr>
                <w:p w14:paraId="5892873B"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Adjustments to profit or loss</w:t>
                  </w: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085AD4A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F9BD11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37B07C4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89D6AD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1A1998C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3069A6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0F5E3D4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D61C12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1A3BF8B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190B8E4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40" w:type="dxa"/>
                    <w:right w:w="40" w:type="dxa"/>
                  </w:tcMar>
                  <w:vAlign w:val="bottom"/>
                </w:tcPr>
                <w:p w14:paraId="0250F48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Financing expenses, net</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76C2579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573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8A6B5D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4E9BBBD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596</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7814DA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468C6B1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319</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3F4208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17909B1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248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19B404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5BFD21E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1,068</w:t>
                  </w:r>
                </w:p>
              </w:tc>
            </w:tr>
            <w:tr w:rsidR="00213131" w:rsidRPr="004D7A72" w14:paraId="71F5D30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695" w:type="dxa"/>
                  <w:tcBorders>
                    <w:top w:val="nil"/>
                    <w:left w:val="nil"/>
                    <w:bottom w:val="nil"/>
                    <w:right w:val="nil"/>
                    <w:tl2br w:val="nil"/>
                    <w:tr2bl w:val="nil"/>
                  </w:tcBorders>
                  <w:shd w:val="clear" w:color="auto" w:fill="auto"/>
                  <w:tcMar>
                    <w:left w:w="40" w:type="dxa"/>
                    <w:right w:w="40" w:type="dxa"/>
                  </w:tcMar>
                  <w:vAlign w:val="bottom"/>
                </w:tcPr>
                <w:p w14:paraId="6B5D824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Company’s share in losses (earnings) of equity-accounted investees, net </w:t>
                  </w:r>
                </w:p>
                <w:p w14:paraId="7D5B7A6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39741D5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(110)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696243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38F81FC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1E71DC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3A6E665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(107)</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859B60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64AA20B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(99)</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DB6AA7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13B716E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w:t>
                  </w:r>
                </w:p>
              </w:tc>
            </w:tr>
            <w:tr w:rsidR="00213131" w:rsidRPr="004D7A72" w14:paraId="36849F7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695" w:type="dxa"/>
                  <w:tcBorders>
                    <w:top w:val="nil"/>
                    <w:left w:val="nil"/>
                    <w:bottom w:val="nil"/>
                    <w:right w:val="nil"/>
                    <w:tl2br w:val="nil"/>
                    <w:tr2bl w:val="nil"/>
                  </w:tcBorders>
                  <w:shd w:val="clear" w:color="auto" w:fill="auto"/>
                  <w:tcMar>
                    <w:left w:w="40" w:type="dxa"/>
                    <w:right w:w="40" w:type="dxa"/>
                  </w:tcMar>
                  <w:vAlign w:val="bottom"/>
                </w:tcPr>
                <w:p w14:paraId="7EACFE0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Impairment (appreciation) in investment property and investment property under development, net </w:t>
                  </w:r>
                </w:p>
                <w:p w14:paraId="4D9AD1D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47705FC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(340)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D17EE4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5A1CD31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(293)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EDBD7A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72ECEC8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(344)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63A95C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109045F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(138)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9D8CC5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5D2383D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767</w:t>
                  </w:r>
                </w:p>
              </w:tc>
            </w:tr>
            <w:tr w:rsidR="00213131" w:rsidRPr="004D7A72" w14:paraId="4E41960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40" w:type="dxa"/>
                    <w:right w:w="40" w:type="dxa"/>
                  </w:tcMar>
                  <w:vAlign w:val="bottom"/>
                </w:tcPr>
                <w:p w14:paraId="18E6C7C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Depreciation and amortization</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688B5A4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51299E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75A7EDE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65F1B8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49AFC4B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71A5C9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495E40C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FE8EAB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65822E9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29</w:t>
                  </w:r>
                </w:p>
              </w:tc>
            </w:tr>
            <w:tr w:rsidR="00213131" w:rsidRPr="004D7A72" w14:paraId="2B54C32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40" w:type="dxa"/>
                    <w:right w:w="40" w:type="dxa"/>
                  </w:tcMar>
                  <w:vAlign w:val="bottom"/>
                </w:tcPr>
                <w:p w14:paraId="4525F94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Taxes on income</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5CD8744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6F29C9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546D446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37</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EE652F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650A0AB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D4952C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10F8E59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78CE17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32B3807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120</w:t>
                  </w:r>
                </w:p>
              </w:tc>
            </w:tr>
            <w:tr w:rsidR="00213131" w:rsidRPr="004D7A72" w14:paraId="0C4D67D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40" w:type="dxa"/>
                    <w:right w:w="40" w:type="dxa"/>
                  </w:tcMar>
                  <w:vAlign w:val="bottom"/>
                </w:tcPr>
                <w:p w14:paraId="6DCE97A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Other expenses (income), net</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299D23F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C7947B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23C03B6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674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0B399B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251BC26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4FE2F4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1669922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157</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B190C0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3AEF604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682</w:t>
                  </w:r>
                </w:p>
              </w:tc>
            </w:tr>
            <w:tr w:rsidR="00213131" w:rsidRPr="004D7A72" w14:paraId="2B1B74F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40" w:type="dxa"/>
                    <w:right w:w="40" w:type="dxa"/>
                  </w:tcMar>
                  <w:vAlign w:val="bottom"/>
                </w:tcPr>
                <w:p w14:paraId="1094CFF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Cost of share-based payment</w:t>
                  </w: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7F9EC3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9E73B5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6DC582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E2E274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BA4E21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F81B73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E5F6BD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DB7DD6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1B6C11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w:t>
                  </w:r>
                </w:p>
              </w:tc>
            </w:tr>
            <w:tr w:rsidR="00213131" w:rsidRPr="004D7A72" w14:paraId="1796617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0" w:type="dxa"/>
                    <w:right w:w="0" w:type="dxa"/>
                  </w:tcMar>
                  <w:vAlign w:val="bottom"/>
                </w:tcPr>
                <w:p w14:paraId="5763E6A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E93645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212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77E0E4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9F60F4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981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FB623E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98C962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16967A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13BB4E5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252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3B80D3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16DF824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2,673</w:t>
                  </w:r>
                </w:p>
              </w:tc>
            </w:tr>
            <w:tr w:rsidR="00213131" w:rsidRPr="004D7A72" w14:paraId="38289E5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40" w:type="dxa"/>
                    <w:right w:w="40" w:type="dxa"/>
                  </w:tcMar>
                  <w:vAlign w:val="bottom"/>
                </w:tcPr>
                <w:p w14:paraId="7F270E57"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Changes in items of assets and liabilities:</w:t>
                  </w: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85E0B3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AE09D6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604997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9806B0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E96F4F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040602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0B5896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F64974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10C190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08421BB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695" w:type="dxa"/>
                  <w:tcBorders>
                    <w:top w:val="nil"/>
                    <w:left w:val="nil"/>
                    <w:bottom w:val="nil"/>
                    <w:right w:val="nil"/>
                    <w:tl2br w:val="nil"/>
                    <w:tr2bl w:val="nil"/>
                  </w:tcBorders>
                  <w:shd w:val="clear" w:color="auto" w:fill="auto"/>
                  <w:tcMar>
                    <w:left w:w="40" w:type="dxa"/>
                    <w:right w:w="40" w:type="dxa"/>
                  </w:tcMar>
                  <w:vAlign w:val="bottom"/>
                </w:tcPr>
                <w:p w14:paraId="094E90E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Decrease (increase) in trade receivables and other receivables </w:t>
                  </w:r>
                </w:p>
                <w:p w14:paraId="26198A9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3CE798A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BD9176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72640CE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(59)</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350F4F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53D3180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185</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44D8C0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0E01BDF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(7)</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3E162E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289C1E4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(45)</w:t>
                  </w:r>
                </w:p>
              </w:tc>
            </w:tr>
            <w:tr w:rsidR="00213131" w:rsidRPr="004D7A72" w14:paraId="4857E6D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695" w:type="dxa"/>
                  <w:tcBorders>
                    <w:top w:val="nil"/>
                    <w:left w:val="nil"/>
                    <w:bottom w:val="nil"/>
                    <w:right w:val="nil"/>
                    <w:tl2br w:val="nil"/>
                    <w:tr2bl w:val="nil"/>
                  </w:tcBorders>
                  <w:shd w:val="clear" w:color="auto" w:fill="auto"/>
                  <w:tcMar>
                    <w:left w:w="40" w:type="dxa"/>
                    <w:right w:w="40" w:type="dxa"/>
                  </w:tcMar>
                  <w:vAlign w:val="bottom"/>
                </w:tcPr>
                <w:p w14:paraId="6B2D8BA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Increase (decrease) in trade and other payables </w:t>
                  </w:r>
                </w:p>
                <w:p w14:paraId="4D544A0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5A8FB2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(71)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EB9119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CE4ADB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BE81EF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2F9B8E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(152)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136A24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7FD228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(118)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522D55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45E14F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32</w:t>
                  </w:r>
                </w:p>
              </w:tc>
            </w:tr>
            <w:tr w:rsidR="00213131" w:rsidRPr="004D7A72" w14:paraId="5093AB4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0" w:type="dxa"/>
                    <w:right w:w="0" w:type="dxa"/>
                  </w:tcMar>
                  <w:vAlign w:val="bottom"/>
                </w:tcPr>
                <w:p w14:paraId="6F403B3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0E2BCCA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155D97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15854F3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(56)</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63C399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3F7AE69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8ED35A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F3018B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(125)</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331F90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F2B70D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(13)</w:t>
                  </w:r>
                </w:p>
              </w:tc>
            </w:tr>
            <w:tr w:rsidR="00213131" w:rsidRPr="004D7A72" w14:paraId="1606EE9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0" w:type="dxa"/>
                    <w:right w:w="0" w:type="dxa"/>
                  </w:tcMar>
                  <w:vAlign w:val="bottom"/>
                </w:tcPr>
                <w:p w14:paraId="4C1EF38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A722E8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96EF33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07645F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46740F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8351A7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844A73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CD0939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8BA1BA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6C3F12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553B5CC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695" w:type="dxa"/>
                  <w:tcBorders>
                    <w:top w:val="nil"/>
                    <w:left w:val="nil"/>
                    <w:bottom w:val="nil"/>
                    <w:right w:val="nil"/>
                    <w:tl2br w:val="nil"/>
                    <w:tr2bl w:val="nil"/>
                  </w:tcBorders>
                  <w:shd w:val="clear" w:color="auto" w:fill="auto"/>
                  <w:tcMar>
                    <w:left w:w="40" w:type="dxa"/>
                    <w:right w:w="40" w:type="dxa"/>
                  </w:tcMar>
                  <w:vAlign w:val="bottom"/>
                </w:tcPr>
                <w:p w14:paraId="22FCAC2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Net cash provided by operating activities before interest, dividend, and taxes </w:t>
                  </w:r>
                </w:p>
                <w:p w14:paraId="5265AAC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154DD1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769</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FB1DA6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514533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625</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7CA69B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B462C1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417</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E15E79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9633E8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225</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F62F92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2FCBF1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1,340</w:t>
                  </w:r>
                </w:p>
              </w:tc>
            </w:tr>
            <w:tr w:rsidR="00213131" w:rsidRPr="004D7A72" w14:paraId="504578C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0" w:type="dxa"/>
                    <w:right w:w="0" w:type="dxa"/>
                  </w:tcMar>
                  <w:vAlign w:val="bottom"/>
                </w:tcPr>
                <w:p w14:paraId="6162F11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BC8056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384188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DAE0A9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8DA613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CD01A5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690B2D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8298D3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D1A554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646AC1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0DCF999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40" w:type="dxa"/>
                    <w:right w:w="40" w:type="dxa"/>
                  </w:tcMar>
                  <w:vAlign w:val="bottom"/>
                </w:tcPr>
                <w:p w14:paraId="14382705"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Cash paid and received during the period for:</w:t>
                  </w: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493D966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AC0A27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2B26C63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99005C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753A612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BAF234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68E89D6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EEC418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0899C2B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29C4EF6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40" w:type="dxa"/>
                    <w:right w:w="40" w:type="dxa"/>
                  </w:tcMar>
                  <w:vAlign w:val="bottom"/>
                </w:tcPr>
                <w:p w14:paraId="7043BE5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Interest paid</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71E93DC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(416)</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BF4146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7DBE5DF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(317)</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B26FA2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7157CA7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(256)</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FFE18D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620B7DD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(171)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DE69DF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434784F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(767)</w:t>
                  </w:r>
                </w:p>
              </w:tc>
            </w:tr>
            <w:tr w:rsidR="00213131" w:rsidRPr="004D7A72" w14:paraId="22766F5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40" w:type="dxa"/>
                    <w:right w:w="40" w:type="dxa"/>
                  </w:tcMar>
                  <w:vAlign w:val="bottom"/>
                </w:tcPr>
                <w:p w14:paraId="0320AC3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Interest received</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177C82F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57</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EBA142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63A410C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39</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823AE3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7BDFD96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5A4720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20B74B2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2CA5A5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17F80F7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83</w:t>
                  </w:r>
                </w:p>
              </w:tc>
            </w:tr>
            <w:tr w:rsidR="00213131" w:rsidRPr="004D7A72" w14:paraId="1FE4602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40" w:type="dxa"/>
                    <w:right w:w="40" w:type="dxa"/>
                  </w:tcMar>
                  <w:vAlign w:val="bottom"/>
                </w:tcPr>
                <w:p w14:paraId="349978E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Dividends received</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7EBF0C4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246F70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777EBAE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29</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3D50C1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2F3D5C3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0079AF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1ED1190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6B8E6F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0E81AD5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33</w:t>
                  </w:r>
                </w:p>
              </w:tc>
            </w:tr>
            <w:tr w:rsidR="00213131" w:rsidRPr="004D7A72" w14:paraId="58FBB40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40" w:type="dxa"/>
                    <w:right w:w="40" w:type="dxa"/>
                  </w:tcMar>
                  <w:vAlign w:val="bottom"/>
                </w:tcPr>
                <w:p w14:paraId="1749F88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Taxes paid</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0BCF777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(140)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12784D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54213B0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(45)</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9E2311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158320D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(35)</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290BDB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65CBD46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79F431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13DE7A0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(64)</w:t>
                  </w:r>
                </w:p>
              </w:tc>
            </w:tr>
            <w:tr w:rsidR="00213131" w:rsidRPr="004D7A72" w14:paraId="2205162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40" w:type="dxa"/>
                    <w:right w:w="40" w:type="dxa"/>
                  </w:tcMar>
                  <w:vAlign w:val="bottom"/>
                </w:tcPr>
                <w:p w14:paraId="4B377DA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Taxes received</w:t>
                  </w: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ADCB0E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F7B9F6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4A00F0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B6E930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C0B78F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F2D6F0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D08653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61EA49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09D6A5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25</w:t>
                  </w:r>
                </w:p>
              </w:tc>
            </w:tr>
            <w:tr w:rsidR="00213131" w:rsidRPr="004D7A72" w14:paraId="18886F6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0" w:type="dxa"/>
                    <w:right w:w="0" w:type="dxa"/>
                  </w:tcMar>
                  <w:vAlign w:val="bottom"/>
                </w:tcPr>
                <w:p w14:paraId="383060E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3302BD1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(487)</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B1BD04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512EA5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(286)</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1B6148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13E6CF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(259)</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2E7051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3BC220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(121)</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371F6A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610408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(690)</w:t>
                  </w:r>
                </w:p>
              </w:tc>
            </w:tr>
            <w:tr w:rsidR="00213131" w:rsidRPr="004D7A72" w14:paraId="30E8CA5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0" w:type="dxa"/>
                    <w:right w:w="0" w:type="dxa"/>
                  </w:tcMar>
                  <w:vAlign w:val="bottom"/>
                </w:tcPr>
                <w:p w14:paraId="4526C5F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B86799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0F45BC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97259F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2F2C6E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6C65CA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2DD0B0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4FC99E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9AA148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CE178E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5D4AD8D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695" w:type="dxa"/>
                  <w:tcBorders>
                    <w:top w:val="nil"/>
                    <w:left w:val="nil"/>
                    <w:bottom w:val="nil"/>
                    <w:right w:val="nil"/>
                    <w:tl2br w:val="nil"/>
                    <w:tr2bl w:val="nil"/>
                  </w:tcBorders>
                  <w:shd w:val="clear" w:color="auto" w:fill="auto"/>
                  <w:tcMar>
                    <w:left w:w="40" w:type="dxa"/>
                    <w:right w:w="40" w:type="dxa"/>
                  </w:tcMar>
                  <w:vAlign w:val="bottom"/>
                </w:tcPr>
                <w:p w14:paraId="6DA6D52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Net cash from operating activities </w:t>
                  </w:r>
                </w:p>
                <w:p w14:paraId="344B19F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02F335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282</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6DD1E6B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88E328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339</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235831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9F2001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158</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3FA2ED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FE31E8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71724F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DF2F91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650</w:t>
                  </w:r>
                </w:p>
              </w:tc>
            </w:tr>
            <w:tr w:rsidR="00213131" w:rsidRPr="004D7A72" w14:paraId="400187B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695" w:type="dxa"/>
                  <w:tcBorders>
                    <w:top w:val="nil"/>
                    <w:left w:val="nil"/>
                    <w:bottom w:val="nil"/>
                    <w:right w:val="nil"/>
                    <w:tl2br w:val="nil"/>
                    <w:tr2bl w:val="nil"/>
                  </w:tcBorders>
                  <w:shd w:val="clear" w:color="auto" w:fill="auto"/>
                  <w:noWrap/>
                  <w:tcMar>
                    <w:left w:w="0" w:type="dxa"/>
                    <w:right w:w="0" w:type="dxa"/>
                  </w:tcMar>
                  <w:vAlign w:val="bottom"/>
                </w:tcPr>
                <w:p w14:paraId="1B6EC3F9"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60DC9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5FB11A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E0FF1E"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1A81EB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AFB717"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50FA7F3"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AAFC44"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E9C9CE9"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3C792E"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r>
            <w:tr w:rsidR="00213131" w:rsidRPr="004D7A72" w14:paraId="1104A58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9855" w:type="dxa"/>
                  <w:gridSpan w:val="10"/>
                  <w:tcBorders>
                    <w:top w:val="nil"/>
                    <w:left w:val="nil"/>
                    <w:bottom w:val="nil"/>
                    <w:right w:val="nil"/>
                    <w:tl2br w:val="nil"/>
                    <w:tr2bl w:val="nil"/>
                  </w:tcBorders>
                  <w:shd w:val="clear" w:color="auto" w:fill="auto"/>
                  <w:noWrap/>
                  <w:tcMar>
                    <w:left w:w="40" w:type="dxa"/>
                    <w:right w:w="40" w:type="dxa"/>
                  </w:tcMar>
                  <w:vAlign w:val="bottom"/>
                </w:tcPr>
                <w:p w14:paraId="15C0658E"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The accompanying notes constitute an integral part of these consolidated interim financial statements.</w:t>
                  </w:r>
                </w:p>
              </w:tc>
            </w:tr>
          </w:tbl>
          <w:p w14:paraId="7A4F9EBC" w14:textId="77777777" w:rsidR="00213131" w:rsidRPr="004D7A72" w:rsidRDefault="00213131" w:rsidP="00A65A6F">
            <w:pPr>
              <w:rPr>
                <w:rFonts w:asciiTheme="majorBidi" w:hAnsiTheme="majorBidi" w:cstheme="majorBidi"/>
              </w:rPr>
            </w:pPr>
          </w:p>
        </w:tc>
      </w:tr>
    </w:tbl>
    <w:p w14:paraId="43F1D66C" w14:textId="77777777" w:rsidR="00213131" w:rsidRPr="004D7A72" w:rsidRDefault="00213131" w:rsidP="00213131">
      <w:pPr>
        <w:spacing w:before="0" w:after="0"/>
        <w:jc w:val="left"/>
        <w:rPr>
          <w:rFonts w:asciiTheme="majorBidi" w:hAnsiTheme="majorBidi" w:cstheme="majorBidi"/>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213131" w:rsidRPr="004D7A72" w14:paraId="60EAFF13" w14:textId="77777777" w:rsidTr="004D7A72">
        <w:trPr>
          <w:cantSplit/>
          <w:trHeight w:val="1979"/>
        </w:trPr>
        <w:tc>
          <w:tcPr>
            <w:tcW w:w="10137" w:type="dxa"/>
          </w:tcPr>
          <w:tbl>
            <w:tblPr>
              <w:tblStyle w:val="CDMRange2"/>
              <w:tblW w:w="9945" w:type="dxa"/>
              <w:tblLook w:val="0600" w:firstRow="0" w:lastRow="0" w:firstColumn="0" w:lastColumn="0" w:noHBand="1" w:noVBand="1"/>
            </w:tblPr>
            <w:tblGrid>
              <w:gridCol w:w="4468"/>
              <w:gridCol w:w="978"/>
              <w:gridCol w:w="141"/>
              <w:gridCol w:w="978"/>
              <w:gridCol w:w="141"/>
              <w:gridCol w:w="978"/>
              <w:gridCol w:w="141"/>
              <w:gridCol w:w="978"/>
              <w:gridCol w:w="141"/>
              <w:gridCol w:w="978"/>
            </w:tblGrid>
            <w:tr w:rsidR="00213131" w:rsidRPr="004D7A72" w14:paraId="1112C291" w14:textId="77777777" w:rsidTr="00A65A6F">
              <w:trPr>
                <w:cantSplit/>
                <w:trHeight w:val="282"/>
              </w:trPr>
              <w:tc>
                <w:tcPr>
                  <w:tcW w:w="4785" w:type="dxa"/>
                  <w:tcBorders>
                    <w:top w:val="nil"/>
                    <w:left w:val="nil"/>
                    <w:bottom w:val="nil"/>
                    <w:right w:val="nil"/>
                    <w:tl2br w:val="nil"/>
                    <w:tr2bl w:val="nil"/>
                  </w:tcBorders>
                  <w:shd w:val="clear" w:color="auto" w:fill="auto"/>
                  <w:noWrap/>
                  <w:tcMar>
                    <w:left w:w="0" w:type="dxa"/>
                    <w:right w:w="0" w:type="dxa"/>
                  </w:tcMar>
                  <w:vAlign w:val="bottom"/>
                </w:tcPr>
                <w:p w14:paraId="2FBBC66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055"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51B716BD"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 xml:space="preserve">Six months ended </w:t>
                  </w:r>
                </w:p>
                <w:p w14:paraId="77F028C6"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June 30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3592525"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c>
                <w:tcPr>
                  <w:tcW w:w="2055"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1DF2E7F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 xml:space="preserve">Three months ended </w:t>
                  </w:r>
                </w:p>
                <w:p w14:paraId="0AB9BB50"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June 30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253919B"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c>
                <w:tcPr>
                  <w:tcW w:w="1020" w:type="dxa"/>
                  <w:tcBorders>
                    <w:top w:val="nil"/>
                    <w:left w:val="nil"/>
                    <w:bottom w:val="nil"/>
                    <w:right w:val="nil"/>
                    <w:tl2br w:val="nil"/>
                    <w:tr2bl w:val="nil"/>
                  </w:tcBorders>
                  <w:shd w:val="clear" w:color="auto" w:fill="auto"/>
                  <w:tcMar>
                    <w:left w:w="43" w:type="dxa"/>
                    <w:right w:w="43" w:type="dxa"/>
                  </w:tcMar>
                  <w:vAlign w:val="bottom"/>
                </w:tcPr>
                <w:p w14:paraId="2B059ADC"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Year ended December 31</w:t>
                  </w:r>
                </w:p>
              </w:tc>
            </w:tr>
            <w:tr w:rsidR="00213131" w:rsidRPr="004D7A72" w14:paraId="296CE3E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0" w:type="dxa"/>
                    <w:right w:w="0" w:type="dxa"/>
                  </w:tcMar>
                  <w:vAlign w:val="bottom"/>
                </w:tcPr>
                <w:p w14:paraId="17BEE39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112D99BB"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2024</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6F632B"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553C1FFE"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2023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EA43607"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7CB993D0"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2024</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689AB4"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2603ED3E"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2023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FB1351E"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020" w:type="dxa"/>
                  <w:tcBorders>
                    <w:top w:val="nil"/>
                    <w:left w:val="nil"/>
                    <w:bottom w:val="single" w:sz="4" w:space="0" w:color="000000"/>
                    <w:right w:val="nil"/>
                    <w:tl2br w:val="nil"/>
                    <w:tr2bl w:val="nil"/>
                  </w:tcBorders>
                  <w:shd w:val="clear" w:color="auto" w:fill="auto"/>
                  <w:noWrap/>
                  <w:tcMar>
                    <w:left w:w="43" w:type="dxa"/>
                    <w:right w:w="43" w:type="dxa"/>
                  </w:tcMar>
                  <w:vAlign w:val="bottom"/>
                </w:tcPr>
                <w:p w14:paraId="4C4FB8AF"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2023</w:t>
                  </w:r>
                </w:p>
              </w:tc>
            </w:tr>
            <w:tr w:rsidR="00213131" w:rsidRPr="004D7A72" w14:paraId="27AC10A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0" w:type="dxa"/>
                    <w:right w:w="0" w:type="dxa"/>
                  </w:tcMar>
                  <w:vAlign w:val="bottom"/>
                </w:tcPr>
                <w:p w14:paraId="5170A01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055" w:type="dxa"/>
                  <w:gridSpan w:val="3"/>
                  <w:tcBorders>
                    <w:top w:val="nil"/>
                    <w:left w:val="nil"/>
                    <w:bottom w:val="single" w:sz="4" w:space="0" w:color="000000"/>
                    <w:right w:val="nil"/>
                    <w:tl2br w:val="nil"/>
                    <w:tr2bl w:val="nil"/>
                  </w:tcBorders>
                  <w:shd w:val="clear" w:color="auto" w:fill="auto"/>
                  <w:noWrap/>
                  <w:tcMar>
                    <w:left w:w="43" w:type="dxa"/>
                    <w:right w:w="43" w:type="dxa"/>
                  </w:tcMar>
                  <w:vAlign w:val="bottom"/>
                </w:tcPr>
                <w:p w14:paraId="68BB4808"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Unaudited</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3C75064"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c>
                <w:tcPr>
                  <w:tcW w:w="2055" w:type="dxa"/>
                  <w:gridSpan w:val="3"/>
                  <w:tcBorders>
                    <w:top w:val="nil"/>
                    <w:left w:val="nil"/>
                    <w:bottom w:val="single" w:sz="4" w:space="0" w:color="000000"/>
                    <w:right w:val="nil"/>
                    <w:tl2br w:val="nil"/>
                    <w:tr2bl w:val="nil"/>
                  </w:tcBorders>
                  <w:shd w:val="clear" w:color="auto" w:fill="auto"/>
                  <w:noWrap/>
                  <w:tcMar>
                    <w:left w:w="43" w:type="dxa"/>
                    <w:right w:w="43" w:type="dxa"/>
                  </w:tcMar>
                  <w:vAlign w:val="bottom"/>
                </w:tcPr>
                <w:p w14:paraId="40640556"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Unaudited</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82D9B91" w14:textId="77777777" w:rsidR="00213131" w:rsidRPr="004D7A72" w:rsidRDefault="00213131" w:rsidP="00A65A6F">
                  <w:pPr>
                    <w:keepNext/>
                    <w:spacing w:before="0" w:after="0"/>
                    <w:jc w:val="left"/>
                    <w:rPr>
                      <w:rFonts w:asciiTheme="majorBidi" w:eastAsia="Ploni ML Medium AAA Medium" w:hAnsiTheme="majorBidi" w:cstheme="majorBidi"/>
                      <w:b/>
                      <w:color w:val="000000"/>
                      <w:sz w:val="18"/>
                      <w:szCs w:val="18"/>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68B5F605"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Audited</w:t>
                  </w:r>
                </w:p>
              </w:tc>
            </w:tr>
            <w:tr w:rsidR="00213131" w:rsidRPr="004D7A72" w14:paraId="430CF59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0" w:type="dxa"/>
                    <w:right w:w="0" w:type="dxa"/>
                  </w:tcMar>
                  <w:vAlign w:val="bottom"/>
                </w:tcPr>
                <w:p w14:paraId="0F08CE8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5160" w:type="dxa"/>
                  <w:gridSpan w:val="9"/>
                  <w:tcBorders>
                    <w:top w:val="nil"/>
                    <w:left w:val="nil"/>
                    <w:bottom w:val="single" w:sz="4" w:space="0" w:color="000000"/>
                    <w:right w:val="nil"/>
                    <w:tl2br w:val="nil"/>
                    <w:tr2bl w:val="nil"/>
                  </w:tcBorders>
                  <w:shd w:val="clear" w:color="auto" w:fill="auto"/>
                  <w:noWrap/>
                  <w:tcMar>
                    <w:left w:w="43" w:type="dxa"/>
                    <w:right w:w="43" w:type="dxa"/>
                  </w:tcMar>
                  <w:vAlign w:val="bottom"/>
                </w:tcPr>
                <w:p w14:paraId="5FE72F43"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NIS million</w:t>
                  </w:r>
                </w:p>
              </w:tc>
            </w:tr>
            <w:tr w:rsidR="00213131" w:rsidRPr="004D7A72" w14:paraId="6B0F2B5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785" w:type="dxa"/>
                  <w:tcBorders>
                    <w:top w:val="nil"/>
                    <w:left w:val="nil"/>
                    <w:bottom w:val="nil"/>
                    <w:right w:val="nil"/>
                    <w:tl2br w:val="nil"/>
                    <w:tr2bl w:val="nil"/>
                  </w:tcBorders>
                  <w:shd w:val="clear" w:color="auto" w:fill="auto"/>
                  <w:noWrap/>
                  <w:tcMar>
                    <w:left w:w="43" w:type="dxa"/>
                    <w:right w:w="43" w:type="dxa"/>
                  </w:tcMar>
                  <w:vAlign w:val="bottom"/>
                </w:tcPr>
                <w:p w14:paraId="63371419"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Cash flows from investment activities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0AE649"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316B3D"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EBF281"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C3158E"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1EC87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FE76C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202E9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A8902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AF099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r>
            <w:tr w:rsidR="00213131" w:rsidRPr="004D7A72" w14:paraId="6A64E73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43" w:type="dxa"/>
                    <w:right w:w="43" w:type="dxa"/>
                  </w:tcMar>
                  <w:vAlign w:val="bottom"/>
                </w:tcPr>
                <w:p w14:paraId="3FFE616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Investments and loans to investees</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1CEB7A4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(9)</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0BE785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761B822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85E4A7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745ADD8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5CF1E71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473AAC2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30EA3AD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24E1181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(39)</w:t>
                  </w:r>
                </w:p>
              </w:tc>
            </w:tr>
            <w:tr w:rsidR="00213131" w:rsidRPr="004D7A72" w14:paraId="598C5A1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43" w:type="dxa"/>
                    <w:right w:w="43" w:type="dxa"/>
                  </w:tcMar>
                  <w:vAlign w:val="bottom"/>
                </w:tcPr>
                <w:p w14:paraId="3C080FA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Acquisition, construction, and development of investment property</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1C4DB3F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(249)</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BFCED7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612E713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(1,008)</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4DBAA21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BE985B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(96)</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8BC18F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315D6B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(434)</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7DB7D1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3A5B3EF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(1,491)</w:t>
                  </w:r>
                </w:p>
              </w:tc>
            </w:tr>
            <w:tr w:rsidR="00213131" w:rsidRPr="004D7A72" w14:paraId="0A29611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43" w:type="dxa"/>
                    <w:right w:w="43" w:type="dxa"/>
                  </w:tcMar>
                  <w:vAlign w:val="bottom"/>
                </w:tcPr>
                <w:p w14:paraId="7868C03A" w14:textId="781F128E" w:rsidR="00213131" w:rsidRPr="004D7A72" w:rsidRDefault="004D7A72"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Investments in</w:t>
                  </w:r>
                  <w:r w:rsidR="00213131" w:rsidRPr="004D7A72">
                    <w:rPr>
                      <w:rFonts w:asciiTheme="majorBidi" w:hAnsiTheme="majorBidi" w:cstheme="majorBidi"/>
                      <w:color w:val="000000"/>
                    </w:rPr>
                    <w:t xml:space="preserve"> property, plant and equipment and other assets</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65A360C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47C4F8A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6A830AC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(12)</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40409F4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A2A2DE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F2E92C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8C1190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2E9373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77F842D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(29)</w:t>
                  </w:r>
                </w:p>
              </w:tc>
            </w:tr>
            <w:tr w:rsidR="00213131" w:rsidRPr="004D7A72" w14:paraId="1BF3605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43" w:type="dxa"/>
                    <w:right w:w="43" w:type="dxa"/>
                  </w:tcMar>
                  <w:vAlign w:val="bottom"/>
                </w:tcPr>
                <w:p w14:paraId="707D81B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Proceeds from the sale of investment property net of tax paid</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19E75B8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569</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5BAFD7B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3F3306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956</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23944CE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B5765A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94</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32E39DC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612964B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617</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C089C0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4156046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1,386</w:t>
                  </w:r>
                </w:p>
              </w:tc>
            </w:tr>
            <w:tr w:rsidR="00213131" w:rsidRPr="004D7A72" w14:paraId="7E3CC9B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43" w:type="dxa"/>
                    <w:right w:w="43" w:type="dxa"/>
                  </w:tcMar>
                  <w:vAlign w:val="bottom"/>
                </w:tcPr>
                <w:p w14:paraId="62C3FF0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Proceeds from the sale of fixed assets</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141AF74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98D027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61A42E0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2868F1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2F2D642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B68793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7200457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F76EA4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6006C19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27</w:t>
                  </w:r>
                </w:p>
              </w:tc>
            </w:tr>
            <w:tr w:rsidR="00213131" w:rsidRPr="004D7A72" w14:paraId="338C608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43" w:type="dxa"/>
                    <w:right w:w="43" w:type="dxa"/>
                  </w:tcMar>
                  <w:vAlign w:val="bottom"/>
                </w:tcPr>
                <w:p w14:paraId="7D135CD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Grant of long-term loans</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6ADDFC4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123E49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39065D7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(123)</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443D40F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7CF1A17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5CCD11E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423393B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4FB6CF6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333FD99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(123)</w:t>
                  </w:r>
                </w:p>
              </w:tc>
            </w:tr>
            <w:tr w:rsidR="00213131" w:rsidRPr="004D7A72" w14:paraId="0ABB36D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43" w:type="dxa"/>
                    <w:right w:w="43" w:type="dxa"/>
                  </w:tcMar>
                  <w:vAlign w:val="bottom"/>
                </w:tcPr>
                <w:p w14:paraId="2B5F3A7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Repayment of long-term loans</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7F52958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E3F8C5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6F81B9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747EB0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1D0FCCE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234624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2EAC208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C67CA5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54CAFF9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116</w:t>
                  </w:r>
                </w:p>
              </w:tc>
            </w:tr>
            <w:tr w:rsidR="00213131" w:rsidRPr="004D7A72" w14:paraId="06C95E1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785" w:type="dxa"/>
                  <w:tcBorders>
                    <w:top w:val="nil"/>
                    <w:left w:val="nil"/>
                    <w:bottom w:val="nil"/>
                    <w:right w:val="nil"/>
                    <w:tl2br w:val="nil"/>
                    <w:tr2bl w:val="nil"/>
                  </w:tcBorders>
                  <w:shd w:val="clear" w:color="auto" w:fill="auto"/>
                  <w:tcMar>
                    <w:left w:w="43" w:type="dxa"/>
                    <w:right w:w="43" w:type="dxa"/>
                  </w:tcMar>
                  <w:vAlign w:val="bottom"/>
                </w:tcPr>
                <w:p w14:paraId="4B33B5C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Proceeds from the sale of financial assets and withdrawal of deposits, net of tax paid </w:t>
                  </w:r>
                </w:p>
                <w:p w14:paraId="19D1DE8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02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3519F5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15</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D5B2B2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D92F00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135</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90FF2C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3E062E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23FFA4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B709FD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21</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AB13AE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C2E499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215</w:t>
                  </w:r>
                </w:p>
              </w:tc>
            </w:tr>
            <w:tr w:rsidR="00213131" w:rsidRPr="004D7A72" w14:paraId="178E74B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785" w:type="dxa"/>
                  <w:tcBorders>
                    <w:top w:val="nil"/>
                    <w:left w:val="nil"/>
                    <w:bottom w:val="nil"/>
                    <w:right w:val="nil"/>
                    <w:tl2br w:val="nil"/>
                    <w:tr2bl w:val="nil"/>
                  </w:tcBorders>
                  <w:shd w:val="clear" w:color="auto" w:fill="auto"/>
                  <w:tcMar>
                    <w:left w:w="43" w:type="dxa"/>
                    <w:right w:w="43" w:type="dxa"/>
                  </w:tcMar>
                  <w:vAlign w:val="bottom"/>
                </w:tcPr>
                <w:p w14:paraId="762AD84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Net cash flows from (used in) investment activities</w:t>
                  </w: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64B8837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327</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59884B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1728061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(52)</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57EA79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16F0937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265611E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4EF8897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204</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2FBE012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273E2E9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62</w:t>
                  </w:r>
                </w:p>
              </w:tc>
            </w:tr>
            <w:tr w:rsidR="00213131" w:rsidRPr="004D7A72" w14:paraId="3B3D5F2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0" w:type="dxa"/>
                    <w:right w:w="0" w:type="dxa"/>
                  </w:tcMar>
                  <w:vAlign w:val="bottom"/>
                </w:tcPr>
                <w:p w14:paraId="4F20F8E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EF9C75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F61B73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2BD911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2D7310D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259F5E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403A702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CEEA4C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A350B4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FFDEB6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56DA375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785" w:type="dxa"/>
                  <w:tcBorders>
                    <w:top w:val="nil"/>
                    <w:left w:val="nil"/>
                    <w:bottom w:val="nil"/>
                    <w:right w:val="nil"/>
                    <w:tl2br w:val="nil"/>
                    <w:tr2bl w:val="nil"/>
                  </w:tcBorders>
                  <w:shd w:val="clear" w:color="auto" w:fill="auto"/>
                  <w:noWrap/>
                  <w:tcMar>
                    <w:left w:w="43" w:type="dxa"/>
                    <w:right w:w="43" w:type="dxa"/>
                  </w:tcMar>
                  <w:vAlign w:val="bottom"/>
                </w:tcPr>
                <w:p w14:paraId="3C7861F7"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Cash flow from financing activities</w:t>
                  </w: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715311C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ADED3D8"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7171CE5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3607089A"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46E1B99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5C9A825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2E8645C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030A44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151B640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61B488C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43" w:type="dxa"/>
                    <w:right w:w="43" w:type="dxa"/>
                  </w:tcMar>
                  <w:vAlign w:val="bottom"/>
                </w:tcPr>
                <w:p w14:paraId="0C89DEA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Issue of share capital and options (less issue costs)</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20302CB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32F9C0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482947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150</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20854DF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350C452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32C50BB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4C5FF1B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7C962E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23E34AA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150</w:t>
                  </w:r>
                </w:p>
              </w:tc>
            </w:tr>
            <w:tr w:rsidR="00213131" w:rsidRPr="004D7A72" w14:paraId="1E3D73B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43" w:type="dxa"/>
                    <w:right w:w="43" w:type="dxa"/>
                  </w:tcMar>
                  <w:vAlign w:val="bottom"/>
                </w:tcPr>
                <w:p w14:paraId="65EFB0B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Exercise of warrants for Company shares</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375AB9A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2E9090A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7B0A733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5AF209C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126EBFA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3DBA929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3996F53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F4AF01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28E96E6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r>
            <w:tr w:rsidR="00213131" w:rsidRPr="004D7A72" w14:paraId="4BD017F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43" w:type="dxa"/>
                    <w:right w:w="43" w:type="dxa"/>
                  </w:tcMar>
                  <w:vAlign w:val="bottom"/>
                </w:tcPr>
                <w:p w14:paraId="368CBE1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Acquisition of treasury shares</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50667D2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(10)</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6DC55D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4DD567E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EFEEF9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653B41C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(10)</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2D5891F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39E5976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37EE84B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5465433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r>
            <w:tr w:rsidR="00213131" w:rsidRPr="004D7A72" w14:paraId="3E1015B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785" w:type="dxa"/>
                  <w:tcBorders>
                    <w:top w:val="nil"/>
                    <w:left w:val="nil"/>
                    <w:bottom w:val="nil"/>
                    <w:right w:val="nil"/>
                    <w:tl2br w:val="nil"/>
                    <w:tr2bl w:val="nil"/>
                  </w:tcBorders>
                  <w:shd w:val="clear" w:color="auto" w:fill="auto"/>
                  <w:tcMar>
                    <w:left w:w="43" w:type="dxa"/>
                    <w:right w:w="43" w:type="dxa"/>
                  </w:tcMar>
                  <w:vAlign w:val="bottom"/>
                </w:tcPr>
                <w:p w14:paraId="0934B5DA" w14:textId="69925248"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Acquisition of non-controlling interests and </w:t>
                  </w:r>
                  <w:r w:rsidR="008A500C">
                    <w:rPr>
                      <w:rFonts w:asciiTheme="majorBidi" w:hAnsiTheme="majorBidi" w:cstheme="majorBidi"/>
                      <w:color w:val="000000"/>
                    </w:rPr>
                    <w:t>IPO</w:t>
                  </w:r>
                  <w:r w:rsidRPr="004D7A72">
                    <w:rPr>
                      <w:rFonts w:asciiTheme="majorBidi" w:hAnsiTheme="majorBidi" w:cstheme="majorBidi"/>
                      <w:color w:val="000000"/>
                    </w:rPr>
                    <w:t xml:space="preserve"> of subsidiary</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4631327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327</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86A5AB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5326397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C77DCD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1D6087B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B4430E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2215068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BA939F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4622BF4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r>
            <w:tr w:rsidR="00213131" w:rsidRPr="004D7A72" w14:paraId="0F6C019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785" w:type="dxa"/>
                  <w:tcBorders>
                    <w:top w:val="nil"/>
                    <w:left w:val="nil"/>
                    <w:bottom w:val="nil"/>
                    <w:right w:val="nil"/>
                    <w:tl2br w:val="nil"/>
                    <w:tr2bl w:val="nil"/>
                  </w:tcBorders>
                  <w:shd w:val="clear" w:color="auto" w:fill="auto"/>
                  <w:tcMar>
                    <w:left w:w="43" w:type="dxa"/>
                    <w:right w:w="43" w:type="dxa"/>
                  </w:tcMar>
                  <w:vAlign w:val="bottom"/>
                </w:tcPr>
                <w:p w14:paraId="0A1E56B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Dividend paid to Company shareholders</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48F2662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645C9A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E56ADB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(53)</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2E53245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46A5F5C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7D364E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33D3E5C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3233C5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59CFAEA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(53)</w:t>
                  </w:r>
                </w:p>
              </w:tc>
            </w:tr>
            <w:tr w:rsidR="00213131" w:rsidRPr="004D7A72" w14:paraId="4889E95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785" w:type="dxa"/>
                  <w:tcBorders>
                    <w:top w:val="nil"/>
                    <w:left w:val="nil"/>
                    <w:bottom w:val="nil"/>
                    <w:right w:val="nil"/>
                    <w:tl2br w:val="nil"/>
                    <w:tr2bl w:val="nil"/>
                  </w:tcBorders>
                  <w:shd w:val="clear" w:color="auto" w:fill="auto"/>
                  <w:tcMar>
                    <w:left w:w="43" w:type="dxa"/>
                    <w:right w:w="43" w:type="dxa"/>
                  </w:tcMar>
                  <w:vAlign w:val="bottom"/>
                </w:tcPr>
                <w:p w14:paraId="3D864EF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Dividend paid to holders of non-controlling interests</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6490CB7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(64)</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21D9D39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3C9644E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(78)</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BDD587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25976F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(31)</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3DAAAEA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57FBEA5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(40)</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6597D4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62288B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(164)</w:t>
                  </w:r>
                </w:p>
              </w:tc>
            </w:tr>
            <w:tr w:rsidR="00213131" w:rsidRPr="004D7A72" w14:paraId="71FA548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785" w:type="dxa"/>
                  <w:tcBorders>
                    <w:top w:val="nil"/>
                    <w:left w:val="nil"/>
                    <w:bottom w:val="nil"/>
                    <w:right w:val="nil"/>
                    <w:tl2br w:val="nil"/>
                    <w:tr2bl w:val="nil"/>
                  </w:tcBorders>
                  <w:shd w:val="clear" w:color="auto" w:fill="auto"/>
                  <w:tcMar>
                    <w:left w:w="43" w:type="dxa"/>
                    <w:right w:w="43" w:type="dxa"/>
                  </w:tcMar>
                  <w:vAlign w:val="bottom"/>
                </w:tcPr>
                <w:p w14:paraId="6DCA4CF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Receipt of long-term loans</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4F81BD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650</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3D51CFA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698998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1,351</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2747AC8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3B2D65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650</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ED5A7E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659698F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982</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5D770BF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3B13644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1,812</w:t>
                  </w:r>
                </w:p>
              </w:tc>
            </w:tr>
            <w:tr w:rsidR="00213131" w:rsidRPr="004D7A72" w14:paraId="6A720DE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785" w:type="dxa"/>
                  <w:tcBorders>
                    <w:top w:val="nil"/>
                    <w:left w:val="nil"/>
                    <w:bottom w:val="nil"/>
                    <w:right w:val="nil"/>
                    <w:tl2br w:val="nil"/>
                    <w:tr2bl w:val="nil"/>
                  </w:tcBorders>
                  <w:shd w:val="clear" w:color="auto" w:fill="auto"/>
                  <w:tcMar>
                    <w:left w:w="43" w:type="dxa"/>
                    <w:right w:w="43" w:type="dxa"/>
                  </w:tcMar>
                  <w:vAlign w:val="bottom"/>
                </w:tcPr>
                <w:p w14:paraId="2B889D8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Repayment of long-term loans</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330EF9A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(361)</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08CB12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1074AFB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(61)</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7868A3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2F719F2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(349)</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34F2501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4EF838E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(54)</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23ACFED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3EB96C0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(211)</w:t>
                  </w:r>
                </w:p>
              </w:tc>
            </w:tr>
            <w:tr w:rsidR="00213131" w:rsidRPr="004D7A72" w14:paraId="7204C03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785" w:type="dxa"/>
                  <w:tcBorders>
                    <w:top w:val="nil"/>
                    <w:left w:val="nil"/>
                    <w:bottom w:val="nil"/>
                    <w:right w:val="nil"/>
                    <w:tl2br w:val="nil"/>
                    <w:tr2bl w:val="nil"/>
                  </w:tcBorders>
                  <w:shd w:val="clear" w:color="auto" w:fill="auto"/>
                  <w:tcMar>
                    <w:left w:w="43" w:type="dxa"/>
                    <w:right w:w="43" w:type="dxa"/>
                  </w:tcMar>
                  <w:vAlign w:val="bottom"/>
                </w:tcPr>
                <w:p w14:paraId="348D1E9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Receipt (repayment) of long-term credit from banks, net </w:t>
                  </w:r>
                </w:p>
                <w:p w14:paraId="24DAF9A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7FA8F02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(774)</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F1222F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45D4686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(478)</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0B6D96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1BEA93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(366)</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A6EA5A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51D5FAF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492</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90A2B5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362CDC1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469</w:t>
                  </w:r>
                </w:p>
              </w:tc>
            </w:tr>
            <w:tr w:rsidR="00213131" w:rsidRPr="004D7A72" w14:paraId="10465BA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785" w:type="dxa"/>
                  <w:tcBorders>
                    <w:top w:val="nil"/>
                    <w:left w:val="nil"/>
                    <w:bottom w:val="nil"/>
                    <w:right w:val="nil"/>
                    <w:tl2br w:val="nil"/>
                    <w:tr2bl w:val="nil"/>
                  </w:tcBorders>
                  <w:shd w:val="clear" w:color="auto" w:fill="auto"/>
                  <w:tcMar>
                    <w:left w:w="43" w:type="dxa"/>
                    <w:right w:w="43" w:type="dxa"/>
                  </w:tcMar>
                  <w:vAlign w:val="bottom"/>
                </w:tcPr>
                <w:p w14:paraId="3B4DDD1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Receipt (repayment) of short-term credit from banks, net</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352855C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81</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76EE47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243FA62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(128)</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38D55EB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6C9E54D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81</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12979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7F34471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(315)</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397D4E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42CEBD7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(848)</w:t>
                  </w:r>
                </w:p>
              </w:tc>
            </w:tr>
            <w:tr w:rsidR="00213131" w:rsidRPr="004D7A72" w14:paraId="7BE48D1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785" w:type="dxa"/>
                  <w:tcBorders>
                    <w:top w:val="nil"/>
                    <w:left w:val="nil"/>
                    <w:bottom w:val="nil"/>
                    <w:right w:val="nil"/>
                    <w:tl2br w:val="nil"/>
                    <w:tr2bl w:val="nil"/>
                  </w:tcBorders>
                  <w:shd w:val="clear" w:color="auto" w:fill="auto"/>
                  <w:tcMar>
                    <w:left w:w="43" w:type="dxa"/>
                    <w:right w:w="43" w:type="dxa"/>
                  </w:tcMar>
                  <w:vAlign w:val="bottom"/>
                </w:tcPr>
                <w:p w14:paraId="76364FE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Early payment and redemption of debentures</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1CA4735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(2,394)</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BEA88D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1F90294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(1,450)</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88B360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FA4396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(1,154)</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2A3A16E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118C8B0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(1,239)</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57BD9A5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1FD650C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(2,767)</w:t>
                  </w:r>
                </w:p>
              </w:tc>
            </w:tr>
            <w:tr w:rsidR="00213131" w:rsidRPr="004D7A72" w14:paraId="402B744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785" w:type="dxa"/>
                  <w:tcBorders>
                    <w:top w:val="nil"/>
                    <w:left w:val="nil"/>
                    <w:bottom w:val="nil"/>
                    <w:right w:val="nil"/>
                    <w:tl2br w:val="nil"/>
                    <w:tr2bl w:val="nil"/>
                  </w:tcBorders>
                  <w:shd w:val="clear" w:color="auto" w:fill="auto"/>
                  <w:tcMar>
                    <w:left w:w="43" w:type="dxa"/>
                    <w:right w:w="43" w:type="dxa"/>
                  </w:tcMar>
                  <w:vAlign w:val="bottom"/>
                </w:tcPr>
                <w:p w14:paraId="0A06C10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Issue of debentures and convertible debentures</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40279FE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2,405</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4B2D440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2297400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F7FCF3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53E45A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813</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4103FAF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50C02FB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7F2A89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3339818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611</w:t>
                  </w:r>
                </w:p>
              </w:tc>
            </w:tr>
            <w:tr w:rsidR="00213131" w:rsidRPr="004D7A72" w14:paraId="47CAEED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785" w:type="dxa"/>
                  <w:tcBorders>
                    <w:top w:val="nil"/>
                    <w:left w:val="nil"/>
                    <w:bottom w:val="nil"/>
                    <w:right w:val="nil"/>
                    <w:tl2br w:val="nil"/>
                    <w:tr2bl w:val="nil"/>
                  </w:tcBorders>
                  <w:shd w:val="clear" w:color="auto" w:fill="auto"/>
                  <w:tcMar>
                    <w:left w:w="43" w:type="dxa"/>
                    <w:right w:w="43" w:type="dxa"/>
                  </w:tcMar>
                  <w:vAlign w:val="bottom"/>
                </w:tcPr>
                <w:p w14:paraId="5E17DBBF"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Buyback of hybrid debentures from non-controlling interests </w:t>
                  </w:r>
                </w:p>
                <w:p w14:paraId="54560B12"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3F3A5D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(138)</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352D8C4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2F6A9C7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(115)</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2800541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2FA6192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(123)</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21F7BC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5CDC6B3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(12)</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F0AFD3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33A1231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(200)</w:t>
                  </w:r>
                </w:p>
              </w:tc>
            </w:tr>
            <w:tr w:rsidR="00213131" w:rsidRPr="004D7A72" w14:paraId="02C775A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785" w:type="dxa"/>
                  <w:tcBorders>
                    <w:top w:val="nil"/>
                    <w:left w:val="nil"/>
                    <w:bottom w:val="nil"/>
                    <w:right w:val="nil"/>
                    <w:tl2br w:val="nil"/>
                    <w:tr2bl w:val="nil"/>
                  </w:tcBorders>
                  <w:shd w:val="clear" w:color="auto" w:fill="auto"/>
                  <w:tcMar>
                    <w:left w:w="43" w:type="dxa"/>
                    <w:right w:w="43" w:type="dxa"/>
                  </w:tcMar>
                  <w:vAlign w:val="bottom"/>
                </w:tcPr>
                <w:p w14:paraId="4F3A43C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Interest on hybrid debentures paid to non-controlling interests </w:t>
                  </w:r>
                </w:p>
                <w:p w14:paraId="09477C5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167AEFC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(67)</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54D5FA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045BC35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(60)</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4F61BE7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73D5B21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(15)</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81E707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72CDDA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5E51B19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7F15CF8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(166)</w:t>
                  </w:r>
                </w:p>
              </w:tc>
            </w:tr>
            <w:tr w:rsidR="00213131" w:rsidRPr="004D7A72" w14:paraId="6DE3F7C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785" w:type="dxa"/>
                  <w:tcBorders>
                    <w:top w:val="nil"/>
                    <w:left w:val="nil"/>
                    <w:bottom w:val="nil"/>
                    <w:right w:val="nil"/>
                    <w:tl2br w:val="nil"/>
                    <w:tr2bl w:val="nil"/>
                  </w:tcBorders>
                  <w:shd w:val="clear" w:color="auto" w:fill="auto"/>
                  <w:tcMar>
                    <w:left w:w="43" w:type="dxa"/>
                    <w:right w:w="43" w:type="dxa"/>
                  </w:tcMar>
                  <w:vAlign w:val="bottom"/>
                </w:tcPr>
                <w:p w14:paraId="38F9CBE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Net cash used for financing activities</w:t>
                  </w: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6210524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(345)</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273089B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C1F0B5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(922)</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E03D43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13F1FFC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(504)</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45ED4F8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3C11B62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(186)</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E85DF8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40DCB3A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(1,367)</w:t>
                  </w:r>
                </w:p>
              </w:tc>
            </w:tr>
            <w:tr w:rsidR="00213131" w:rsidRPr="004D7A72" w14:paraId="1ED434E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0" w:type="dxa"/>
                    <w:right w:w="0" w:type="dxa"/>
                  </w:tcMar>
                  <w:vAlign w:val="bottom"/>
                </w:tcPr>
                <w:p w14:paraId="5DA6B59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F9213C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20DF85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CFDC24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5E13FED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025044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722072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F78A06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1AE95B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1B16DF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48EA6A8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43" w:type="dxa"/>
                    <w:right w:w="43" w:type="dxa"/>
                  </w:tcMar>
                  <w:vAlign w:val="bottom"/>
                </w:tcPr>
                <w:p w14:paraId="4DFF820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Exchange differences for cash and cash equivalents</w:t>
                  </w: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5E2B174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(57)</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36292AD4"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645CE2A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(44)</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5A700020"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15C1B53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(29)</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43513CB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1E942F5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(40)</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35E9398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43" w:type="dxa"/>
                    <w:right w:w="178" w:type="dxa"/>
                  </w:tcMar>
                  <w:vAlign w:val="bottom"/>
                </w:tcPr>
                <w:p w14:paraId="4F4FF15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(81)</w:t>
                  </w:r>
                </w:p>
              </w:tc>
            </w:tr>
            <w:tr w:rsidR="00213131" w:rsidRPr="004D7A72" w14:paraId="3B9571B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0" w:type="dxa"/>
                    <w:right w:w="0" w:type="dxa"/>
                  </w:tcMar>
                  <w:vAlign w:val="bottom"/>
                </w:tcPr>
                <w:p w14:paraId="6405814D"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423E530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C03BDCE"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6695839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0E720F0"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0DE7572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F0837D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7952C21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6ECD2C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765F282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625FC81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43" w:type="dxa"/>
                    <w:right w:w="43" w:type="dxa"/>
                  </w:tcMar>
                  <w:vAlign w:val="bottom"/>
                </w:tcPr>
                <w:p w14:paraId="6F38167A"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Increase (decrease) in cash and cash equivalents</w:t>
                  </w:r>
                </w:p>
              </w:tc>
              <w:tc>
                <w:tcPr>
                  <w:tcW w:w="102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5C32B7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207</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3B67A330"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1EC474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(679)</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307806CD"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07A9B84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(379)</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50FFC9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159596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82</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BC6F77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B107B8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(736)</w:t>
                  </w:r>
                </w:p>
              </w:tc>
            </w:tr>
            <w:tr w:rsidR="00213131" w:rsidRPr="004D7A72" w14:paraId="663992C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43" w:type="dxa"/>
                    <w:right w:w="43" w:type="dxa"/>
                  </w:tcMar>
                  <w:vAlign w:val="bottom"/>
                </w:tcPr>
                <w:p w14:paraId="0F8B7F89"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Cash and cash equivalents at the beginning of the period</w:t>
                  </w: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75A85D3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638</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570C2A5E"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8C244E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1,374</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FD8E7FF"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5F48D1F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1,224</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7ABD0A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656FEA3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613</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179E4A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C45A0E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1,374</w:t>
                  </w:r>
                </w:p>
              </w:tc>
            </w:tr>
            <w:tr w:rsidR="00213131" w:rsidRPr="004D7A72" w14:paraId="4C18CC3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4785" w:type="dxa"/>
                  <w:tcBorders>
                    <w:top w:val="nil"/>
                    <w:left w:val="nil"/>
                    <w:bottom w:val="nil"/>
                    <w:right w:val="nil"/>
                    <w:tl2br w:val="nil"/>
                    <w:tr2bl w:val="nil"/>
                  </w:tcBorders>
                  <w:shd w:val="clear" w:color="auto" w:fill="auto"/>
                  <w:noWrap/>
                  <w:tcMar>
                    <w:left w:w="43" w:type="dxa"/>
                    <w:right w:w="43" w:type="dxa"/>
                  </w:tcMar>
                  <w:vAlign w:val="bottom"/>
                </w:tcPr>
                <w:p w14:paraId="49C0E197"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Cash and cash equivalents at the end of the period</w:t>
                  </w:r>
                </w:p>
              </w:tc>
              <w:tc>
                <w:tcPr>
                  <w:tcW w:w="102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079B3D0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845</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9809027"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04270FD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695</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998A079"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1F51203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845</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64DCB2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7177639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695</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0C34A28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5A4CB71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638</w:t>
                  </w:r>
                </w:p>
              </w:tc>
            </w:tr>
            <w:tr w:rsidR="00213131" w:rsidRPr="004D7A72" w14:paraId="60B30F9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1"/>
              </w:trPr>
              <w:tc>
                <w:tcPr>
                  <w:tcW w:w="4785" w:type="dxa"/>
                  <w:tcBorders>
                    <w:top w:val="nil"/>
                    <w:left w:val="nil"/>
                    <w:bottom w:val="nil"/>
                    <w:right w:val="nil"/>
                    <w:tl2br w:val="nil"/>
                    <w:tr2bl w:val="nil"/>
                  </w:tcBorders>
                  <w:shd w:val="clear" w:color="auto" w:fill="auto"/>
                  <w:noWrap/>
                  <w:tcMar>
                    <w:left w:w="0" w:type="dxa"/>
                    <w:right w:w="0" w:type="dxa"/>
                  </w:tcMar>
                  <w:vAlign w:val="bottom"/>
                </w:tcPr>
                <w:p w14:paraId="6E5F322B"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51493CE"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1772D2A"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40C6A3E"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B549907"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77F667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D8B345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0645F5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5A9CC1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E077F7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r>
            <w:tr w:rsidR="00213131" w:rsidRPr="004D7A72" w14:paraId="30A4C3A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9945" w:type="dxa"/>
                  <w:gridSpan w:val="10"/>
                  <w:tcBorders>
                    <w:top w:val="nil"/>
                    <w:left w:val="nil"/>
                    <w:bottom w:val="nil"/>
                    <w:right w:val="nil"/>
                    <w:tl2br w:val="nil"/>
                    <w:tr2bl w:val="nil"/>
                  </w:tcBorders>
                  <w:shd w:val="clear" w:color="auto" w:fill="auto"/>
                  <w:noWrap/>
                  <w:tcMar>
                    <w:left w:w="43" w:type="dxa"/>
                    <w:right w:w="43" w:type="dxa"/>
                  </w:tcMar>
                  <w:vAlign w:val="bottom"/>
                </w:tcPr>
                <w:p w14:paraId="506AEA2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Represents an amount of less than NIS 1 million.</w:t>
                  </w:r>
                </w:p>
              </w:tc>
            </w:tr>
            <w:tr w:rsidR="00213131" w:rsidRPr="004D7A72" w14:paraId="3568DBD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
              </w:trPr>
              <w:tc>
                <w:tcPr>
                  <w:tcW w:w="4785" w:type="dxa"/>
                  <w:tcBorders>
                    <w:top w:val="nil"/>
                    <w:left w:val="nil"/>
                    <w:bottom w:val="nil"/>
                    <w:right w:val="nil"/>
                    <w:tl2br w:val="nil"/>
                    <w:tr2bl w:val="nil"/>
                  </w:tcBorders>
                  <w:shd w:val="clear" w:color="auto" w:fill="auto"/>
                  <w:noWrap/>
                  <w:tcMar>
                    <w:left w:w="0" w:type="dxa"/>
                    <w:right w:w="0" w:type="dxa"/>
                  </w:tcMar>
                  <w:vAlign w:val="bottom"/>
                </w:tcPr>
                <w:p w14:paraId="3BF2214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2F36B3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F64452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4BE3A9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0DAA6F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F454CF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0A59E4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CB5023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724148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E34A9F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r>
            <w:tr w:rsidR="00213131" w:rsidRPr="004D7A72" w14:paraId="6D74836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9945" w:type="dxa"/>
                  <w:gridSpan w:val="10"/>
                  <w:tcBorders>
                    <w:top w:val="nil"/>
                    <w:left w:val="nil"/>
                    <w:bottom w:val="nil"/>
                    <w:right w:val="nil"/>
                    <w:tl2br w:val="nil"/>
                    <w:tr2bl w:val="nil"/>
                  </w:tcBorders>
                  <w:shd w:val="clear" w:color="auto" w:fill="auto"/>
                  <w:noWrap/>
                  <w:tcMar>
                    <w:left w:w="43" w:type="dxa"/>
                    <w:right w:w="43" w:type="dxa"/>
                  </w:tcMar>
                  <w:vAlign w:val="bottom"/>
                </w:tcPr>
                <w:p w14:paraId="12C6BE0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The accompanying notes constitute an integral part of these consolidated interim financial statements.</w:t>
                  </w:r>
                </w:p>
              </w:tc>
            </w:tr>
          </w:tbl>
          <w:p w14:paraId="29E21276" w14:textId="77777777" w:rsidR="00213131" w:rsidRPr="004D7A72" w:rsidRDefault="00213131" w:rsidP="00A65A6F">
            <w:pPr>
              <w:rPr>
                <w:rFonts w:asciiTheme="majorBidi" w:hAnsiTheme="majorBidi" w:cstheme="majorBidi"/>
                <w:sz w:val="18"/>
                <w:szCs w:val="18"/>
              </w:rPr>
            </w:pPr>
          </w:p>
        </w:tc>
      </w:tr>
    </w:tbl>
    <w:p w14:paraId="32485D4F" w14:textId="77777777" w:rsidR="00213131" w:rsidRPr="004D7A72" w:rsidRDefault="00213131" w:rsidP="00213131">
      <w:pPr>
        <w:spacing w:before="0" w:after="0"/>
        <w:jc w:val="left"/>
        <w:rPr>
          <w:rFonts w:asciiTheme="majorBidi" w:hAnsiTheme="majorBidi" w:cstheme="majorBidi"/>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213131" w:rsidRPr="004D7A72" w14:paraId="2CF18B30" w14:textId="77777777" w:rsidTr="00A65A6F">
        <w:trPr>
          <w:cantSplit/>
        </w:trPr>
        <w:tc>
          <w:tcPr>
            <w:tcW w:w="10137" w:type="dxa"/>
          </w:tcPr>
          <w:tbl>
            <w:tblPr>
              <w:tblStyle w:val="CDMRange1"/>
              <w:tblW w:w="9480" w:type="dxa"/>
              <w:tblLook w:val="0600" w:firstRow="0" w:lastRow="0" w:firstColumn="0" w:lastColumn="0" w:noHBand="1" w:noVBand="1"/>
            </w:tblPr>
            <w:tblGrid>
              <w:gridCol w:w="390"/>
              <w:gridCol w:w="3764"/>
              <w:gridCol w:w="997"/>
              <w:gridCol w:w="140"/>
              <w:gridCol w:w="998"/>
              <w:gridCol w:w="141"/>
              <w:gridCol w:w="998"/>
              <w:gridCol w:w="141"/>
              <w:gridCol w:w="998"/>
              <w:gridCol w:w="141"/>
              <w:gridCol w:w="998"/>
            </w:tblGrid>
            <w:tr w:rsidR="00213131" w:rsidRPr="004D7A72" w14:paraId="57C3ED63" w14:textId="77777777" w:rsidTr="00A65A6F">
              <w:trPr>
                <w:cantSplit/>
                <w:trHeight w:val="282"/>
              </w:trPr>
              <w:tc>
                <w:tcPr>
                  <w:tcW w:w="390" w:type="dxa"/>
                  <w:tcBorders>
                    <w:top w:val="nil"/>
                    <w:left w:val="nil"/>
                    <w:bottom w:val="nil"/>
                    <w:right w:val="nil"/>
                    <w:tl2br w:val="nil"/>
                    <w:tr2bl w:val="nil"/>
                  </w:tcBorders>
                  <w:shd w:val="clear" w:color="auto" w:fill="auto"/>
                  <w:noWrap/>
                  <w:tcMar>
                    <w:left w:w="0" w:type="dxa"/>
                    <w:right w:w="0" w:type="dxa"/>
                  </w:tcMar>
                  <w:vAlign w:val="bottom"/>
                </w:tcPr>
                <w:p w14:paraId="1D307EA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930" w:type="dxa"/>
                  <w:tcBorders>
                    <w:top w:val="nil"/>
                    <w:left w:val="nil"/>
                    <w:bottom w:val="nil"/>
                    <w:right w:val="nil"/>
                    <w:tl2br w:val="nil"/>
                    <w:tr2bl w:val="nil"/>
                  </w:tcBorders>
                  <w:shd w:val="clear" w:color="auto" w:fill="auto"/>
                  <w:noWrap/>
                  <w:tcMar>
                    <w:left w:w="0" w:type="dxa"/>
                    <w:right w:w="0" w:type="dxa"/>
                  </w:tcMar>
                  <w:vAlign w:val="bottom"/>
                </w:tcPr>
                <w:p w14:paraId="6876EC0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055"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3548FCCB"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 xml:space="preserve">Six months ended </w:t>
                  </w:r>
                </w:p>
                <w:p w14:paraId="4C16B915"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June 30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EC74375"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c>
                <w:tcPr>
                  <w:tcW w:w="2055"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5D739766"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 xml:space="preserve">Three months ended </w:t>
                  </w:r>
                </w:p>
                <w:p w14:paraId="3684113A"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June 30</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395AA80"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1FBAAE78"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Year ended December 31</w:t>
                  </w:r>
                </w:p>
              </w:tc>
            </w:tr>
            <w:tr w:rsidR="00213131" w:rsidRPr="004D7A72" w14:paraId="6F64B6E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90" w:type="dxa"/>
                  <w:tcBorders>
                    <w:top w:val="nil"/>
                    <w:left w:val="nil"/>
                    <w:bottom w:val="nil"/>
                    <w:right w:val="nil"/>
                    <w:tl2br w:val="nil"/>
                    <w:tr2bl w:val="nil"/>
                  </w:tcBorders>
                  <w:shd w:val="clear" w:color="auto" w:fill="auto"/>
                  <w:noWrap/>
                  <w:tcMar>
                    <w:left w:w="0" w:type="dxa"/>
                    <w:right w:w="0" w:type="dxa"/>
                  </w:tcMar>
                  <w:vAlign w:val="bottom"/>
                </w:tcPr>
                <w:p w14:paraId="1276C6D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930" w:type="dxa"/>
                  <w:tcBorders>
                    <w:top w:val="nil"/>
                    <w:left w:val="nil"/>
                    <w:bottom w:val="nil"/>
                    <w:right w:val="nil"/>
                    <w:tl2br w:val="nil"/>
                    <w:tr2bl w:val="nil"/>
                  </w:tcBorders>
                  <w:shd w:val="clear" w:color="auto" w:fill="auto"/>
                  <w:noWrap/>
                  <w:tcMar>
                    <w:left w:w="0" w:type="dxa"/>
                    <w:right w:w="0" w:type="dxa"/>
                  </w:tcMar>
                  <w:vAlign w:val="bottom"/>
                </w:tcPr>
                <w:p w14:paraId="71B79BD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BE38B76"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2024</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69F26D"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2862128"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2023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0EB2C20B"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ACAD08C"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2024</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AF7FAC"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4C1CA3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2023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29778CEE"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A663DFB"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2023</w:t>
                  </w:r>
                </w:p>
              </w:tc>
            </w:tr>
            <w:tr w:rsidR="00213131" w:rsidRPr="004D7A72" w14:paraId="2B02631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90" w:type="dxa"/>
                  <w:tcBorders>
                    <w:top w:val="nil"/>
                    <w:left w:val="nil"/>
                    <w:bottom w:val="nil"/>
                    <w:right w:val="nil"/>
                    <w:tl2br w:val="nil"/>
                    <w:tr2bl w:val="nil"/>
                  </w:tcBorders>
                  <w:shd w:val="clear" w:color="auto" w:fill="auto"/>
                  <w:noWrap/>
                  <w:tcMar>
                    <w:left w:w="0" w:type="dxa"/>
                    <w:right w:w="0" w:type="dxa"/>
                  </w:tcMar>
                  <w:vAlign w:val="bottom"/>
                </w:tcPr>
                <w:p w14:paraId="05C8906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930" w:type="dxa"/>
                  <w:tcBorders>
                    <w:top w:val="nil"/>
                    <w:left w:val="nil"/>
                    <w:bottom w:val="nil"/>
                    <w:right w:val="nil"/>
                    <w:tl2br w:val="nil"/>
                    <w:tr2bl w:val="nil"/>
                  </w:tcBorders>
                  <w:shd w:val="clear" w:color="auto" w:fill="auto"/>
                  <w:noWrap/>
                  <w:tcMar>
                    <w:left w:w="0" w:type="dxa"/>
                    <w:right w:w="0" w:type="dxa"/>
                  </w:tcMar>
                  <w:vAlign w:val="bottom"/>
                </w:tcPr>
                <w:p w14:paraId="7A58C84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205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3B09796F"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Unaudited</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5845F2D"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c>
                <w:tcPr>
                  <w:tcW w:w="205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724448F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Unaudited</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0B0233E" w14:textId="77777777" w:rsidR="00213131" w:rsidRPr="004D7A72" w:rsidRDefault="00213131" w:rsidP="00A65A6F">
                  <w:pPr>
                    <w:keepNext/>
                    <w:spacing w:before="0" w:after="0"/>
                    <w:jc w:val="left"/>
                    <w:rPr>
                      <w:rFonts w:asciiTheme="majorBidi" w:eastAsia="Ploni ML Medium AAA Medium" w:hAnsiTheme="majorBidi" w:cstheme="majorBidi"/>
                      <w:b/>
                      <w:color w:val="000000"/>
                      <w:sz w:val="18"/>
                      <w:szCs w:val="18"/>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044D093"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Audited</w:t>
                  </w:r>
                </w:p>
              </w:tc>
            </w:tr>
            <w:tr w:rsidR="00213131" w:rsidRPr="004D7A72" w14:paraId="6AE3B39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90" w:type="dxa"/>
                  <w:tcBorders>
                    <w:top w:val="nil"/>
                    <w:left w:val="nil"/>
                    <w:bottom w:val="nil"/>
                    <w:right w:val="nil"/>
                    <w:tl2br w:val="nil"/>
                    <w:tr2bl w:val="nil"/>
                  </w:tcBorders>
                  <w:shd w:val="clear" w:color="auto" w:fill="auto"/>
                  <w:noWrap/>
                  <w:tcMar>
                    <w:left w:w="0" w:type="dxa"/>
                    <w:right w:w="0" w:type="dxa"/>
                  </w:tcMar>
                  <w:vAlign w:val="bottom"/>
                </w:tcPr>
                <w:p w14:paraId="159FE1A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930" w:type="dxa"/>
                  <w:tcBorders>
                    <w:top w:val="nil"/>
                    <w:left w:val="nil"/>
                    <w:bottom w:val="nil"/>
                    <w:right w:val="nil"/>
                    <w:tl2br w:val="nil"/>
                    <w:tr2bl w:val="nil"/>
                  </w:tcBorders>
                  <w:shd w:val="clear" w:color="auto" w:fill="auto"/>
                  <w:noWrap/>
                  <w:tcMar>
                    <w:left w:w="0" w:type="dxa"/>
                    <w:right w:w="0" w:type="dxa"/>
                  </w:tcMar>
                  <w:vAlign w:val="bottom"/>
                </w:tcPr>
                <w:p w14:paraId="31A00F3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5160" w:type="dxa"/>
                  <w:gridSpan w:val="9"/>
                  <w:tcBorders>
                    <w:top w:val="nil"/>
                    <w:left w:val="nil"/>
                    <w:bottom w:val="single" w:sz="4" w:space="0" w:color="000000"/>
                    <w:right w:val="nil"/>
                    <w:tl2br w:val="nil"/>
                    <w:tr2bl w:val="nil"/>
                  </w:tcBorders>
                  <w:shd w:val="clear" w:color="auto" w:fill="auto"/>
                  <w:noWrap/>
                  <w:tcMar>
                    <w:left w:w="40" w:type="dxa"/>
                    <w:right w:w="40" w:type="dxa"/>
                  </w:tcMar>
                  <w:vAlign w:val="bottom"/>
                </w:tcPr>
                <w:p w14:paraId="6474AB7C"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NIS million</w:t>
                  </w:r>
                </w:p>
              </w:tc>
            </w:tr>
            <w:tr w:rsidR="00213131" w:rsidRPr="004D7A72" w14:paraId="23C2BE1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90" w:type="dxa"/>
                  <w:tcBorders>
                    <w:top w:val="nil"/>
                    <w:left w:val="nil"/>
                    <w:bottom w:val="nil"/>
                    <w:right w:val="nil"/>
                    <w:tl2br w:val="nil"/>
                    <w:tr2bl w:val="nil"/>
                  </w:tcBorders>
                  <w:shd w:val="clear" w:color="auto" w:fill="auto"/>
                  <w:noWrap/>
                  <w:tcMar>
                    <w:left w:w="0" w:type="dxa"/>
                    <w:right w:w="0" w:type="dxa"/>
                  </w:tcMar>
                  <w:vAlign w:val="bottom"/>
                </w:tcPr>
                <w:p w14:paraId="3C6CEE1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3930" w:type="dxa"/>
                  <w:tcBorders>
                    <w:top w:val="nil"/>
                    <w:left w:val="nil"/>
                    <w:bottom w:val="nil"/>
                    <w:right w:val="nil"/>
                    <w:tl2br w:val="nil"/>
                    <w:tr2bl w:val="nil"/>
                  </w:tcBorders>
                  <w:shd w:val="clear" w:color="auto" w:fill="auto"/>
                  <w:noWrap/>
                  <w:tcMar>
                    <w:left w:w="0" w:type="dxa"/>
                    <w:right w:w="0" w:type="dxa"/>
                  </w:tcMar>
                  <w:vAlign w:val="bottom"/>
                </w:tcPr>
                <w:p w14:paraId="39F69A2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85CEE5" w14:textId="77777777" w:rsidR="00213131" w:rsidRPr="004D7A72" w:rsidRDefault="00213131" w:rsidP="00A65A6F">
                  <w:pPr>
                    <w:keepNext/>
                    <w:spacing w:before="0" w:after="0"/>
                    <w:jc w:val="right"/>
                    <w:rPr>
                      <w:rFonts w:asciiTheme="majorBidi" w:eastAsia="Ploni ML Medium AAA Medium" w:hAnsiTheme="majorBidi" w:cstheme="majorBidi"/>
                      <w:color w:val="000000"/>
                      <w:sz w:val="18"/>
                      <w:szCs w:val="18"/>
                    </w:rPr>
                  </w:pP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5F0E84" w14:textId="77777777" w:rsidR="00213131" w:rsidRPr="004D7A72" w:rsidRDefault="00213131" w:rsidP="00A65A6F">
                  <w:pPr>
                    <w:keepNext/>
                    <w:spacing w:before="0" w:after="0"/>
                    <w:jc w:val="right"/>
                    <w:rPr>
                      <w:rFonts w:asciiTheme="majorBidi" w:eastAsia="Ploni ML Medium AAA Medium" w:hAnsiTheme="majorBidi" w:cstheme="majorBidi"/>
                      <w:color w:val="000000"/>
                      <w:sz w:val="18"/>
                      <w:szCs w:val="18"/>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BCCA4D" w14:textId="77777777" w:rsidR="00213131" w:rsidRPr="004D7A72" w:rsidRDefault="00213131" w:rsidP="00A65A6F">
                  <w:pPr>
                    <w:keepNext/>
                    <w:spacing w:before="0" w:after="0"/>
                    <w:jc w:val="right"/>
                    <w:rPr>
                      <w:rFonts w:asciiTheme="majorBidi" w:eastAsia="Ploni ML Medium AAA Medium" w:hAnsiTheme="majorBidi" w:cstheme="majorBidi"/>
                      <w:color w:val="000000"/>
                      <w:sz w:val="18"/>
                      <w:szCs w:val="18"/>
                    </w:rPr>
                  </w:pP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A9B879" w14:textId="77777777" w:rsidR="00213131" w:rsidRPr="004D7A72" w:rsidRDefault="00213131" w:rsidP="00A65A6F">
                  <w:pPr>
                    <w:keepNext/>
                    <w:spacing w:before="0" w:after="0"/>
                    <w:jc w:val="right"/>
                    <w:rPr>
                      <w:rFonts w:asciiTheme="majorBidi" w:eastAsia="Ploni ML Medium AAA Medium" w:hAnsiTheme="majorBidi" w:cstheme="majorBidi"/>
                      <w:color w:val="000000"/>
                      <w:sz w:val="18"/>
                      <w:szCs w:val="18"/>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16E541"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65CCA6"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68D492"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AFBDD4"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2125138" w14:textId="77777777" w:rsidR="00213131" w:rsidRPr="004D7A72" w:rsidRDefault="00213131" w:rsidP="00A65A6F">
                  <w:pPr>
                    <w:keepNext/>
                    <w:spacing w:before="0" w:after="0"/>
                    <w:jc w:val="left"/>
                    <w:rPr>
                      <w:rFonts w:asciiTheme="majorBidi" w:eastAsia="Ploni ML Medium AAA Medium" w:hAnsiTheme="majorBidi" w:cstheme="majorBidi"/>
                      <w:color w:val="000000"/>
                      <w:sz w:val="18"/>
                      <w:szCs w:val="18"/>
                    </w:rPr>
                  </w:pPr>
                </w:p>
              </w:tc>
            </w:tr>
            <w:tr w:rsidR="00213131" w:rsidRPr="004D7A72" w14:paraId="6075A06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90" w:type="dxa"/>
                  <w:tcBorders>
                    <w:top w:val="nil"/>
                    <w:left w:val="nil"/>
                    <w:bottom w:val="nil"/>
                    <w:right w:val="nil"/>
                    <w:tl2br w:val="nil"/>
                    <w:tr2bl w:val="nil"/>
                  </w:tcBorders>
                  <w:shd w:val="clear" w:color="auto" w:fill="auto"/>
                  <w:noWrap/>
                  <w:tcMar>
                    <w:left w:w="40" w:type="dxa"/>
                    <w:right w:w="40" w:type="dxa"/>
                  </w:tcMar>
                  <w:vAlign w:val="bottom"/>
                </w:tcPr>
                <w:p w14:paraId="01025B2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(A)</w:t>
                  </w:r>
                </w:p>
              </w:tc>
              <w:tc>
                <w:tcPr>
                  <w:tcW w:w="3930" w:type="dxa"/>
                  <w:tcBorders>
                    <w:top w:val="nil"/>
                    <w:left w:val="nil"/>
                    <w:bottom w:val="nil"/>
                    <w:right w:val="nil"/>
                    <w:tl2br w:val="nil"/>
                    <w:tr2bl w:val="nil"/>
                  </w:tcBorders>
                  <w:shd w:val="clear" w:color="auto" w:fill="auto"/>
                  <w:noWrap/>
                  <w:tcMar>
                    <w:left w:w="40" w:type="dxa"/>
                    <w:right w:w="40" w:type="dxa"/>
                  </w:tcMar>
                  <w:vAlign w:val="bottom"/>
                </w:tcPr>
                <w:p w14:paraId="526FE439"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Significant non-cash activities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9933E9E"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0D60586"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D9E9C26"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8D96008" w14:textId="77777777" w:rsidR="00213131" w:rsidRPr="004D7A72" w:rsidRDefault="00213131" w:rsidP="00A65A6F">
                  <w:pPr>
                    <w:keepNext/>
                    <w:spacing w:before="0" w:after="0"/>
                    <w:jc w:val="right"/>
                    <w:rPr>
                      <w:rFonts w:asciiTheme="majorBidi" w:eastAsia="Ploni ML Medium AAA Medium" w:hAnsiTheme="majorBidi" w:cstheme="majorBidi"/>
                      <w:color w:val="000000"/>
                      <w:u w:val="single"/>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645E10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51D7C13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D1CEAE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96C33B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708321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r>
            <w:tr w:rsidR="00213131" w:rsidRPr="004D7A72" w14:paraId="19289A2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390" w:type="dxa"/>
                  <w:tcBorders>
                    <w:top w:val="nil"/>
                    <w:left w:val="nil"/>
                    <w:bottom w:val="nil"/>
                    <w:right w:val="nil"/>
                    <w:tl2br w:val="nil"/>
                    <w:tr2bl w:val="nil"/>
                  </w:tcBorders>
                  <w:shd w:val="clear" w:color="auto" w:fill="auto"/>
                  <w:noWrap/>
                  <w:tcMar>
                    <w:left w:w="0" w:type="dxa"/>
                    <w:right w:w="0" w:type="dxa"/>
                  </w:tcMar>
                  <w:vAlign w:val="bottom"/>
                </w:tcPr>
                <w:p w14:paraId="1B983EC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3930" w:type="dxa"/>
                  <w:tcBorders>
                    <w:top w:val="nil"/>
                    <w:left w:val="nil"/>
                    <w:bottom w:val="nil"/>
                    <w:right w:val="nil"/>
                    <w:tl2br w:val="nil"/>
                    <w:tr2bl w:val="nil"/>
                  </w:tcBorders>
                  <w:shd w:val="clear" w:color="auto" w:fill="auto"/>
                  <w:tcMar>
                    <w:left w:w="40" w:type="dxa"/>
                    <w:right w:w="40" w:type="dxa"/>
                  </w:tcMar>
                  <w:vAlign w:val="bottom"/>
                </w:tcPr>
                <w:p w14:paraId="3AAE2A1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Sale of investment property against receivables</w:t>
                  </w:r>
                </w:p>
              </w:tc>
              <w:tc>
                <w:tcPr>
                  <w:tcW w:w="102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690C81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32</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3B58BBC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628753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245</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925BA7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76F27E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32</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2E5A4CA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93BF2B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245</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BDC4CD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102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7D7C006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245</w:t>
                  </w:r>
                </w:p>
              </w:tc>
            </w:tr>
            <w:tr w:rsidR="00213131" w:rsidRPr="004D7A72" w14:paraId="754A38E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90" w:type="dxa"/>
                  <w:tcBorders>
                    <w:top w:val="nil"/>
                    <w:left w:val="nil"/>
                    <w:bottom w:val="nil"/>
                    <w:right w:val="nil"/>
                    <w:tl2br w:val="nil"/>
                    <w:tr2bl w:val="nil"/>
                  </w:tcBorders>
                  <w:shd w:val="clear" w:color="auto" w:fill="auto"/>
                  <w:noWrap/>
                  <w:tcMar>
                    <w:left w:w="40" w:type="dxa"/>
                    <w:right w:w="40" w:type="dxa"/>
                  </w:tcMar>
                  <w:vAlign w:val="bottom"/>
                </w:tcPr>
                <w:p w14:paraId="45AFAF0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(B) </w:t>
                  </w:r>
                </w:p>
              </w:tc>
              <w:tc>
                <w:tcPr>
                  <w:tcW w:w="3930" w:type="dxa"/>
                  <w:tcBorders>
                    <w:top w:val="nil"/>
                    <w:left w:val="nil"/>
                    <w:bottom w:val="nil"/>
                    <w:right w:val="nil"/>
                    <w:tl2br w:val="nil"/>
                    <w:tr2bl w:val="nil"/>
                  </w:tcBorders>
                  <w:shd w:val="clear" w:color="auto" w:fill="auto"/>
                  <w:noWrap/>
                  <w:tcMar>
                    <w:left w:w="40" w:type="dxa"/>
                    <w:right w:w="40" w:type="dxa"/>
                  </w:tcMar>
                  <w:vAlign w:val="bottom"/>
                </w:tcPr>
                <w:p w14:paraId="7FDB657A"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Additional information</w:t>
                  </w: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1ED0FEC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52CA925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405E394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9C9234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345C232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4DBC810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53AED3C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4FFDBF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16A5E4E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r>
            <w:tr w:rsidR="00213131" w:rsidRPr="004D7A72" w14:paraId="3B53DE6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5"/>
              </w:trPr>
              <w:tc>
                <w:tcPr>
                  <w:tcW w:w="390" w:type="dxa"/>
                  <w:tcBorders>
                    <w:top w:val="nil"/>
                    <w:left w:val="nil"/>
                    <w:bottom w:val="nil"/>
                    <w:right w:val="nil"/>
                    <w:tl2br w:val="nil"/>
                    <w:tr2bl w:val="nil"/>
                  </w:tcBorders>
                  <w:shd w:val="clear" w:color="auto" w:fill="auto"/>
                  <w:noWrap/>
                  <w:tcMar>
                    <w:left w:w="0" w:type="dxa"/>
                    <w:right w:w="0" w:type="dxa"/>
                  </w:tcMar>
                  <w:vAlign w:val="bottom"/>
                </w:tcPr>
                <w:p w14:paraId="3B767D84"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9090" w:type="dxa"/>
                  <w:gridSpan w:val="10"/>
                  <w:tcBorders>
                    <w:top w:val="nil"/>
                    <w:left w:val="nil"/>
                    <w:bottom w:val="nil"/>
                    <w:right w:val="nil"/>
                    <w:tl2br w:val="nil"/>
                    <w:tr2bl w:val="nil"/>
                  </w:tcBorders>
                  <w:shd w:val="clear" w:color="auto" w:fill="auto"/>
                  <w:noWrap/>
                  <w:tcMar>
                    <w:left w:w="40" w:type="dxa"/>
                    <w:right w:w="40" w:type="dxa"/>
                  </w:tcMar>
                  <w:vAlign w:val="bottom"/>
                </w:tcPr>
                <w:p w14:paraId="4BBA0B6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The accompanying notes constitute an integral part of these consolidated interim financial statements.</w:t>
                  </w:r>
                </w:p>
              </w:tc>
            </w:tr>
          </w:tbl>
          <w:p w14:paraId="1B873463" w14:textId="77777777" w:rsidR="00213131" w:rsidRPr="004D7A72" w:rsidRDefault="00213131" w:rsidP="00A65A6F">
            <w:pPr>
              <w:rPr>
                <w:rFonts w:asciiTheme="majorBidi" w:hAnsiTheme="majorBidi" w:cstheme="majorBidi"/>
              </w:rPr>
            </w:pPr>
          </w:p>
        </w:tc>
      </w:tr>
    </w:tbl>
    <w:p w14:paraId="49758661" w14:textId="77777777" w:rsidR="00213131" w:rsidRPr="004D7A72" w:rsidRDefault="00213131" w:rsidP="00213131">
      <w:pPr>
        <w:rPr>
          <w:rFonts w:asciiTheme="majorBidi" w:hAnsiTheme="majorBidi" w:cstheme="majorBidi"/>
          <w:vanish/>
        </w:rPr>
        <w:sectPr w:rsidR="00213131" w:rsidRPr="004D7A72" w:rsidSect="005432E6">
          <w:headerReference w:type="even" r:id="rId58"/>
          <w:headerReference w:type="default" r:id="rId59"/>
          <w:footerReference w:type="even" r:id="rId60"/>
          <w:footerReference w:type="default" r:id="rId61"/>
          <w:headerReference w:type="first" r:id="rId62"/>
          <w:footerReference w:type="first" r:id="rId63"/>
          <w:footnotePr>
            <w:numRestart w:val="eachPage"/>
          </w:footnotePr>
          <w:type w:val="continuous"/>
          <w:pgSz w:w="11906" w:h="16838"/>
          <w:pgMar w:top="1144" w:right="992" w:bottom="1134" w:left="992" w:header="567" w:footer="567" w:gutter="0"/>
          <w:pgBorders>
            <w:top w:val="nil"/>
            <w:left w:val="nil"/>
            <w:bottom w:val="nil"/>
            <w:right w:val="nil"/>
          </w:pgBorders>
          <w:cols w:space="708"/>
          <w:bidi/>
          <w:rtlGutter/>
          <w:docGrid w:linePitch="360"/>
        </w:sectPr>
      </w:pPr>
    </w:p>
    <w:p w14:paraId="3CB11E31" w14:textId="21537365" w:rsidR="00213131" w:rsidRPr="004D7A72" w:rsidRDefault="00213131" w:rsidP="00213131">
      <w:pPr>
        <w:pStyle w:val="ListParagraph"/>
        <w:keepNext/>
        <w:keepLines/>
        <w:pageBreakBefore/>
        <w:tabs>
          <w:tab w:val="left" w:pos="1133"/>
        </w:tabs>
        <w:ind w:left="0"/>
        <w:outlineLvl w:val="3"/>
        <w:rPr>
          <w:rFonts w:asciiTheme="majorBidi" w:hAnsiTheme="majorBidi" w:cstheme="majorBidi"/>
          <w:b/>
          <w:bCs/>
          <w:sz w:val="21"/>
          <w:szCs w:val="21"/>
        </w:rPr>
      </w:pPr>
      <w:bookmarkStart w:id="137" w:name="RG_MARKER_56587"/>
      <w:bookmarkStart w:id="138" w:name="RG_MARKER_56663"/>
      <w:bookmarkStart w:id="139" w:name="H4_באור_10Note_כללי"/>
      <w:bookmarkEnd w:id="137"/>
      <w:bookmarkEnd w:id="138"/>
      <w:r w:rsidRPr="004D7A72">
        <w:rPr>
          <w:rFonts w:asciiTheme="majorBidi" w:hAnsiTheme="majorBidi" w:cstheme="majorBidi"/>
          <w:b/>
          <w:sz w:val="21"/>
        </w:rPr>
        <w:lastRenderedPageBreak/>
        <w:t>N</w:t>
      </w:r>
      <w:r w:rsidR="00EB668F">
        <w:rPr>
          <w:rFonts w:asciiTheme="majorBidi" w:hAnsiTheme="majorBidi" w:cstheme="majorBidi"/>
          <w:b/>
          <w:sz w:val="21"/>
        </w:rPr>
        <w:t>ote</w:t>
      </w:r>
      <w:r w:rsidRPr="004D7A72">
        <w:rPr>
          <w:rFonts w:asciiTheme="majorBidi" w:hAnsiTheme="majorBidi" w:cstheme="majorBidi"/>
          <w:b/>
          <w:sz w:val="21"/>
        </w:rPr>
        <w:t xml:space="preserve"> 1 – General</w:t>
      </w:r>
    </w:p>
    <w:bookmarkEnd w:id="139"/>
    <w:p w14:paraId="71E0074D" w14:textId="441624F7" w:rsidR="00213131" w:rsidRPr="004D7A72" w:rsidRDefault="00213131" w:rsidP="004D7A72">
      <w:pPr>
        <w:pStyle w:val="ListParagraph"/>
        <w:keepLines/>
        <w:numPr>
          <w:ilvl w:val="0"/>
          <w:numId w:val="58"/>
        </w:numPr>
        <w:tabs>
          <w:tab w:val="left" w:pos="425"/>
        </w:tabs>
        <w:spacing w:before="60" w:after="60" w:line="276" w:lineRule="auto"/>
        <w:ind w:left="426"/>
        <w:rPr>
          <w:rFonts w:asciiTheme="majorBidi" w:hAnsiTheme="majorBidi" w:cstheme="majorBidi"/>
          <w:sz w:val="21"/>
          <w:szCs w:val="21"/>
        </w:rPr>
      </w:pPr>
      <w:r w:rsidRPr="004D7A72">
        <w:rPr>
          <w:rFonts w:asciiTheme="majorBidi" w:hAnsiTheme="majorBidi" w:cstheme="majorBidi"/>
          <w:sz w:val="21"/>
        </w:rPr>
        <w:t xml:space="preserve">These financial statements have been prepared in condensed format as at June 30, 2024 and for the six months then ended (the “Reporting Period”) and for the three months then ended (jointly - the “Consolidated Interim Financial Statements”). The financial statements should be read in conjunction with the Company’s annual financial statements as at December 31, 2023 for the year then ended, and their accompanying notes, which were approved by the Company’s board of directors on March 28, </w:t>
      </w:r>
      <w:r w:rsidR="00883CE8" w:rsidRPr="004D7A72">
        <w:rPr>
          <w:rFonts w:asciiTheme="majorBidi" w:hAnsiTheme="majorBidi" w:cstheme="majorBidi"/>
          <w:sz w:val="21"/>
        </w:rPr>
        <w:t>2024 (</w:t>
      </w:r>
      <w:r w:rsidRPr="004D7A72">
        <w:rPr>
          <w:rFonts w:asciiTheme="majorBidi" w:hAnsiTheme="majorBidi" w:cstheme="majorBidi"/>
          <w:sz w:val="21"/>
        </w:rPr>
        <w:t>the “Annual Financial Statements”).</w:t>
      </w:r>
    </w:p>
    <w:p w14:paraId="3A851C72" w14:textId="77777777" w:rsidR="00213131" w:rsidRPr="004D7A72" w:rsidRDefault="00213131" w:rsidP="00213131">
      <w:pPr>
        <w:pStyle w:val="ListParagraph"/>
        <w:keepLines/>
        <w:tabs>
          <w:tab w:val="left" w:pos="3751"/>
        </w:tabs>
        <w:ind w:left="426" w:firstLine="3750"/>
        <w:rPr>
          <w:rFonts w:asciiTheme="majorBidi" w:hAnsiTheme="majorBidi" w:cstheme="majorBidi"/>
          <w:sz w:val="21"/>
          <w:szCs w:val="21"/>
        </w:rPr>
      </w:pPr>
    </w:p>
    <w:p w14:paraId="1FA1047A" w14:textId="77777777" w:rsidR="00213131" w:rsidRPr="004D7A72" w:rsidRDefault="00213131" w:rsidP="004D7A72">
      <w:pPr>
        <w:pStyle w:val="ListParagraph"/>
        <w:keepNext/>
        <w:keepLines/>
        <w:numPr>
          <w:ilvl w:val="0"/>
          <w:numId w:val="58"/>
        </w:numPr>
        <w:tabs>
          <w:tab w:val="left" w:pos="425"/>
        </w:tabs>
        <w:spacing w:before="60" w:after="60" w:line="276" w:lineRule="auto"/>
        <w:ind w:left="426"/>
        <w:rPr>
          <w:rFonts w:asciiTheme="majorBidi" w:hAnsiTheme="majorBidi" w:cstheme="majorBidi"/>
          <w:sz w:val="21"/>
          <w:szCs w:val="21"/>
        </w:rPr>
      </w:pPr>
      <w:r w:rsidRPr="004D7A72">
        <w:rPr>
          <w:rFonts w:asciiTheme="majorBidi" w:hAnsiTheme="majorBidi" w:cstheme="majorBidi"/>
          <w:sz w:val="21"/>
        </w:rPr>
        <w:t xml:space="preserve">As at June 30, 2024, (the “Reporting Date”) the consolidated Company (the “Group”) had working capital deficit in the amount of NIS 0.1 billion. The Group has unused approved credit facilities in the amount of NIS 2.3 billion available for immediate withdrawal. The Company’s management believe that the foregoing sources, with the addition of the proceeds from the issue of debentures executed subsequent to the reporting date in an amount of NIS 0.8 billion, the cash flow projection and the scope of pledged assets and the ability to refinance debts secured by land, will allow each of the Group companies to meet their short term repayment liabilities. </w:t>
      </w:r>
    </w:p>
    <w:p w14:paraId="7F358599" w14:textId="77777777" w:rsidR="00213131" w:rsidRPr="004D7A72" w:rsidRDefault="00213131" w:rsidP="00213131">
      <w:pPr>
        <w:pStyle w:val="ListParagraph"/>
        <w:ind w:left="426"/>
        <w:rPr>
          <w:rFonts w:asciiTheme="majorBidi" w:hAnsiTheme="majorBidi" w:cstheme="majorBidi"/>
          <w:sz w:val="21"/>
          <w:szCs w:val="21"/>
          <w:rtl/>
        </w:rPr>
      </w:pPr>
    </w:p>
    <w:p w14:paraId="43533126" w14:textId="77777777" w:rsidR="00213131" w:rsidRPr="004D7A72" w:rsidRDefault="00213131" w:rsidP="004D7A72">
      <w:pPr>
        <w:pStyle w:val="ListParagraph"/>
        <w:keepNext/>
        <w:keepLines/>
        <w:numPr>
          <w:ilvl w:val="0"/>
          <w:numId w:val="58"/>
        </w:numPr>
        <w:tabs>
          <w:tab w:val="left" w:pos="425"/>
        </w:tabs>
        <w:spacing w:before="60" w:after="60" w:line="276" w:lineRule="auto"/>
        <w:ind w:left="426"/>
        <w:outlineLvl w:val="4"/>
        <w:rPr>
          <w:rFonts w:asciiTheme="majorBidi" w:hAnsiTheme="majorBidi" w:cstheme="majorBidi"/>
          <w:sz w:val="21"/>
          <w:szCs w:val="21"/>
        </w:rPr>
      </w:pPr>
      <w:bookmarkStart w:id="140" w:name="_Hlk119430342"/>
      <w:bookmarkStart w:id="141" w:name="H5_הגדרות_בדוחות_כספיים_אלה"/>
      <w:r w:rsidRPr="004D7A72">
        <w:rPr>
          <w:rFonts w:asciiTheme="majorBidi" w:hAnsiTheme="majorBidi" w:cstheme="majorBidi"/>
          <w:sz w:val="21"/>
          <w:u w:val="single"/>
        </w:rPr>
        <w:t>State of the Company affairs and liquidity</w:t>
      </w:r>
      <w:r w:rsidRPr="004D7A72">
        <w:rPr>
          <w:rFonts w:asciiTheme="majorBidi" w:hAnsiTheme="majorBidi" w:cstheme="majorBidi"/>
          <w:sz w:val="21"/>
        </w:rPr>
        <w:t>:</w:t>
      </w:r>
    </w:p>
    <w:p w14:paraId="69914E4D" w14:textId="77777777" w:rsidR="00213131" w:rsidRPr="004D7A72" w:rsidRDefault="00213131" w:rsidP="00213131">
      <w:pPr>
        <w:keepLines/>
        <w:ind w:left="426"/>
        <w:contextualSpacing/>
        <w:rPr>
          <w:rFonts w:asciiTheme="majorBidi" w:hAnsiTheme="majorBidi" w:cstheme="majorBidi"/>
          <w:sz w:val="21"/>
          <w:szCs w:val="21"/>
        </w:rPr>
      </w:pPr>
      <w:r w:rsidRPr="004D7A72">
        <w:rPr>
          <w:rFonts w:asciiTheme="majorBidi" w:hAnsiTheme="majorBidi" w:cstheme="majorBidi"/>
          <w:sz w:val="21"/>
        </w:rPr>
        <w:t xml:space="preserve">The Company has a long term policy to maintain an adequate level of liquidity to allow the Company to meet its liabilities, to exploit opportunities in its operating sectors, and to have flexible financing sources. This is achieved by issuing equity and assuming long-term financing, including through the issue of debentures, hybrid debentures, bank loans and mortgages, against investments in long term assets. </w:t>
      </w:r>
    </w:p>
    <w:p w14:paraId="0675D577" w14:textId="77777777" w:rsidR="00213131" w:rsidRPr="004D7A72" w:rsidRDefault="00213131" w:rsidP="00213131">
      <w:pPr>
        <w:keepLines/>
        <w:ind w:left="426"/>
        <w:contextualSpacing/>
        <w:rPr>
          <w:rFonts w:asciiTheme="majorBidi" w:hAnsiTheme="majorBidi" w:cstheme="majorBidi"/>
          <w:sz w:val="21"/>
          <w:szCs w:val="21"/>
        </w:rPr>
      </w:pPr>
      <w:r w:rsidRPr="004D7A72">
        <w:rPr>
          <w:rFonts w:asciiTheme="majorBidi" w:hAnsiTheme="majorBidi" w:cstheme="majorBidi"/>
          <w:sz w:val="21"/>
        </w:rPr>
        <w:t>First, it should be noted that, the Company and its wholly-owned private subsidiaries have positive cash flows from ongoing operations. It should be noted that there is no obstacle to transferring funds from the wholly-owned subsidiaries by distribution of dividends or receipt of a loan, subject to restrictions set out in the terms and conditions of the debentures of the subsidiaries and distribution tests set out in the relevant law.</w:t>
      </w:r>
    </w:p>
    <w:p w14:paraId="718AE283" w14:textId="2094F911" w:rsidR="00213131" w:rsidRPr="004D7A72" w:rsidRDefault="00213131" w:rsidP="00213131">
      <w:pPr>
        <w:keepLines/>
        <w:ind w:left="426"/>
        <w:contextualSpacing/>
        <w:rPr>
          <w:rFonts w:asciiTheme="majorBidi" w:hAnsiTheme="majorBidi" w:cstheme="majorBidi"/>
          <w:sz w:val="21"/>
          <w:szCs w:val="21"/>
        </w:rPr>
      </w:pPr>
      <w:r w:rsidRPr="004D7A72">
        <w:rPr>
          <w:rFonts w:asciiTheme="majorBidi" w:hAnsiTheme="majorBidi" w:cstheme="majorBidi"/>
          <w:sz w:val="21"/>
        </w:rPr>
        <w:t>In addition, given the state of the capital and unsecured debt markets, to maintain its financial strength and to reduce dependence on the capital and debt markets, the Company has binding credit facilities (some of which are not utilized) in significant amounts with financial institutions, under which the Company and/or its wholly-owned subsidiaries are able to utilize credit for different periods, based on their needs. As at June 30, 2024, the Company and its wholly-owned subsidiaries have revolving credit facilities from several local and international banks and financial institutions, which are secured by properties, in a total amount of NIS 1.6 billion, of which NIS 1.0‏ billion have been utilized as at the said date. Shortly prior to the publication date of this Report, the balance of these credit facilities was NIS 1.6 billion, of which NIS 0.8 billion was used.</w:t>
      </w:r>
    </w:p>
    <w:p w14:paraId="7820A2D7" w14:textId="3D2471F2" w:rsidR="00213131" w:rsidRPr="004D7A72" w:rsidRDefault="00213131" w:rsidP="00213131">
      <w:pPr>
        <w:keepLines/>
        <w:ind w:left="426"/>
        <w:contextualSpacing/>
        <w:rPr>
          <w:rFonts w:asciiTheme="majorBidi" w:hAnsiTheme="majorBidi" w:cstheme="majorBidi"/>
          <w:sz w:val="21"/>
          <w:szCs w:val="21"/>
        </w:rPr>
      </w:pPr>
      <w:r w:rsidRPr="004D7A72">
        <w:rPr>
          <w:rFonts w:asciiTheme="majorBidi" w:hAnsiTheme="majorBidi" w:cstheme="majorBidi"/>
          <w:sz w:val="21"/>
        </w:rPr>
        <w:t xml:space="preserve">These credit facilities are with financial institutions with which the Company has long term relationships and they are renewed from time to time for periods of three to four years, and to date, their mature in 2024-2027. In the reporting period the Company extended most of its long-term lines of credit </w:t>
      </w:r>
      <w:r w:rsidR="00057314">
        <w:rPr>
          <w:rFonts w:asciiTheme="majorBidi" w:hAnsiTheme="majorBidi" w:cstheme="majorBidi"/>
          <w:sz w:val="21"/>
        </w:rPr>
        <w:t>as well as</w:t>
      </w:r>
      <w:r w:rsidRPr="004D7A72">
        <w:rPr>
          <w:rFonts w:asciiTheme="majorBidi" w:hAnsiTheme="majorBidi" w:cstheme="majorBidi"/>
          <w:sz w:val="21"/>
        </w:rPr>
        <w:t xml:space="preserve"> another financier who has not yet extended the repayment date, </w:t>
      </w:r>
      <w:r w:rsidR="00006318">
        <w:rPr>
          <w:rFonts w:asciiTheme="majorBidi" w:hAnsiTheme="majorBidi" w:cstheme="majorBidi"/>
          <w:sz w:val="21"/>
        </w:rPr>
        <w:t>approved the framework’s extension and working with the</w:t>
      </w:r>
      <w:r w:rsidRPr="004D7A72">
        <w:rPr>
          <w:rFonts w:asciiTheme="majorBidi" w:hAnsiTheme="majorBidi" w:cstheme="majorBidi"/>
          <w:sz w:val="21"/>
        </w:rPr>
        <w:t xml:space="preserve"> Company</w:t>
      </w:r>
      <w:r w:rsidR="00006318" w:rsidRPr="00006318">
        <w:t xml:space="preserve"> </w:t>
      </w:r>
      <w:r w:rsidR="00006318" w:rsidRPr="00006318">
        <w:rPr>
          <w:rFonts w:asciiTheme="majorBidi" w:hAnsiTheme="majorBidi" w:cstheme="majorBidi"/>
          <w:sz w:val="21"/>
        </w:rPr>
        <w:t>to enter into an amendment to the agreement and to complete the process</w:t>
      </w:r>
      <w:r w:rsidRPr="004D7A72">
        <w:rPr>
          <w:rFonts w:asciiTheme="majorBidi" w:hAnsiTheme="majorBidi" w:cstheme="majorBidi"/>
          <w:sz w:val="21"/>
        </w:rPr>
        <w:t xml:space="preserve"> in the coming period. </w:t>
      </w:r>
    </w:p>
    <w:p w14:paraId="184632A9" w14:textId="3AC0EB40" w:rsidR="00386FE4" w:rsidRDefault="00213131" w:rsidP="00386FE4">
      <w:pPr>
        <w:keepLines/>
        <w:ind w:left="426"/>
        <w:contextualSpacing/>
        <w:rPr>
          <w:rFonts w:ascii="inherit" w:eastAsia="Times New Roman" w:hAnsi="inherit" w:cs="Courier New"/>
          <w:color w:val="1F1F1F"/>
          <w:sz w:val="42"/>
          <w:szCs w:val="42"/>
          <w:lang w:val="en" w:eastAsia="en-IL"/>
        </w:rPr>
      </w:pPr>
      <w:r w:rsidRPr="004D7A72">
        <w:rPr>
          <w:rFonts w:asciiTheme="majorBidi" w:hAnsiTheme="majorBidi" w:cstheme="majorBidi"/>
          <w:sz w:val="21"/>
        </w:rPr>
        <w:t xml:space="preserve">The credit facilities of the Company and its subsidiaries include financial covenants including, inter alia, minimal equity, leverage rate, utilized debt ration to collateral value and more as detailed in Note 20D to the annual financial statements, as at </w:t>
      </w:r>
      <w:r w:rsidR="00883CE8">
        <w:rPr>
          <w:rFonts w:asciiTheme="majorBidi" w:hAnsiTheme="majorBidi" w:cstheme="majorBidi"/>
          <w:sz w:val="21"/>
        </w:rPr>
        <w:t>June</w:t>
      </w:r>
      <w:r w:rsidRPr="004D7A72">
        <w:rPr>
          <w:rFonts w:asciiTheme="majorBidi" w:hAnsiTheme="majorBidi" w:cstheme="majorBidi"/>
          <w:sz w:val="21"/>
        </w:rPr>
        <w:t xml:space="preserve"> </w:t>
      </w:r>
      <w:r w:rsidR="00883CE8">
        <w:rPr>
          <w:rFonts w:asciiTheme="majorBidi" w:hAnsiTheme="majorBidi" w:cstheme="majorBidi"/>
          <w:sz w:val="21"/>
        </w:rPr>
        <w:t>20</w:t>
      </w:r>
      <w:r w:rsidRPr="004D7A72">
        <w:rPr>
          <w:rFonts w:asciiTheme="majorBidi" w:hAnsiTheme="majorBidi" w:cstheme="majorBidi"/>
          <w:sz w:val="21"/>
        </w:rPr>
        <w:t>,</w:t>
      </w:r>
      <w:r w:rsidR="00883CE8">
        <w:rPr>
          <w:rFonts w:asciiTheme="majorBidi" w:hAnsiTheme="majorBidi" w:cstheme="majorBidi"/>
          <w:sz w:val="21"/>
        </w:rPr>
        <w:t xml:space="preserve"> 2024</w:t>
      </w:r>
      <w:r w:rsidRPr="004D7A72">
        <w:rPr>
          <w:rFonts w:asciiTheme="majorBidi" w:hAnsiTheme="majorBidi" w:cstheme="majorBidi"/>
          <w:sz w:val="21"/>
        </w:rPr>
        <w:t>, and immediately prior to the publication date of this report, the Company and its subsidiaries are in compliance with all these financial covenants.</w:t>
      </w:r>
      <w:r w:rsidR="00386FE4" w:rsidRPr="00386FE4">
        <w:rPr>
          <w:rFonts w:ascii="inherit" w:eastAsia="Times New Roman" w:hAnsi="inherit" w:cs="Courier New"/>
          <w:color w:val="1F1F1F"/>
          <w:sz w:val="42"/>
          <w:szCs w:val="42"/>
          <w:lang w:val="en" w:eastAsia="en-IL"/>
        </w:rPr>
        <w:t xml:space="preserve"> </w:t>
      </w:r>
    </w:p>
    <w:p w14:paraId="1713F7A3" w14:textId="7EBD5718" w:rsidR="00213131" w:rsidRPr="004D7A72" w:rsidRDefault="00213131" w:rsidP="00213131">
      <w:pPr>
        <w:keepLines/>
        <w:ind w:left="426"/>
        <w:contextualSpacing/>
        <w:rPr>
          <w:rFonts w:asciiTheme="majorBidi" w:hAnsiTheme="majorBidi" w:cstheme="majorBidi"/>
          <w:sz w:val="21"/>
          <w:szCs w:val="21"/>
        </w:rPr>
      </w:pPr>
    </w:p>
    <w:p w14:paraId="740FE07C" w14:textId="75647CD4" w:rsidR="00213131" w:rsidRPr="004D7A72" w:rsidRDefault="00213131" w:rsidP="00213131">
      <w:pPr>
        <w:keepNext/>
        <w:keepLines/>
        <w:pageBreakBefore/>
        <w:pBdr>
          <w:top w:val="nil"/>
          <w:left w:val="nil"/>
          <w:bottom w:val="nil"/>
          <w:right w:val="nil"/>
          <w:between w:val="nil"/>
          <w:bar w:val="nil"/>
        </w:pBdr>
        <w:tabs>
          <w:tab w:val="left" w:pos="1133"/>
        </w:tabs>
        <w:contextualSpacing/>
        <w:outlineLvl w:val="3"/>
        <w:rPr>
          <w:rFonts w:asciiTheme="majorBidi" w:eastAsia="Calibri" w:hAnsiTheme="majorBidi" w:cstheme="majorBidi"/>
          <w:b/>
          <w:bCs/>
          <w:sz w:val="21"/>
          <w:szCs w:val="21"/>
        </w:rPr>
      </w:pPr>
      <w:r w:rsidRPr="004D7A72">
        <w:rPr>
          <w:rFonts w:asciiTheme="majorBidi" w:hAnsiTheme="majorBidi" w:cstheme="majorBidi"/>
          <w:b/>
          <w:sz w:val="21"/>
        </w:rPr>
        <w:lastRenderedPageBreak/>
        <w:t>Note 1 – General (</w:t>
      </w:r>
      <w:r w:rsidR="00F04E1C">
        <w:rPr>
          <w:rFonts w:asciiTheme="majorBidi" w:hAnsiTheme="majorBidi" w:cstheme="majorBidi"/>
          <w:b/>
          <w:sz w:val="21"/>
        </w:rPr>
        <w:t>c</w:t>
      </w:r>
      <w:r w:rsidRPr="004D7A72">
        <w:rPr>
          <w:rFonts w:asciiTheme="majorBidi" w:hAnsiTheme="majorBidi" w:cstheme="majorBidi"/>
          <w:b/>
          <w:sz w:val="21"/>
        </w:rPr>
        <w:t>ontd.)</w:t>
      </w:r>
    </w:p>
    <w:p w14:paraId="2023DEB3" w14:textId="4FD25350" w:rsidR="00213131" w:rsidRPr="004D7A72" w:rsidRDefault="00213131" w:rsidP="00213131">
      <w:pPr>
        <w:keepLines/>
        <w:ind w:left="426"/>
        <w:contextualSpacing/>
        <w:rPr>
          <w:rFonts w:asciiTheme="majorBidi" w:hAnsiTheme="majorBidi" w:cstheme="majorBidi"/>
          <w:sz w:val="21"/>
        </w:rPr>
      </w:pPr>
      <w:r w:rsidRPr="004D7A72">
        <w:rPr>
          <w:rFonts w:asciiTheme="majorBidi" w:hAnsiTheme="majorBidi" w:cstheme="majorBidi"/>
          <w:sz w:val="21"/>
        </w:rPr>
        <w:t xml:space="preserve">On October 25, 2022, the Company published a plan for the disposal of the Group's properties, which was revised from time to time, for an amount of NIS 7.1 billion (the “Property Disposal Plan”). Under the Property Disposal Plan, the Company intends to dispose of properties worth a total of NIS 7.1 billion in Europe, Brazil, USA and Israel. As at date of publication of this Report, the Company and its wholly owned subsidiaries sold properties to the value of NIS 4.0 billion, similar to their carrying amounts (other than the sale of the portfolio in Russia). In addition, as at reporting date, properties for a total value of NIS 1.4 billion are in advanced negotiation and additional properties worth a total of NIS 1.6 billion are up for sale. NIS 1.3 billion of the foregoing properties are presented under the item of properties held for sale. The scope of disposal of properties and the Group's rate of progress in such disposal, including the pace at which the properties have been put up for sale according to the various countries in which the Group operates is dynamic and is carried out according to the market conditions in the various countries in which the Group operates, and pursuant to the discretion of the Company’s management, while taking </w:t>
      </w:r>
      <w:proofErr w:type="spellStart"/>
      <w:r w:rsidRPr="004D7A72">
        <w:rPr>
          <w:rFonts w:asciiTheme="majorBidi" w:hAnsiTheme="majorBidi" w:cstheme="majorBidi"/>
          <w:sz w:val="21"/>
        </w:rPr>
        <w:t>macro economic</w:t>
      </w:r>
      <w:proofErr w:type="spellEnd"/>
      <w:r w:rsidRPr="004D7A72">
        <w:rPr>
          <w:rFonts w:asciiTheme="majorBidi" w:hAnsiTheme="majorBidi" w:cstheme="majorBidi"/>
          <w:sz w:val="21"/>
        </w:rPr>
        <w:t xml:space="preserve"> and Company specific considerations into account, and by balancing the Company's needs and maximization of the value of the properties.</w:t>
      </w:r>
    </w:p>
    <w:p w14:paraId="1B233100" w14:textId="77777777" w:rsidR="00213131" w:rsidRPr="004D7A72" w:rsidRDefault="00213131" w:rsidP="00213131">
      <w:pPr>
        <w:keepLines/>
        <w:ind w:left="426"/>
        <w:contextualSpacing/>
        <w:rPr>
          <w:rFonts w:asciiTheme="majorBidi" w:hAnsiTheme="majorBidi" w:cstheme="majorBidi"/>
          <w:sz w:val="21"/>
        </w:rPr>
      </w:pPr>
      <w:r w:rsidRPr="004D7A72">
        <w:rPr>
          <w:rFonts w:asciiTheme="majorBidi" w:hAnsiTheme="majorBidi" w:cstheme="majorBidi"/>
          <w:sz w:val="21"/>
        </w:rPr>
        <w:t>In addition, the Company and its wholly-owned subsidiary intend to act to obtain financing, to be secured by several debt-free properties (mainly properties in Europe), for a cumulative amount of EUR 118 million.</w:t>
      </w:r>
    </w:p>
    <w:p w14:paraId="301B9AC7" w14:textId="4F75B4F2" w:rsidR="00213131" w:rsidRPr="004D7A72" w:rsidRDefault="00213131" w:rsidP="00213131">
      <w:pPr>
        <w:keepLines/>
        <w:ind w:left="426"/>
        <w:contextualSpacing/>
        <w:rPr>
          <w:rFonts w:asciiTheme="majorBidi" w:hAnsiTheme="majorBidi" w:cstheme="majorBidi"/>
          <w:sz w:val="21"/>
        </w:rPr>
      </w:pPr>
      <w:r w:rsidRPr="004D7A72">
        <w:rPr>
          <w:rFonts w:asciiTheme="majorBidi" w:hAnsiTheme="majorBidi" w:cstheme="majorBidi"/>
          <w:sz w:val="21"/>
        </w:rPr>
        <w:t xml:space="preserve">Furthermore, in the reporting period, Gazit Malls, a subsidiary of the Company in Brazil, completed an </w:t>
      </w:r>
      <w:r w:rsidR="008A500C">
        <w:rPr>
          <w:rFonts w:asciiTheme="majorBidi" w:hAnsiTheme="majorBidi" w:cstheme="majorBidi"/>
          <w:sz w:val="21"/>
        </w:rPr>
        <w:t>IPO</w:t>
      </w:r>
      <w:r w:rsidRPr="004D7A72">
        <w:rPr>
          <w:rFonts w:asciiTheme="majorBidi" w:hAnsiTheme="majorBidi" w:cstheme="majorBidi"/>
          <w:sz w:val="21"/>
        </w:rPr>
        <w:t xml:space="preserve"> for an amount of BRL 301 million (NIS 226 million) by way of a </w:t>
      </w:r>
      <w:r w:rsidR="00A453F4">
        <w:rPr>
          <w:rFonts w:asciiTheme="majorBidi" w:hAnsiTheme="majorBidi" w:cstheme="majorBidi"/>
          <w:sz w:val="21"/>
        </w:rPr>
        <w:t>tender offer</w:t>
      </w:r>
      <w:r w:rsidRPr="004D7A72">
        <w:rPr>
          <w:rFonts w:asciiTheme="majorBidi" w:hAnsiTheme="majorBidi" w:cstheme="majorBidi"/>
          <w:sz w:val="21"/>
        </w:rPr>
        <w:t xml:space="preserve"> of part of its holdings of the Company. </w:t>
      </w:r>
    </w:p>
    <w:p w14:paraId="2E0D8C9A" w14:textId="77777777" w:rsidR="00213131" w:rsidRPr="004D7A72" w:rsidRDefault="00213131" w:rsidP="00213131">
      <w:pPr>
        <w:keepLines/>
        <w:ind w:left="426"/>
        <w:contextualSpacing/>
        <w:rPr>
          <w:rFonts w:asciiTheme="majorBidi" w:hAnsiTheme="majorBidi" w:cstheme="majorBidi"/>
          <w:sz w:val="21"/>
        </w:rPr>
      </w:pPr>
      <w:r w:rsidRPr="004D7A72">
        <w:rPr>
          <w:rFonts w:asciiTheme="majorBidi" w:hAnsiTheme="majorBidi" w:cstheme="majorBidi"/>
          <w:sz w:val="21"/>
        </w:rPr>
        <w:t>In addition, in the reporting period, the Company issued NIS 410 million par value Debentures (Series R) that are secured by the shares of a wholly owned subsidiary of the Company in the United States, and NIS 495 million par value Debentures (Series S), secured by a second degree lien on real estate properties in Israel. It also issued NIS 350 million par value Debentures (Series P) by way of expansion of the series that is not secured.</w:t>
      </w:r>
    </w:p>
    <w:p w14:paraId="58D7AE49" w14:textId="77777777" w:rsidR="00213131" w:rsidRPr="004D7A72" w:rsidRDefault="00213131" w:rsidP="00213131">
      <w:pPr>
        <w:keepLines/>
        <w:ind w:left="426"/>
        <w:contextualSpacing/>
        <w:rPr>
          <w:rFonts w:asciiTheme="majorBidi" w:hAnsiTheme="majorBidi" w:cstheme="majorBidi"/>
          <w:sz w:val="21"/>
        </w:rPr>
      </w:pPr>
      <w:r w:rsidRPr="004D7A72">
        <w:rPr>
          <w:rFonts w:asciiTheme="majorBidi" w:hAnsiTheme="majorBidi" w:cstheme="majorBidi"/>
          <w:sz w:val="21"/>
        </w:rPr>
        <w:t>Moreover, CTY carried out several actions to strengthen its balance sheet which include the issue of shares for a total consideration of EUR 48 million (the Company participated in the issue for an amount of EUR 15 million), the issue of EUR 300 million par value debentures and announced a plan for the disposal of properties in an amount of EUR 350 million in 2024, as at reporting date, EUR 300 million were classified and held for sale. Furthermore, in the reporting period CTY dispose of a property in Norway for proceeds of EUR 31 million.</w:t>
      </w:r>
    </w:p>
    <w:p w14:paraId="65460527" w14:textId="77777777" w:rsidR="00213131" w:rsidRPr="004D7A72" w:rsidRDefault="00213131" w:rsidP="00213131">
      <w:pPr>
        <w:keepLines/>
        <w:ind w:left="426"/>
        <w:contextualSpacing/>
        <w:rPr>
          <w:rFonts w:asciiTheme="majorBidi" w:hAnsiTheme="majorBidi" w:cstheme="majorBidi"/>
          <w:sz w:val="21"/>
        </w:rPr>
      </w:pPr>
      <w:r w:rsidRPr="004D7A72">
        <w:rPr>
          <w:rFonts w:asciiTheme="majorBidi" w:hAnsiTheme="majorBidi" w:cstheme="majorBidi"/>
          <w:sz w:val="21"/>
        </w:rPr>
        <w:t>In view of the foregoing, the Company's management and Board of Directors believe that the Company will be able to meet all of its existing and expected liabilities when they fall due.</w:t>
      </w:r>
    </w:p>
    <w:p w14:paraId="4A4092D1" w14:textId="77777777" w:rsidR="00213131" w:rsidRPr="004D7A72" w:rsidRDefault="00213131" w:rsidP="00213131">
      <w:pPr>
        <w:keepLines/>
        <w:ind w:left="426"/>
        <w:contextualSpacing/>
        <w:rPr>
          <w:rFonts w:asciiTheme="majorBidi" w:hAnsiTheme="majorBidi" w:cstheme="majorBidi"/>
          <w:sz w:val="21"/>
          <w:rtl/>
        </w:rPr>
      </w:pPr>
    </w:p>
    <w:bookmarkEnd w:id="140"/>
    <w:p w14:paraId="2A4D3A1D" w14:textId="77777777" w:rsidR="00213131" w:rsidRPr="004D7A72" w:rsidRDefault="00213131" w:rsidP="004D7A72">
      <w:pPr>
        <w:pStyle w:val="ListParagraph"/>
        <w:keepNext/>
        <w:keepLines/>
        <w:numPr>
          <w:ilvl w:val="0"/>
          <w:numId w:val="58"/>
        </w:numPr>
        <w:tabs>
          <w:tab w:val="left" w:pos="425"/>
        </w:tabs>
        <w:spacing w:before="60" w:after="60" w:line="276" w:lineRule="auto"/>
        <w:ind w:left="426"/>
        <w:outlineLvl w:val="4"/>
        <w:rPr>
          <w:rFonts w:asciiTheme="majorBidi" w:hAnsiTheme="majorBidi" w:cstheme="majorBidi"/>
          <w:sz w:val="21"/>
          <w:u w:val="single"/>
        </w:rPr>
      </w:pPr>
      <w:r w:rsidRPr="004D7A72">
        <w:rPr>
          <w:rFonts w:asciiTheme="majorBidi" w:hAnsiTheme="majorBidi" w:cstheme="majorBidi"/>
          <w:sz w:val="21"/>
          <w:u w:val="single"/>
        </w:rPr>
        <w:t>Swords of Iron War:</w:t>
      </w:r>
    </w:p>
    <w:p w14:paraId="6FBB2A5F" w14:textId="77777777" w:rsidR="00213131" w:rsidRPr="004D7A72" w:rsidRDefault="00213131" w:rsidP="00213131">
      <w:pPr>
        <w:keepLines/>
        <w:tabs>
          <w:tab w:val="left" w:pos="707"/>
        </w:tabs>
        <w:ind w:left="426"/>
        <w:contextualSpacing/>
        <w:rPr>
          <w:rFonts w:asciiTheme="majorBidi" w:hAnsiTheme="majorBidi" w:cstheme="majorBidi"/>
          <w:sz w:val="21"/>
          <w:szCs w:val="21"/>
        </w:rPr>
      </w:pPr>
      <w:bookmarkStart w:id="142" w:name="_Hlk173873703"/>
      <w:r w:rsidRPr="004D7A72">
        <w:rPr>
          <w:rFonts w:asciiTheme="majorBidi" w:hAnsiTheme="majorBidi" w:cstheme="majorBidi"/>
          <w:sz w:val="21"/>
        </w:rPr>
        <w:t>In October 2023, the Hamas terror organization launched a murderous terrorist attack on the State of Israel, which led to the start of the Swords of Iron War. Since the beginning of 2024 through to reporting date the War is ongoing, including on the Northern front and in Judea and Samaria, while  dealing with threats from Iran and the Houthis as well. At the same time, the War has led to igniting an unprecedented wave of antisemitism worldwide and, among other things, Turkey has imposed an embargo on exports to the State of Israel and there are concerns that other countries and/or business corporations (including international retail chains) will follow suit and impose restrictions on transactions with Israel. Due to the War and its effects on the Israeli economy, in the first quarter of 2024 Moody’s rating agency downgraded the credit rating of the State of Israel from A1 to A2, and in the second quarter, S&amp;P rating agency downgraded Israel’s credit rating from AA- to A+.</w:t>
      </w:r>
    </w:p>
    <w:p w14:paraId="7A55756B" w14:textId="77777777" w:rsidR="00213131" w:rsidRPr="004D7A72" w:rsidRDefault="00213131" w:rsidP="00213131">
      <w:pPr>
        <w:keepLines/>
        <w:tabs>
          <w:tab w:val="left" w:pos="707"/>
        </w:tabs>
        <w:ind w:left="426"/>
        <w:contextualSpacing/>
        <w:rPr>
          <w:rFonts w:asciiTheme="majorBidi" w:hAnsiTheme="majorBidi" w:cstheme="majorBidi"/>
          <w:sz w:val="21"/>
          <w:szCs w:val="21"/>
        </w:rPr>
      </w:pPr>
      <w:r w:rsidRPr="004D7A72">
        <w:rPr>
          <w:rFonts w:asciiTheme="majorBidi" w:hAnsiTheme="majorBidi" w:cstheme="majorBidi"/>
          <w:sz w:val="21"/>
        </w:rPr>
        <w:t>Upon the outbreak of the war there was a significant decrease in economic activity in Israel, including with regard to the company’s properties in Israel, however it is evident that as time goes by there has been an increase in the number of visitors and in the revenues of the company’s properties, and during and subsequent to the reporting period, these have returned to the usual pre-war scope.</w:t>
      </w:r>
    </w:p>
    <w:p w14:paraId="3B869444" w14:textId="7ECBC5E1" w:rsidR="00213131" w:rsidRPr="004D7A72" w:rsidRDefault="00213131" w:rsidP="00213131">
      <w:pPr>
        <w:keepNext/>
        <w:keepLines/>
        <w:pageBreakBefore/>
        <w:pBdr>
          <w:top w:val="nil"/>
          <w:left w:val="nil"/>
          <w:bottom w:val="nil"/>
          <w:right w:val="nil"/>
          <w:between w:val="nil"/>
          <w:bar w:val="nil"/>
        </w:pBdr>
        <w:tabs>
          <w:tab w:val="left" w:pos="1133"/>
        </w:tabs>
        <w:contextualSpacing/>
        <w:outlineLvl w:val="3"/>
        <w:rPr>
          <w:rFonts w:asciiTheme="majorBidi" w:eastAsia="Calibri" w:hAnsiTheme="majorBidi" w:cstheme="majorBidi"/>
          <w:b/>
          <w:bCs/>
          <w:sz w:val="21"/>
          <w:szCs w:val="21"/>
        </w:rPr>
      </w:pPr>
      <w:r w:rsidRPr="004D7A72">
        <w:rPr>
          <w:rFonts w:asciiTheme="majorBidi" w:hAnsiTheme="majorBidi" w:cstheme="majorBidi"/>
          <w:b/>
          <w:sz w:val="21"/>
        </w:rPr>
        <w:lastRenderedPageBreak/>
        <w:t>Note 1 – General (</w:t>
      </w:r>
      <w:r w:rsidR="00F04E1C">
        <w:rPr>
          <w:rFonts w:asciiTheme="majorBidi" w:hAnsiTheme="majorBidi" w:cstheme="majorBidi"/>
          <w:b/>
          <w:sz w:val="21"/>
        </w:rPr>
        <w:t>c</w:t>
      </w:r>
      <w:r w:rsidRPr="004D7A72">
        <w:rPr>
          <w:rFonts w:asciiTheme="majorBidi" w:hAnsiTheme="majorBidi" w:cstheme="majorBidi"/>
          <w:b/>
          <w:sz w:val="21"/>
        </w:rPr>
        <w:t>ontd.)</w:t>
      </w:r>
    </w:p>
    <w:p w14:paraId="34F2BB10" w14:textId="77777777" w:rsidR="00213131" w:rsidRPr="004D7A72" w:rsidRDefault="00213131" w:rsidP="00213131">
      <w:pPr>
        <w:keepLines/>
        <w:tabs>
          <w:tab w:val="left" w:pos="707"/>
        </w:tabs>
        <w:ind w:left="426"/>
        <w:contextualSpacing/>
        <w:rPr>
          <w:rFonts w:asciiTheme="majorBidi" w:eastAsia="Times New Roman" w:hAnsiTheme="majorBidi" w:cstheme="majorBidi"/>
          <w:sz w:val="21"/>
          <w:szCs w:val="21"/>
        </w:rPr>
      </w:pPr>
      <w:r w:rsidRPr="004D7A72">
        <w:rPr>
          <w:rFonts w:asciiTheme="majorBidi" w:hAnsiTheme="majorBidi" w:cstheme="majorBidi"/>
          <w:sz w:val="21"/>
        </w:rPr>
        <w:t>To date, the declaration of war is still in effect and there is uncertainty regarding the duration, nature and scope of the war. Therefore the company is unable to assess the impact of the war on its businesses, however it estimates that the continuation of the war at its current intensity is not expected to have a material effect on the company’s businesses and on its financial results in the coming quarters, based on the foregoing.</w:t>
      </w:r>
    </w:p>
    <w:bookmarkEnd w:id="142"/>
    <w:p w14:paraId="5EFF1DCB" w14:textId="77777777" w:rsidR="00213131" w:rsidRPr="004D7A72" w:rsidRDefault="00213131" w:rsidP="00213131">
      <w:pPr>
        <w:pStyle w:val="ListParagraph"/>
        <w:keepNext/>
        <w:keepLines/>
        <w:tabs>
          <w:tab w:val="left" w:pos="425"/>
        </w:tabs>
        <w:ind w:left="0"/>
        <w:outlineLvl w:val="4"/>
        <w:rPr>
          <w:rFonts w:asciiTheme="majorBidi" w:hAnsiTheme="majorBidi" w:cstheme="majorBidi"/>
          <w:sz w:val="21"/>
          <w:szCs w:val="21"/>
        </w:rPr>
      </w:pPr>
    </w:p>
    <w:p w14:paraId="7C26CB6F" w14:textId="77777777" w:rsidR="00213131" w:rsidRPr="004D7A72" w:rsidRDefault="00213131" w:rsidP="004D7A72">
      <w:pPr>
        <w:pStyle w:val="ListParagraph"/>
        <w:keepNext/>
        <w:keepLines/>
        <w:numPr>
          <w:ilvl w:val="0"/>
          <w:numId w:val="58"/>
        </w:numPr>
        <w:tabs>
          <w:tab w:val="left" w:pos="425"/>
        </w:tabs>
        <w:spacing w:before="60" w:after="60" w:line="276" w:lineRule="auto"/>
        <w:ind w:left="426"/>
        <w:outlineLvl w:val="4"/>
        <w:rPr>
          <w:rFonts w:asciiTheme="majorBidi" w:hAnsiTheme="majorBidi" w:cstheme="majorBidi"/>
          <w:sz w:val="21"/>
          <w:u w:val="single"/>
        </w:rPr>
      </w:pPr>
      <w:r w:rsidRPr="004D7A72">
        <w:rPr>
          <w:rFonts w:asciiTheme="majorBidi" w:hAnsiTheme="majorBidi" w:cstheme="majorBidi"/>
          <w:sz w:val="21"/>
          <w:u w:val="single"/>
        </w:rPr>
        <w:t>Definitions in these financial statements:</w:t>
      </w:r>
    </w:p>
    <w:tbl>
      <w:tblPr>
        <w:tblStyle w:val="TableGrid"/>
        <w:tblW w:w="9923" w:type="dxa"/>
        <w:tblInd w:w="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697"/>
        <w:gridCol w:w="7986"/>
      </w:tblGrid>
      <w:tr w:rsidR="00213131" w:rsidRPr="004D7A72" w14:paraId="3080DB9C" w14:textId="77777777" w:rsidTr="000F2CC2">
        <w:trPr>
          <w:cantSplit/>
        </w:trPr>
        <w:tc>
          <w:tcPr>
            <w:tcW w:w="1240" w:type="dxa"/>
          </w:tcPr>
          <w:p w14:paraId="77576798" w14:textId="77777777" w:rsidR="00213131" w:rsidRPr="004D7A72" w:rsidRDefault="00213131" w:rsidP="00A65A6F">
            <w:pPr>
              <w:pStyle w:val="ListParagraph"/>
              <w:keepNext/>
              <w:keepLines/>
              <w:ind w:left="0"/>
              <w:outlineLvl w:val="4"/>
              <w:rPr>
                <w:rFonts w:asciiTheme="majorBidi" w:hAnsiTheme="majorBidi" w:cstheme="majorBidi"/>
                <w:sz w:val="21"/>
                <w:szCs w:val="21"/>
              </w:rPr>
            </w:pPr>
            <w:r w:rsidRPr="004D7A72">
              <w:rPr>
                <w:rFonts w:asciiTheme="majorBidi" w:hAnsiTheme="majorBidi" w:cstheme="majorBidi"/>
                <w:sz w:val="21"/>
              </w:rPr>
              <w:t>Company</w:t>
            </w:r>
          </w:p>
        </w:tc>
        <w:tc>
          <w:tcPr>
            <w:tcW w:w="697" w:type="dxa"/>
          </w:tcPr>
          <w:p w14:paraId="6F2E1F3D" w14:textId="77777777" w:rsidR="00213131" w:rsidRPr="004D7A72" w:rsidRDefault="00213131" w:rsidP="00A65A6F">
            <w:pPr>
              <w:pStyle w:val="ListParagraph"/>
              <w:keepNext/>
              <w:keepLines/>
              <w:ind w:left="0"/>
              <w:outlineLvl w:val="4"/>
              <w:rPr>
                <w:rFonts w:asciiTheme="majorBidi" w:hAnsiTheme="majorBidi" w:cstheme="majorBidi"/>
                <w:sz w:val="21"/>
                <w:szCs w:val="21"/>
              </w:rPr>
            </w:pPr>
            <w:r w:rsidRPr="004D7A72">
              <w:rPr>
                <w:rFonts w:asciiTheme="majorBidi" w:hAnsiTheme="majorBidi" w:cstheme="majorBidi"/>
                <w:sz w:val="21"/>
              </w:rPr>
              <w:t>-</w:t>
            </w:r>
          </w:p>
        </w:tc>
        <w:tc>
          <w:tcPr>
            <w:tcW w:w="7986" w:type="dxa"/>
          </w:tcPr>
          <w:p w14:paraId="57714C16" w14:textId="77777777" w:rsidR="00213131" w:rsidRPr="004D7A72" w:rsidRDefault="00213131" w:rsidP="00A65A6F">
            <w:pPr>
              <w:pStyle w:val="ListParagraph"/>
              <w:keepNext/>
              <w:keepLines/>
              <w:ind w:left="0"/>
              <w:outlineLvl w:val="4"/>
              <w:rPr>
                <w:rFonts w:asciiTheme="majorBidi" w:hAnsiTheme="majorBidi" w:cstheme="majorBidi"/>
                <w:sz w:val="21"/>
                <w:szCs w:val="21"/>
              </w:rPr>
            </w:pPr>
            <w:r w:rsidRPr="004D7A72">
              <w:rPr>
                <w:rFonts w:asciiTheme="majorBidi" w:hAnsiTheme="majorBidi" w:cstheme="majorBidi"/>
                <w:sz w:val="21"/>
              </w:rPr>
              <w:t>G City Ltd. (formerly Gazit-Globe Ltd.)</w:t>
            </w:r>
          </w:p>
        </w:tc>
      </w:tr>
      <w:tr w:rsidR="00213131" w:rsidRPr="004D7A72" w14:paraId="0CB0A788" w14:textId="77777777" w:rsidTr="000F2CC2">
        <w:trPr>
          <w:cantSplit/>
        </w:trPr>
        <w:tc>
          <w:tcPr>
            <w:tcW w:w="1240" w:type="dxa"/>
          </w:tcPr>
          <w:p w14:paraId="5A75AD90" w14:textId="77777777" w:rsidR="00213131" w:rsidRPr="004D7A72" w:rsidRDefault="00213131" w:rsidP="00A65A6F">
            <w:pPr>
              <w:pStyle w:val="ListParagraph"/>
              <w:keepNext/>
              <w:keepLines/>
              <w:ind w:left="0"/>
              <w:outlineLvl w:val="4"/>
              <w:rPr>
                <w:rFonts w:asciiTheme="majorBidi" w:hAnsiTheme="majorBidi" w:cstheme="majorBidi"/>
                <w:sz w:val="21"/>
                <w:szCs w:val="21"/>
              </w:rPr>
            </w:pPr>
            <w:r w:rsidRPr="004D7A72">
              <w:rPr>
                <w:rFonts w:asciiTheme="majorBidi" w:hAnsiTheme="majorBidi" w:cstheme="majorBidi"/>
                <w:sz w:val="21"/>
              </w:rPr>
              <w:t xml:space="preserve">G Europe  </w:t>
            </w:r>
          </w:p>
        </w:tc>
        <w:tc>
          <w:tcPr>
            <w:tcW w:w="697" w:type="dxa"/>
          </w:tcPr>
          <w:p w14:paraId="6F90487F" w14:textId="77777777" w:rsidR="00213131" w:rsidRPr="004D7A72" w:rsidRDefault="00213131" w:rsidP="00A65A6F">
            <w:pPr>
              <w:pStyle w:val="ListParagraph"/>
              <w:keepNext/>
              <w:keepLines/>
              <w:ind w:left="0"/>
              <w:outlineLvl w:val="4"/>
              <w:rPr>
                <w:rFonts w:asciiTheme="majorBidi" w:hAnsiTheme="majorBidi" w:cstheme="majorBidi"/>
                <w:sz w:val="21"/>
                <w:szCs w:val="21"/>
              </w:rPr>
            </w:pPr>
            <w:r w:rsidRPr="004D7A72">
              <w:rPr>
                <w:rFonts w:asciiTheme="majorBidi" w:hAnsiTheme="majorBidi" w:cstheme="majorBidi"/>
                <w:sz w:val="21"/>
              </w:rPr>
              <w:t>-</w:t>
            </w:r>
          </w:p>
        </w:tc>
        <w:tc>
          <w:tcPr>
            <w:tcW w:w="7986" w:type="dxa"/>
          </w:tcPr>
          <w:p w14:paraId="0D3A3284" w14:textId="77777777" w:rsidR="00213131" w:rsidRPr="004D7A72" w:rsidRDefault="00213131" w:rsidP="00A65A6F">
            <w:pPr>
              <w:pStyle w:val="ListParagraph"/>
              <w:keepNext/>
              <w:keepLines/>
              <w:ind w:left="0"/>
              <w:outlineLvl w:val="4"/>
              <w:rPr>
                <w:rFonts w:asciiTheme="majorBidi" w:hAnsiTheme="majorBidi" w:cstheme="majorBidi"/>
                <w:sz w:val="21"/>
                <w:szCs w:val="21"/>
              </w:rPr>
            </w:pPr>
            <w:r w:rsidRPr="004D7A72">
              <w:rPr>
                <w:rFonts w:asciiTheme="majorBidi" w:hAnsiTheme="majorBidi" w:cstheme="majorBidi"/>
                <w:sz w:val="21"/>
              </w:rPr>
              <w:t xml:space="preserve">G City Europe Limited (formerly  Atrium European Real Estate Limited), a subsidiary </w:t>
            </w:r>
          </w:p>
        </w:tc>
      </w:tr>
      <w:tr w:rsidR="00213131" w:rsidRPr="004D7A72" w14:paraId="7D750DB4" w14:textId="77777777" w:rsidTr="000F2CC2">
        <w:trPr>
          <w:cantSplit/>
        </w:trPr>
        <w:tc>
          <w:tcPr>
            <w:tcW w:w="1240" w:type="dxa"/>
          </w:tcPr>
          <w:p w14:paraId="7017BB02" w14:textId="77777777" w:rsidR="00213131" w:rsidRPr="004D7A72" w:rsidRDefault="00213131" w:rsidP="00A65A6F">
            <w:pPr>
              <w:pStyle w:val="ListParagraph"/>
              <w:keepNext/>
              <w:keepLines/>
              <w:ind w:left="0"/>
              <w:outlineLvl w:val="4"/>
              <w:rPr>
                <w:rFonts w:asciiTheme="majorBidi" w:hAnsiTheme="majorBidi" w:cstheme="majorBidi"/>
                <w:sz w:val="21"/>
                <w:szCs w:val="21"/>
              </w:rPr>
            </w:pPr>
            <w:r w:rsidRPr="004D7A72">
              <w:rPr>
                <w:rFonts w:asciiTheme="majorBidi" w:hAnsiTheme="majorBidi" w:cstheme="majorBidi"/>
                <w:sz w:val="21"/>
              </w:rPr>
              <w:t xml:space="preserve">CTY  </w:t>
            </w:r>
          </w:p>
        </w:tc>
        <w:tc>
          <w:tcPr>
            <w:tcW w:w="697" w:type="dxa"/>
          </w:tcPr>
          <w:p w14:paraId="596E3B2E" w14:textId="77777777" w:rsidR="00213131" w:rsidRPr="004D7A72" w:rsidRDefault="00213131" w:rsidP="00A65A6F">
            <w:pPr>
              <w:pStyle w:val="ListParagraph"/>
              <w:keepNext/>
              <w:keepLines/>
              <w:ind w:left="0"/>
              <w:outlineLvl w:val="4"/>
              <w:rPr>
                <w:rFonts w:asciiTheme="majorBidi" w:hAnsiTheme="majorBidi" w:cstheme="majorBidi"/>
                <w:sz w:val="21"/>
                <w:szCs w:val="21"/>
              </w:rPr>
            </w:pPr>
            <w:r w:rsidRPr="004D7A72">
              <w:rPr>
                <w:rFonts w:asciiTheme="majorBidi" w:hAnsiTheme="majorBidi" w:cstheme="majorBidi"/>
                <w:sz w:val="21"/>
              </w:rPr>
              <w:t>-</w:t>
            </w:r>
          </w:p>
        </w:tc>
        <w:tc>
          <w:tcPr>
            <w:tcW w:w="7986" w:type="dxa"/>
          </w:tcPr>
          <w:p w14:paraId="74E12C80" w14:textId="77777777" w:rsidR="00213131" w:rsidRPr="004D7A72" w:rsidRDefault="00213131" w:rsidP="00A65A6F">
            <w:pPr>
              <w:pStyle w:val="ListParagraph"/>
              <w:keepNext/>
              <w:keepLines/>
              <w:ind w:left="0"/>
              <w:outlineLvl w:val="4"/>
              <w:rPr>
                <w:rFonts w:asciiTheme="majorBidi" w:hAnsiTheme="majorBidi" w:cstheme="majorBidi"/>
                <w:sz w:val="21"/>
                <w:szCs w:val="21"/>
              </w:rPr>
            </w:pPr>
            <w:proofErr w:type="spellStart"/>
            <w:r w:rsidRPr="004D7A72">
              <w:rPr>
                <w:rFonts w:asciiTheme="majorBidi" w:hAnsiTheme="majorBidi" w:cstheme="majorBidi"/>
                <w:sz w:val="21"/>
              </w:rPr>
              <w:t>Citycon</w:t>
            </w:r>
            <w:proofErr w:type="spellEnd"/>
            <w:r w:rsidRPr="004D7A72">
              <w:rPr>
                <w:rFonts w:asciiTheme="majorBidi" w:hAnsiTheme="majorBidi" w:cstheme="majorBidi"/>
                <w:sz w:val="21"/>
              </w:rPr>
              <w:t xml:space="preserve"> </w:t>
            </w:r>
            <w:proofErr w:type="spellStart"/>
            <w:r w:rsidRPr="004D7A72">
              <w:rPr>
                <w:rFonts w:asciiTheme="majorBidi" w:hAnsiTheme="majorBidi" w:cstheme="majorBidi"/>
                <w:sz w:val="21"/>
              </w:rPr>
              <w:t>Oyj</w:t>
            </w:r>
            <w:proofErr w:type="spellEnd"/>
            <w:r w:rsidRPr="004D7A72">
              <w:rPr>
                <w:rFonts w:asciiTheme="majorBidi" w:hAnsiTheme="majorBidi" w:cstheme="majorBidi"/>
                <w:sz w:val="21"/>
              </w:rPr>
              <w:t>, a subsidiary.</w:t>
            </w:r>
          </w:p>
        </w:tc>
      </w:tr>
      <w:bookmarkEnd w:id="141"/>
    </w:tbl>
    <w:p w14:paraId="0E9B9F1D" w14:textId="77777777" w:rsidR="00213131" w:rsidRPr="004D7A72" w:rsidRDefault="00213131" w:rsidP="00213131">
      <w:pPr>
        <w:pStyle w:val="ListParagraph"/>
        <w:keepLines/>
        <w:ind w:left="0"/>
        <w:outlineLvl w:val="4"/>
        <w:rPr>
          <w:rFonts w:asciiTheme="majorBidi" w:hAnsiTheme="majorBidi" w:cstheme="majorBidi"/>
          <w:vanish/>
          <w:sz w:val="21"/>
          <w:szCs w:val="21"/>
          <w:rtl/>
        </w:rPr>
      </w:pPr>
    </w:p>
    <w:p w14:paraId="0333E498" w14:textId="77777777" w:rsidR="00213131" w:rsidRPr="004D7A72" w:rsidRDefault="00213131" w:rsidP="00213131">
      <w:pPr>
        <w:spacing w:before="0" w:after="0" w:line="240" w:lineRule="auto"/>
        <w:rPr>
          <w:rFonts w:asciiTheme="majorBidi" w:eastAsia="Ploni ML Medium AAA Medium" w:hAnsiTheme="majorBidi" w:cstheme="majorBidi"/>
          <w:sz w:val="21"/>
        </w:rPr>
      </w:pPr>
    </w:p>
    <w:p w14:paraId="78D55283" w14:textId="77777777" w:rsidR="00213131" w:rsidRDefault="00213131" w:rsidP="00213131">
      <w:pPr>
        <w:pStyle w:val="ListParagraph"/>
        <w:keepNext/>
        <w:keepLines/>
        <w:tabs>
          <w:tab w:val="left" w:pos="1133"/>
        </w:tabs>
        <w:ind w:left="0"/>
        <w:outlineLvl w:val="3"/>
        <w:rPr>
          <w:rFonts w:asciiTheme="majorBidi" w:hAnsiTheme="majorBidi" w:cstheme="majorBidi"/>
          <w:b/>
          <w:sz w:val="21"/>
        </w:rPr>
      </w:pPr>
      <w:bookmarkStart w:id="143" w:name="RG_MARKER_56588"/>
      <w:bookmarkStart w:id="144" w:name="RG_MARKER_56665"/>
      <w:bookmarkStart w:id="145" w:name="H4_באור_20Note_עיקרי_המדיניות_החשבונאית"/>
      <w:bookmarkEnd w:id="143"/>
      <w:bookmarkEnd w:id="144"/>
      <w:r w:rsidRPr="004D7A72">
        <w:rPr>
          <w:rFonts w:asciiTheme="majorBidi" w:hAnsiTheme="majorBidi" w:cstheme="majorBidi"/>
          <w:b/>
          <w:sz w:val="21"/>
        </w:rPr>
        <w:t>Note 2 - Significant Accounting Policies</w:t>
      </w:r>
    </w:p>
    <w:p w14:paraId="39FB399A" w14:textId="77777777" w:rsidR="00B7419D" w:rsidRPr="004D7A72" w:rsidRDefault="00B7419D" w:rsidP="00213131">
      <w:pPr>
        <w:pStyle w:val="ListParagraph"/>
        <w:keepNext/>
        <w:keepLines/>
        <w:tabs>
          <w:tab w:val="left" w:pos="1133"/>
        </w:tabs>
        <w:ind w:left="0"/>
        <w:outlineLvl w:val="3"/>
        <w:rPr>
          <w:rFonts w:asciiTheme="majorBidi" w:hAnsiTheme="majorBidi" w:cstheme="majorBidi"/>
          <w:b/>
          <w:bCs/>
          <w:sz w:val="21"/>
          <w:szCs w:val="21"/>
        </w:rPr>
      </w:pPr>
    </w:p>
    <w:p w14:paraId="2ACB6DBF" w14:textId="77777777" w:rsidR="00213131" w:rsidRPr="004D7A72" w:rsidRDefault="00213131" w:rsidP="004D7A72">
      <w:pPr>
        <w:pStyle w:val="ListParagraph"/>
        <w:keepNext/>
        <w:keepLines/>
        <w:widowControl w:val="0"/>
        <w:numPr>
          <w:ilvl w:val="0"/>
          <w:numId w:val="59"/>
        </w:numPr>
        <w:tabs>
          <w:tab w:val="left" w:pos="425"/>
        </w:tabs>
        <w:spacing w:before="60" w:after="60" w:line="276" w:lineRule="auto"/>
        <w:ind w:left="426" w:hanging="426"/>
        <w:outlineLvl w:val="4"/>
        <w:rPr>
          <w:rFonts w:asciiTheme="majorBidi" w:hAnsiTheme="majorBidi" w:cstheme="majorBidi"/>
          <w:sz w:val="21"/>
          <w:szCs w:val="21"/>
          <w:u w:val="single"/>
        </w:rPr>
      </w:pPr>
      <w:bookmarkStart w:id="146" w:name="H5_מתכונת_העריכה_של_הדוחות_הכספיים_ביניי"/>
      <w:bookmarkEnd w:id="145"/>
      <w:r w:rsidRPr="004D7A72">
        <w:rPr>
          <w:rFonts w:asciiTheme="majorBidi" w:hAnsiTheme="majorBidi" w:cstheme="majorBidi"/>
          <w:sz w:val="21"/>
          <w:u w:val="single"/>
        </w:rPr>
        <w:t>Preparation format of the Condensed Consolidated Interim Financial Statements</w:t>
      </w:r>
    </w:p>
    <w:bookmarkEnd w:id="146"/>
    <w:p w14:paraId="593DF00F" w14:textId="77777777" w:rsidR="00213131" w:rsidRPr="004D7A72" w:rsidRDefault="00213131" w:rsidP="00213131">
      <w:pPr>
        <w:pStyle w:val="ListParagraph"/>
        <w:keepNext/>
        <w:keepLines/>
        <w:tabs>
          <w:tab w:val="left" w:pos="1133"/>
        </w:tabs>
        <w:ind w:left="426"/>
        <w:rPr>
          <w:rFonts w:asciiTheme="majorBidi" w:hAnsiTheme="majorBidi" w:cstheme="majorBidi"/>
          <w:sz w:val="21"/>
          <w:szCs w:val="21"/>
        </w:rPr>
      </w:pPr>
      <w:r w:rsidRPr="004D7A72">
        <w:rPr>
          <w:rFonts w:asciiTheme="majorBidi" w:hAnsiTheme="majorBidi" w:cstheme="majorBidi"/>
          <w:sz w:val="21"/>
        </w:rPr>
        <w:t>The Condensed Consolidated Interim Financial Statements have been prepared in accordance with IAS 34, Interim Financial Reporting and in accordance with the disclosure requirements of Chapter D of the Securities Regulations (Periodic and Immediate Reports), 1970.</w:t>
      </w:r>
    </w:p>
    <w:p w14:paraId="382F47B7" w14:textId="77777777" w:rsidR="00213131" w:rsidRPr="004D7A72" w:rsidRDefault="00213131" w:rsidP="00213131">
      <w:pPr>
        <w:pStyle w:val="ListParagraph"/>
        <w:keepNext/>
        <w:keepLines/>
        <w:tabs>
          <w:tab w:val="left" w:pos="1133"/>
        </w:tabs>
        <w:ind w:left="426"/>
        <w:rPr>
          <w:rFonts w:asciiTheme="majorBidi" w:hAnsiTheme="majorBidi" w:cstheme="majorBidi"/>
          <w:sz w:val="21"/>
          <w:szCs w:val="21"/>
        </w:rPr>
      </w:pPr>
      <w:r w:rsidRPr="004D7A72">
        <w:rPr>
          <w:rFonts w:asciiTheme="majorBidi" w:hAnsiTheme="majorBidi" w:cstheme="majorBidi"/>
          <w:sz w:val="21"/>
        </w:rPr>
        <w:t>The main accounting policy and calculation methods applied in the preparation of these Consolidated Interim Financial Statements are consistent with those applied in the preparation of the Annual Financial Statements, except for the following:</w:t>
      </w:r>
    </w:p>
    <w:p w14:paraId="08DF1046" w14:textId="77777777" w:rsidR="00213131" w:rsidRPr="004D7A72" w:rsidRDefault="00213131" w:rsidP="00213131">
      <w:pPr>
        <w:pStyle w:val="ListParagraph"/>
        <w:keepNext/>
        <w:keepLines/>
        <w:tabs>
          <w:tab w:val="left" w:pos="1133"/>
        </w:tabs>
        <w:ind w:left="0"/>
        <w:rPr>
          <w:rFonts w:asciiTheme="majorBidi" w:hAnsiTheme="majorBidi" w:cstheme="majorBidi"/>
          <w:sz w:val="21"/>
          <w:szCs w:val="21"/>
          <w:rtl/>
        </w:rPr>
      </w:pPr>
    </w:p>
    <w:p w14:paraId="70800A45" w14:textId="77777777" w:rsidR="00213131" w:rsidRPr="004D7A72" w:rsidRDefault="00213131" w:rsidP="004D7A72">
      <w:pPr>
        <w:pStyle w:val="ListParagraph"/>
        <w:keepNext/>
        <w:keepLines/>
        <w:widowControl w:val="0"/>
        <w:numPr>
          <w:ilvl w:val="0"/>
          <w:numId w:val="59"/>
        </w:numPr>
        <w:tabs>
          <w:tab w:val="left" w:pos="425"/>
        </w:tabs>
        <w:spacing w:before="60" w:after="60" w:line="276" w:lineRule="auto"/>
        <w:ind w:left="426" w:hanging="426"/>
        <w:outlineLvl w:val="4"/>
        <w:rPr>
          <w:rFonts w:asciiTheme="majorBidi" w:hAnsiTheme="majorBidi" w:cstheme="majorBidi"/>
          <w:sz w:val="21"/>
          <w:u w:val="single"/>
        </w:rPr>
      </w:pPr>
      <w:r w:rsidRPr="004D7A72">
        <w:rPr>
          <w:rFonts w:asciiTheme="majorBidi" w:hAnsiTheme="majorBidi" w:cstheme="majorBidi"/>
          <w:sz w:val="21"/>
          <w:u w:val="single"/>
        </w:rPr>
        <w:t>Initial application of amendments to existing accounting standards</w:t>
      </w:r>
    </w:p>
    <w:p w14:paraId="7B16E5C9" w14:textId="58EF9DFA" w:rsidR="00213131" w:rsidRPr="004D7A72" w:rsidRDefault="00213131" w:rsidP="00B7419D">
      <w:pPr>
        <w:pStyle w:val="ListParagraph"/>
        <w:keepNext/>
        <w:keepLines/>
        <w:widowControl w:val="0"/>
        <w:numPr>
          <w:ilvl w:val="0"/>
          <w:numId w:val="72"/>
        </w:numPr>
        <w:ind w:left="709" w:hanging="283"/>
        <w:outlineLvl w:val="4"/>
        <w:rPr>
          <w:rFonts w:asciiTheme="majorBidi" w:hAnsiTheme="majorBidi" w:cstheme="majorBidi"/>
          <w:sz w:val="21"/>
          <w:u w:val="single"/>
        </w:rPr>
      </w:pPr>
      <w:bookmarkStart w:id="147" w:name="H6_תיקונים_ל_IFRS_4_IFRS_16_IFRS_7__IFRS"/>
      <w:r w:rsidRPr="004D7A72">
        <w:rPr>
          <w:rFonts w:asciiTheme="majorBidi" w:hAnsiTheme="majorBidi" w:cstheme="majorBidi"/>
          <w:sz w:val="21"/>
          <w:u w:val="single"/>
        </w:rPr>
        <w:t>Amendment to IAS 1 - Presentation of Financial Statements</w:t>
      </w:r>
    </w:p>
    <w:p w14:paraId="387A3F70" w14:textId="77777777" w:rsidR="00213131" w:rsidRPr="004D7A72" w:rsidRDefault="00213131" w:rsidP="00213131">
      <w:pPr>
        <w:pStyle w:val="ListParagraph"/>
        <w:keepNext/>
        <w:keepLines/>
        <w:widowControl w:val="0"/>
        <w:tabs>
          <w:tab w:val="left" w:pos="425"/>
        </w:tabs>
        <w:ind w:left="425"/>
        <w:outlineLvl w:val="4"/>
        <w:rPr>
          <w:rFonts w:asciiTheme="majorBidi" w:hAnsiTheme="majorBidi" w:cstheme="majorBidi"/>
          <w:sz w:val="21"/>
          <w:szCs w:val="21"/>
        </w:rPr>
      </w:pPr>
      <w:r w:rsidRPr="004D7A72">
        <w:rPr>
          <w:rFonts w:asciiTheme="majorBidi" w:hAnsiTheme="majorBidi" w:cstheme="majorBidi"/>
          <w:sz w:val="21"/>
        </w:rPr>
        <w:t>In January 2020, the IASB issued an amendment to IAS 1, regarding the criteria for classification of liabilities as current or non-current ("the Original Amendment"). In October 2022, the IASB issued a subsequent amendment ("the Subsequent Amendment").</w:t>
      </w:r>
    </w:p>
    <w:p w14:paraId="44E0896C" w14:textId="77777777" w:rsidR="00213131" w:rsidRPr="004D7A72" w:rsidRDefault="00213131" w:rsidP="00213131">
      <w:pPr>
        <w:pStyle w:val="ListParagraph"/>
        <w:keepNext/>
        <w:keepLines/>
        <w:widowControl w:val="0"/>
        <w:tabs>
          <w:tab w:val="left" w:pos="425"/>
        </w:tabs>
        <w:ind w:left="425"/>
        <w:outlineLvl w:val="4"/>
        <w:rPr>
          <w:rFonts w:asciiTheme="majorBidi" w:hAnsiTheme="majorBidi" w:cstheme="majorBidi"/>
          <w:sz w:val="21"/>
          <w:szCs w:val="21"/>
        </w:rPr>
      </w:pPr>
      <w:bookmarkStart w:id="148" w:name="_Hlk174987713"/>
      <w:r w:rsidRPr="004D7A72">
        <w:rPr>
          <w:rFonts w:asciiTheme="majorBidi" w:hAnsiTheme="majorBidi" w:cstheme="majorBidi"/>
          <w:sz w:val="21"/>
        </w:rPr>
        <w:t>According to the Subsequent Amendment:</w:t>
      </w:r>
    </w:p>
    <w:bookmarkEnd w:id="148"/>
    <w:p w14:paraId="7504D6FD" w14:textId="77777777" w:rsidR="00213131" w:rsidRPr="004D7A72" w:rsidRDefault="00213131" w:rsidP="00213131">
      <w:pPr>
        <w:pStyle w:val="ListParagraph"/>
        <w:keepNext/>
        <w:keepLines/>
        <w:widowControl w:val="0"/>
        <w:tabs>
          <w:tab w:val="left" w:pos="709"/>
        </w:tabs>
        <w:ind w:left="709" w:hanging="284"/>
        <w:outlineLvl w:val="4"/>
        <w:rPr>
          <w:rFonts w:asciiTheme="majorBidi" w:hAnsiTheme="majorBidi" w:cstheme="majorBidi"/>
          <w:sz w:val="21"/>
          <w:szCs w:val="21"/>
        </w:rPr>
      </w:pPr>
      <w:r w:rsidRPr="004D7A72">
        <w:rPr>
          <w:rFonts w:asciiTheme="majorBidi" w:hAnsiTheme="majorBidi" w:cstheme="majorBidi"/>
          <w:sz w:val="21"/>
        </w:rPr>
        <w:t>*</w:t>
      </w:r>
      <w:r w:rsidRPr="004D7A72">
        <w:rPr>
          <w:rFonts w:asciiTheme="majorBidi" w:hAnsiTheme="majorBidi" w:cstheme="majorBidi"/>
          <w:sz w:val="21"/>
        </w:rPr>
        <w:tab/>
        <w:t xml:space="preserve">Only financial covenants with which an entity must comply on or before the reporting date will affect a liability's classification as current or non-current. </w:t>
      </w:r>
    </w:p>
    <w:p w14:paraId="55B8912F" w14:textId="77777777" w:rsidR="00213131" w:rsidRPr="004D7A72" w:rsidRDefault="00213131" w:rsidP="00213131">
      <w:pPr>
        <w:pStyle w:val="ListParagraph"/>
        <w:keepNext/>
        <w:keepLines/>
        <w:widowControl w:val="0"/>
        <w:tabs>
          <w:tab w:val="left" w:pos="709"/>
        </w:tabs>
        <w:ind w:left="709" w:hanging="284"/>
        <w:outlineLvl w:val="4"/>
        <w:rPr>
          <w:rFonts w:asciiTheme="majorBidi" w:hAnsiTheme="majorBidi" w:cstheme="majorBidi"/>
          <w:sz w:val="21"/>
          <w:szCs w:val="21"/>
        </w:rPr>
      </w:pPr>
      <w:r w:rsidRPr="004D7A72">
        <w:rPr>
          <w:rFonts w:asciiTheme="majorBidi" w:hAnsiTheme="majorBidi" w:cstheme="majorBidi"/>
          <w:sz w:val="21"/>
        </w:rPr>
        <w:t>*</w:t>
      </w:r>
      <w:r w:rsidRPr="004D7A72">
        <w:rPr>
          <w:rFonts w:asciiTheme="majorBidi" w:hAnsiTheme="majorBidi" w:cstheme="majorBidi"/>
          <w:sz w:val="21"/>
        </w:rPr>
        <w:tab/>
        <w:t>In respect of a liability for which compliance with financial covenants is to be evaluated within twelve months from the reporting date, disclosure is required to enable users of the financial statements to assess the risks related to that liability. Namely, the Subsequent Amendment requires disclosure of the carrying amount of the liability, information about the financial covenants, and the facts and circumstances at the end of the reporting period that could result in the conclusion that the entity may have difficulty in complying with the financial covenants.</w:t>
      </w:r>
    </w:p>
    <w:p w14:paraId="24A699DC" w14:textId="77777777" w:rsidR="00213131" w:rsidRPr="004D7A72" w:rsidRDefault="00213131" w:rsidP="00213131">
      <w:pPr>
        <w:pStyle w:val="ListParagraph"/>
        <w:keepNext/>
        <w:keepLines/>
        <w:widowControl w:val="0"/>
        <w:tabs>
          <w:tab w:val="left" w:pos="425"/>
        </w:tabs>
        <w:ind w:left="425"/>
        <w:outlineLvl w:val="4"/>
        <w:rPr>
          <w:rFonts w:asciiTheme="majorBidi" w:hAnsiTheme="majorBidi" w:cstheme="majorBidi"/>
          <w:sz w:val="21"/>
          <w:szCs w:val="21"/>
        </w:rPr>
      </w:pPr>
      <w:r w:rsidRPr="004D7A72">
        <w:rPr>
          <w:rFonts w:asciiTheme="majorBidi" w:hAnsiTheme="majorBidi" w:cstheme="majorBidi"/>
          <w:sz w:val="21"/>
        </w:rPr>
        <w:t xml:space="preserve">According to the Original Amendment, the conversion option of a liability affects the classification of the entire liability as current or non-current unless the conversion component is an equity instrument. </w:t>
      </w:r>
    </w:p>
    <w:p w14:paraId="266941F9" w14:textId="77777777" w:rsidR="00213131" w:rsidRPr="004D7A72" w:rsidRDefault="00213131" w:rsidP="00213131">
      <w:pPr>
        <w:pStyle w:val="ListParagraph"/>
        <w:keepNext/>
        <w:keepLines/>
        <w:widowControl w:val="0"/>
        <w:tabs>
          <w:tab w:val="left" w:pos="425"/>
        </w:tabs>
        <w:ind w:left="425"/>
        <w:outlineLvl w:val="4"/>
        <w:rPr>
          <w:rFonts w:asciiTheme="majorBidi" w:hAnsiTheme="majorBidi" w:cstheme="majorBidi"/>
          <w:sz w:val="21"/>
          <w:szCs w:val="21"/>
        </w:rPr>
      </w:pPr>
      <w:r w:rsidRPr="004D7A72">
        <w:rPr>
          <w:rFonts w:asciiTheme="majorBidi" w:hAnsiTheme="majorBidi" w:cstheme="majorBidi"/>
          <w:sz w:val="21"/>
        </w:rPr>
        <w:t>The Original Amendment and the Subsequent Amendment were applied retrospectively as of annual period commencing January 1, 2024.</w:t>
      </w:r>
    </w:p>
    <w:p w14:paraId="2F14B803" w14:textId="77777777" w:rsidR="00213131" w:rsidRDefault="00213131" w:rsidP="00213131">
      <w:pPr>
        <w:pStyle w:val="ListParagraph"/>
        <w:keepNext/>
        <w:keepLines/>
        <w:widowControl w:val="0"/>
        <w:tabs>
          <w:tab w:val="left" w:pos="425"/>
        </w:tabs>
        <w:ind w:left="425"/>
        <w:outlineLvl w:val="4"/>
        <w:rPr>
          <w:rFonts w:asciiTheme="majorBidi" w:hAnsiTheme="majorBidi" w:cstheme="majorBidi"/>
          <w:sz w:val="21"/>
        </w:rPr>
      </w:pPr>
      <w:r w:rsidRPr="004D7A72">
        <w:rPr>
          <w:rFonts w:asciiTheme="majorBidi" w:hAnsiTheme="majorBidi" w:cstheme="majorBidi"/>
          <w:sz w:val="21"/>
        </w:rPr>
        <w:t>The Amendment has no material effect on the Company’s consolidated interim financial statements.</w:t>
      </w:r>
    </w:p>
    <w:p w14:paraId="43793F5F" w14:textId="6E626F78" w:rsidR="00CD689B" w:rsidRPr="00CD689B" w:rsidRDefault="00CD689B" w:rsidP="00CD689B">
      <w:pPr>
        <w:pStyle w:val="ListParagraph"/>
        <w:keepNext/>
        <w:keepLines/>
        <w:widowControl w:val="0"/>
        <w:numPr>
          <w:ilvl w:val="0"/>
          <w:numId w:val="72"/>
        </w:numPr>
        <w:ind w:left="709" w:hanging="283"/>
        <w:outlineLvl w:val="4"/>
        <w:rPr>
          <w:rFonts w:asciiTheme="majorBidi" w:hAnsiTheme="majorBidi" w:cstheme="majorBidi"/>
          <w:sz w:val="21"/>
          <w:szCs w:val="21"/>
          <w:u w:val="single"/>
        </w:rPr>
      </w:pPr>
      <w:r w:rsidRPr="00CD689B">
        <w:rPr>
          <w:rFonts w:asciiTheme="majorBidi" w:hAnsiTheme="majorBidi" w:cstheme="majorBidi"/>
          <w:sz w:val="21"/>
          <w:szCs w:val="21"/>
          <w:u w:val="single"/>
        </w:rPr>
        <w:t xml:space="preserve">Amendments to </w:t>
      </w:r>
      <w:r w:rsidR="00A663FB">
        <w:rPr>
          <w:sz w:val="21"/>
          <w:szCs w:val="21"/>
          <w:u w:val="single"/>
        </w:rPr>
        <w:t>IFRS</w:t>
      </w:r>
      <w:r w:rsidRPr="00CD689B">
        <w:rPr>
          <w:sz w:val="21"/>
          <w:szCs w:val="21"/>
          <w:u w:val="single"/>
        </w:rPr>
        <w:t xml:space="preserve"> </w:t>
      </w:r>
      <w:r w:rsidR="00A663FB">
        <w:rPr>
          <w:sz w:val="21"/>
          <w:szCs w:val="21"/>
          <w:u w:val="single"/>
        </w:rPr>
        <w:t>9</w:t>
      </w:r>
      <w:r w:rsidRPr="00CD689B">
        <w:rPr>
          <w:sz w:val="21"/>
          <w:szCs w:val="21"/>
          <w:u w:val="single"/>
        </w:rPr>
        <w:t>, "Statement of Cash Flows", and IFRS 7, "Financial Instruments: Disclosures":</w:t>
      </w:r>
    </w:p>
    <w:p w14:paraId="7A57A76E" w14:textId="77777777" w:rsidR="00CD689B" w:rsidRPr="00CD689B" w:rsidRDefault="00CD689B" w:rsidP="009F06D8">
      <w:pPr>
        <w:pStyle w:val="ListParagraph"/>
        <w:suppressAutoHyphens/>
        <w:spacing w:line="240" w:lineRule="auto"/>
        <w:ind w:left="426"/>
        <w:rPr>
          <w:sz w:val="21"/>
          <w:szCs w:val="21"/>
        </w:rPr>
      </w:pPr>
      <w:r w:rsidRPr="00CD689B">
        <w:rPr>
          <w:sz w:val="21"/>
          <w:szCs w:val="21"/>
        </w:rPr>
        <w:t>In May 2023, the IASB issued amendments to IAS 7, "Statement of Cash Flows", and IFRS 7, "Financial Instruments: Disclosures" ("the Amendments") to address the presentation of liabilities and the associated cash flows arising out of supplier finance arrangements, as well as disclosures required for such arrangements.</w:t>
      </w:r>
    </w:p>
    <w:p w14:paraId="3212163B" w14:textId="77777777" w:rsidR="00CD689B" w:rsidRPr="00CD689B" w:rsidRDefault="00CD689B" w:rsidP="009F06D8">
      <w:pPr>
        <w:pStyle w:val="ListParagraph"/>
        <w:suppressAutoHyphens/>
        <w:spacing w:line="240" w:lineRule="auto"/>
        <w:ind w:left="426"/>
        <w:rPr>
          <w:sz w:val="21"/>
          <w:szCs w:val="21"/>
        </w:rPr>
      </w:pPr>
      <w:r w:rsidRPr="00CD689B">
        <w:rPr>
          <w:sz w:val="21"/>
          <w:szCs w:val="21"/>
        </w:rPr>
        <w:t>The disclosure requirements in the Amendments are intended to assist users of financial statements in understanding the effects of supplier finance arrangements on an entity's liabilities, cash flows and exposure to liquidity risk.</w:t>
      </w:r>
    </w:p>
    <w:p w14:paraId="3E9BC302" w14:textId="77777777" w:rsidR="00CD689B" w:rsidRPr="00CD689B" w:rsidRDefault="00CD689B" w:rsidP="00CD689B">
      <w:pPr>
        <w:pStyle w:val="ListParagraph"/>
        <w:tabs>
          <w:tab w:val="center" w:pos="7866"/>
        </w:tabs>
        <w:suppressAutoHyphens/>
        <w:spacing w:line="240" w:lineRule="auto"/>
        <w:ind w:left="426" w:right="567"/>
        <w:rPr>
          <w:sz w:val="21"/>
          <w:szCs w:val="21"/>
        </w:rPr>
      </w:pPr>
      <w:r w:rsidRPr="00CD689B">
        <w:rPr>
          <w:sz w:val="21"/>
          <w:szCs w:val="21"/>
        </w:rPr>
        <w:t>The Amendments are applied for annual reporting periods beginning on January 1, 2024.</w:t>
      </w:r>
    </w:p>
    <w:p w14:paraId="0555066C" w14:textId="1AE84492" w:rsidR="009F06D8" w:rsidRDefault="00CD689B" w:rsidP="009F06D8">
      <w:pPr>
        <w:pStyle w:val="ListParagraph"/>
        <w:tabs>
          <w:tab w:val="center" w:pos="7866"/>
        </w:tabs>
        <w:suppressAutoHyphens/>
        <w:spacing w:line="240" w:lineRule="auto"/>
        <w:ind w:left="426"/>
        <w:rPr>
          <w:sz w:val="21"/>
          <w:szCs w:val="21"/>
        </w:rPr>
      </w:pPr>
      <w:r w:rsidRPr="00CD689B">
        <w:rPr>
          <w:sz w:val="21"/>
          <w:szCs w:val="21"/>
        </w:rPr>
        <w:t>According to the transition provisions of the Amendments, the Company is not required to provide disclosures in interim periods during the first year of adoption, and therefore the above Amendments did not have a material impact on the Company's condensed interim consolidated financial statements. Moreover, the Amendments are not expected to have a material impact on the disclosures of supplier finance arrangements in the Company's annual consolidated financial statements.</w:t>
      </w:r>
    </w:p>
    <w:p w14:paraId="5B9B5301" w14:textId="77777777" w:rsidR="009F06D8" w:rsidRDefault="009F06D8">
      <w:pPr>
        <w:spacing w:before="0" w:after="200"/>
        <w:jc w:val="left"/>
        <w:rPr>
          <w:sz w:val="21"/>
          <w:szCs w:val="21"/>
        </w:rPr>
      </w:pPr>
      <w:r>
        <w:rPr>
          <w:sz w:val="21"/>
          <w:szCs w:val="21"/>
        </w:rPr>
        <w:br w:type="page"/>
      </w:r>
    </w:p>
    <w:p w14:paraId="45FC2CDF" w14:textId="5F4D6BE6" w:rsidR="009F06D8" w:rsidRPr="004D7A72" w:rsidRDefault="009F06D8" w:rsidP="009F06D8">
      <w:pPr>
        <w:pBdr>
          <w:top w:val="nil"/>
          <w:left w:val="nil"/>
          <w:bottom w:val="nil"/>
          <w:right w:val="nil"/>
          <w:between w:val="nil"/>
          <w:bar w:val="nil"/>
        </w:pBdr>
        <w:tabs>
          <w:tab w:val="left" w:pos="1133"/>
        </w:tabs>
        <w:contextualSpacing/>
        <w:outlineLvl w:val="3"/>
        <w:rPr>
          <w:rFonts w:asciiTheme="majorBidi" w:eastAsia="Calibri" w:hAnsiTheme="majorBidi" w:cstheme="majorBidi"/>
          <w:b/>
          <w:bCs/>
          <w:sz w:val="21"/>
          <w:szCs w:val="21"/>
        </w:rPr>
      </w:pPr>
      <w:r w:rsidRPr="004D7A72">
        <w:rPr>
          <w:rFonts w:asciiTheme="majorBidi" w:hAnsiTheme="majorBidi" w:cstheme="majorBidi"/>
          <w:b/>
          <w:sz w:val="21"/>
        </w:rPr>
        <w:lastRenderedPageBreak/>
        <w:t>N</w:t>
      </w:r>
      <w:r w:rsidR="00EB668F">
        <w:rPr>
          <w:rFonts w:asciiTheme="majorBidi" w:hAnsiTheme="majorBidi" w:cstheme="majorBidi"/>
          <w:b/>
          <w:sz w:val="21"/>
        </w:rPr>
        <w:t>ote</w:t>
      </w:r>
      <w:r w:rsidRPr="004D7A72">
        <w:rPr>
          <w:rFonts w:asciiTheme="majorBidi" w:hAnsiTheme="majorBidi" w:cstheme="majorBidi"/>
          <w:b/>
          <w:sz w:val="21"/>
        </w:rPr>
        <w:t xml:space="preserve"> 2 - Significant Accounting Policies (contd.)</w:t>
      </w:r>
    </w:p>
    <w:bookmarkEnd w:id="147"/>
    <w:p w14:paraId="48E41AAA" w14:textId="77777777" w:rsidR="00213131" w:rsidRPr="004D7A72" w:rsidRDefault="00213131" w:rsidP="009F06D8">
      <w:pPr>
        <w:pStyle w:val="ListParagraph"/>
        <w:tabs>
          <w:tab w:val="left" w:pos="425"/>
          <w:tab w:val="left" w:pos="1133"/>
        </w:tabs>
        <w:ind w:left="0"/>
        <w:rPr>
          <w:rFonts w:asciiTheme="majorBidi" w:hAnsiTheme="majorBidi" w:cstheme="majorBidi"/>
          <w:sz w:val="21"/>
          <w:szCs w:val="21"/>
          <w:rtl/>
        </w:rPr>
      </w:pPr>
    </w:p>
    <w:p w14:paraId="71DFC1D9" w14:textId="77777777" w:rsidR="00213131" w:rsidRPr="004D7A72" w:rsidRDefault="00213131" w:rsidP="009F06D8">
      <w:pPr>
        <w:pStyle w:val="ListParagraph"/>
        <w:widowControl w:val="0"/>
        <w:numPr>
          <w:ilvl w:val="0"/>
          <w:numId w:val="59"/>
        </w:numPr>
        <w:tabs>
          <w:tab w:val="left" w:pos="425"/>
        </w:tabs>
        <w:spacing w:before="60" w:after="60" w:line="276" w:lineRule="auto"/>
        <w:ind w:left="426" w:hanging="426"/>
        <w:outlineLvl w:val="4"/>
        <w:rPr>
          <w:rFonts w:asciiTheme="majorBidi" w:hAnsiTheme="majorBidi" w:cstheme="majorBidi"/>
          <w:sz w:val="21"/>
          <w:u w:val="single"/>
        </w:rPr>
      </w:pPr>
      <w:r w:rsidRPr="004D7A72">
        <w:rPr>
          <w:rFonts w:asciiTheme="majorBidi" w:hAnsiTheme="majorBidi" w:cstheme="majorBidi"/>
          <w:sz w:val="21"/>
          <w:u w:val="single"/>
        </w:rPr>
        <w:t>Disclosure of new IFRS's in the period prior to their adoption</w:t>
      </w:r>
    </w:p>
    <w:p w14:paraId="301C96B9" w14:textId="77777777" w:rsidR="00213131" w:rsidRPr="004D7A72" w:rsidRDefault="00213131" w:rsidP="00C85726">
      <w:pPr>
        <w:pStyle w:val="ListParagraph"/>
        <w:keepNext/>
        <w:keepLines/>
        <w:widowControl w:val="0"/>
        <w:numPr>
          <w:ilvl w:val="0"/>
          <w:numId w:val="73"/>
        </w:numPr>
        <w:tabs>
          <w:tab w:val="left" w:pos="709"/>
        </w:tabs>
        <w:ind w:left="567" w:hanging="141"/>
        <w:outlineLvl w:val="4"/>
        <w:rPr>
          <w:rFonts w:asciiTheme="majorBidi" w:hAnsiTheme="majorBidi" w:cstheme="majorBidi"/>
          <w:sz w:val="21"/>
          <w:szCs w:val="21"/>
          <w:u w:val="single"/>
        </w:rPr>
      </w:pPr>
      <w:r w:rsidRPr="004D7A72">
        <w:rPr>
          <w:rFonts w:asciiTheme="majorBidi" w:hAnsiTheme="majorBidi" w:cstheme="majorBidi"/>
          <w:sz w:val="21"/>
          <w:u w:val="single"/>
        </w:rPr>
        <w:t>IFRS 18, Presentation and Disclosure in Financial Statements</w:t>
      </w:r>
    </w:p>
    <w:p w14:paraId="461EF573" w14:textId="77777777" w:rsidR="00213131" w:rsidRPr="004D7A72" w:rsidRDefault="00213131" w:rsidP="009F06D8">
      <w:pPr>
        <w:pStyle w:val="ListParagraph"/>
        <w:tabs>
          <w:tab w:val="left" w:pos="425"/>
          <w:tab w:val="left" w:pos="1133"/>
        </w:tabs>
        <w:ind w:left="423"/>
        <w:rPr>
          <w:rFonts w:asciiTheme="majorBidi" w:hAnsiTheme="majorBidi" w:cstheme="majorBidi"/>
          <w:sz w:val="21"/>
          <w:szCs w:val="21"/>
        </w:rPr>
      </w:pPr>
      <w:r w:rsidRPr="004D7A72">
        <w:rPr>
          <w:rFonts w:asciiTheme="majorBidi" w:hAnsiTheme="majorBidi" w:cstheme="majorBidi"/>
          <w:sz w:val="21"/>
        </w:rPr>
        <w:t xml:space="preserve">In April 2024, the International Accounting Standards Board (IASB) issued IFRS 18, Presentation and Disclosure in Financial Statements (the “New Standard”) which replaces IAS 1, Presentation of Financial Statements (“IAS 1”). </w:t>
      </w:r>
    </w:p>
    <w:p w14:paraId="2CBB1F29" w14:textId="77777777" w:rsidR="00213131" w:rsidRPr="004D7A72" w:rsidRDefault="00213131" w:rsidP="009F06D8">
      <w:pPr>
        <w:pStyle w:val="ListParagraph"/>
        <w:tabs>
          <w:tab w:val="left" w:pos="425"/>
          <w:tab w:val="left" w:pos="1133"/>
        </w:tabs>
        <w:ind w:left="423"/>
        <w:rPr>
          <w:rFonts w:asciiTheme="majorBidi" w:hAnsiTheme="majorBidi" w:cstheme="majorBidi"/>
          <w:sz w:val="21"/>
          <w:szCs w:val="21"/>
        </w:rPr>
      </w:pPr>
      <w:r w:rsidRPr="004D7A72">
        <w:rPr>
          <w:rFonts w:asciiTheme="majorBidi" w:hAnsiTheme="majorBidi" w:cstheme="majorBidi"/>
          <w:sz w:val="21"/>
        </w:rPr>
        <w:t>The purpose of the New Standard is to improve the ability to compare and to reflect in the financial statements.</w:t>
      </w:r>
    </w:p>
    <w:p w14:paraId="21A72E54" w14:textId="77777777" w:rsidR="00213131" w:rsidRDefault="00213131" w:rsidP="009F06D8">
      <w:pPr>
        <w:pStyle w:val="ListParagraph"/>
        <w:tabs>
          <w:tab w:val="left" w:pos="425"/>
          <w:tab w:val="left" w:pos="1133"/>
        </w:tabs>
        <w:ind w:left="423"/>
        <w:rPr>
          <w:rFonts w:asciiTheme="majorBidi" w:hAnsiTheme="majorBidi" w:cstheme="majorBidi"/>
          <w:sz w:val="21"/>
        </w:rPr>
      </w:pPr>
      <w:r w:rsidRPr="004D7A72">
        <w:rPr>
          <w:rFonts w:asciiTheme="majorBidi" w:hAnsiTheme="majorBidi" w:cstheme="majorBidi"/>
          <w:sz w:val="21"/>
        </w:rPr>
        <w:t xml:space="preserve">The New Standard includes an existing requirement in IAS 1 and new requirements for presentation in the statement of income, including presentation of amounts and sub-amounts required under the New Standard, and for disclosure regarding management defined performance measures and new requirements for the group and splitting of financial information. </w:t>
      </w:r>
    </w:p>
    <w:p w14:paraId="1470BA85" w14:textId="77777777" w:rsidR="00B7419D" w:rsidRDefault="00B7419D" w:rsidP="00B7419D">
      <w:pPr>
        <w:pStyle w:val="ListParagraph"/>
        <w:tabs>
          <w:tab w:val="left" w:pos="425"/>
          <w:tab w:val="left" w:pos="1133"/>
        </w:tabs>
        <w:ind w:left="423"/>
        <w:rPr>
          <w:rFonts w:asciiTheme="majorBidi" w:hAnsiTheme="majorBidi" w:cstheme="majorBidi"/>
          <w:sz w:val="21"/>
        </w:rPr>
      </w:pPr>
    </w:p>
    <w:p w14:paraId="25A91C77" w14:textId="77777777" w:rsidR="00213131" w:rsidRPr="004D7A72" w:rsidRDefault="00213131" w:rsidP="00B7419D">
      <w:pPr>
        <w:pStyle w:val="ListParagraph"/>
        <w:tabs>
          <w:tab w:val="left" w:pos="425"/>
          <w:tab w:val="left" w:pos="1133"/>
        </w:tabs>
        <w:ind w:left="423"/>
        <w:rPr>
          <w:rFonts w:asciiTheme="majorBidi" w:hAnsiTheme="majorBidi" w:cstheme="majorBidi"/>
          <w:sz w:val="21"/>
          <w:szCs w:val="21"/>
        </w:rPr>
      </w:pPr>
      <w:r w:rsidRPr="004D7A72">
        <w:rPr>
          <w:rFonts w:asciiTheme="majorBidi" w:hAnsiTheme="majorBidi" w:cstheme="majorBidi"/>
          <w:sz w:val="21"/>
        </w:rPr>
        <w:t>The New Standard does not change the provisions for recognition and measurement of items in the financial statements. Nonetheless, as items in the statement of income will have to be classified as one of five categories (operating activities, investment activities, financing activities, income tax and discontinued operations), it may change the entity’s operating profit. Moreover, publication of the New Standard caused minor amendments to other accounting standards, including IAS 7, Statement of Cash Flows and IAS 34, Interim Financial Reporting.</w:t>
      </w:r>
    </w:p>
    <w:p w14:paraId="63B5D3CD" w14:textId="77777777" w:rsidR="00213131" w:rsidRPr="004D7A72" w:rsidRDefault="00213131" w:rsidP="00B7419D">
      <w:pPr>
        <w:pStyle w:val="ListParagraph"/>
        <w:tabs>
          <w:tab w:val="left" w:pos="425"/>
          <w:tab w:val="left" w:pos="1133"/>
        </w:tabs>
        <w:ind w:left="423"/>
        <w:rPr>
          <w:rFonts w:asciiTheme="majorBidi" w:hAnsiTheme="majorBidi" w:cstheme="majorBidi"/>
          <w:sz w:val="21"/>
          <w:szCs w:val="21"/>
        </w:rPr>
      </w:pPr>
      <w:r w:rsidRPr="004D7A72">
        <w:rPr>
          <w:rFonts w:asciiTheme="majorBidi" w:hAnsiTheme="majorBidi" w:cstheme="majorBidi"/>
          <w:sz w:val="21"/>
        </w:rPr>
        <w:t xml:space="preserve">The New Standard will be applied retrospectively for annual periods beginning on or after January 1, 2027. Early adoption is permitted, subject to disclosure. </w:t>
      </w:r>
    </w:p>
    <w:p w14:paraId="518B3FC1" w14:textId="77777777" w:rsidR="00213131" w:rsidRPr="00F316E7" w:rsidRDefault="00213131" w:rsidP="00F316E7">
      <w:pPr>
        <w:pStyle w:val="ListParagraph"/>
        <w:suppressAutoHyphens/>
        <w:spacing w:line="240" w:lineRule="auto"/>
        <w:ind w:left="426"/>
        <w:rPr>
          <w:sz w:val="21"/>
          <w:szCs w:val="21"/>
          <w:rtl/>
        </w:rPr>
      </w:pPr>
    </w:p>
    <w:p w14:paraId="6619B89C" w14:textId="77777777" w:rsidR="00213131" w:rsidRPr="00F316E7" w:rsidRDefault="00213131" w:rsidP="00F316E7">
      <w:pPr>
        <w:pStyle w:val="ListParagraph"/>
        <w:suppressAutoHyphens/>
        <w:spacing w:line="240" w:lineRule="auto"/>
        <w:ind w:left="426"/>
        <w:rPr>
          <w:sz w:val="21"/>
          <w:szCs w:val="21"/>
        </w:rPr>
      </w:pPr>
      <w:r w:rsidRPr="00F316E7">
        <w:rPr>
          <w:sz w:val="21"/>
          <w:szCs w:val="21"/>
        </w:rPr>
        <w:t>The Company is reviewing the effect of the New Standard, including the effect of amendments to additional accounting standards resulting from the New Standard on the consolidated financial statements.</w:t>
      </w:r>
    </w:p>
    <w:p w14:paraId="5541C7DC" w14:textId="73388DEB" w:rsidR="0085566D" w:rsidRPr="00F316E7" w:rsidRDefault="0085566D" w:rsidP="00F316E7">
      <w:pPr>
        <w:pStyle w:val="ListParagraph"/>
        <w:keepNext/>
        <w:keepLines/>
        <w:widowControl w:val="0"/>
        <w:numPr>
          <w:ilvl w:val="0"/>
          <w:numId w:val="73"/>
        </w:numPr>
        <w:tabs>
          <w:tab w:val="left" w:pos="709"/>
        </w:tabs>
        <w:ind w:left="567" w:hanging="141"/>
        <w:outlineLvl w:val="4"/>
        <w:rPr>
          <w:sz w:val="21"/>
          <w:szCs w:val="21"/>
        </w:rPr>
      </w:pPr>
      <w:r w:rsidRPr="00F316E7">
        <w:rPr>
          <w:rFonts w:asciiTheme="majorBidi" w:hAnsiTheme="majorBidi" w:cstheme="majorBidi"/>
          <w:sz w:val="21"/>
          <w:u w:val="single"/>
        </w:rPr>
        <w:t>Amendments</w:t>
      </w:r>
      <w:r w:rsidRPr="00F316E7">
        <w:rPr>
          <w:sz w:val="21"/>
          <w:szCs w:val="21"/>
        </w:rPr>
        <w:t xml:space="preserve"> to IAS </w:t>
      </w:r>
      <w:r w:rsidR="00426AA7" w:rsidRPr="00F316E7">
        <w:rPr>
          <w:sz w:val="21"/>
          <w:szCs w:val="21"/>
        </w:rPr>
        <w:t>9</w:t>
      </w:r>
      <w:r w:rsidRPr="00F316E7">
        <w:rPr>
          <w:sz w:val="21"/>
          <w:szCs w:val="21"/>
        </w:rPr>
        <w:t>, "</w:t>
      </w:r>
      <w:r w:rsidR="00426AA7" w:rsidRPr="00F316E7">
        <w:rPr>
          <w:sz w:val="21"/>
          <w:szCs w:val="21"/>
        </w:rPr>
        <w:t xml:space="preserve"> Financial Instruments </w:t>
      </w:r>
      <w:r w:rsidRPr="00F316E7">
        <w:rPr>
          <w:sz w:val="21"/>
          <w:szCs w:val="21"/>
        </w:rPr>
        <w:t>", and IFRS 7, "Financial Instruments: Disclosures":</w:t>
      </w:r>
    </w:p>
    <w:p w14:paraId="1D22DDD0" w14:textId="0A15B24F" w:rsidR="00A810D2" w:rsidRPr="00F316E7" w:rsidRDefault="00F316E7" w:rsidP="00F316E7">
      <w:pPr>
        <w:pStyle w:val="ListParagraph"/>
        <w:suppressAutoHyphens/>
        <w:spacing w:line="240" w:lineRule="auto"/>
        <w:ind w:left="426"/>
        <w:rPr>
          <w:sz w:val="21"/>
          <w:szCs w:val="21"/>
        </w:rPr>
      </w:pPr>
      <w:bookmarkStart w:id="149" w:name="RG_MARKER_56589"/>
      <w:bookmarkStart w:id="150" w:name="RG_MARKER_56666"/>
      <w:bookmarkStart w:id="151" w:name="H4_באור_60Note_מגזרי_פעילות"/>
      <w:bookmarkStart w:id="152" w:name="H5_גיוס_ופדיון_חוב_בקבוצה"/>
      <w:bookmarkEnd w:id="149"/>
      <w:bookmarkEnd w:id="150"/>
      <w:r>
        <w:rPr>
          <w:sz w:val="21"/>
          <w:szCs w:val="21"/>
        </w:rPr>
        <w:t>I</w:t>
      </w:r>
      <w:r w:rsidR="00A810D2" w:rsidRPr="00F316E7">
        <w:rPr>
          <w:sz w:val="21"/>
          <w:szCs w:val="21"/>
        </w:rPr>
        <w:t xml:space="preserve">n 30 May 2024, the International Accounting Standards Board (the IASB or the Board) issued Amendments to "Financial Instruments", and IFRS 7, "Financial Instruments: Disclosures", amendments to the Classification and Measurement of Financial Instruments. </w:t>
      </w:r>
    </w:p>
    <w:p w14:paraId="3E618810" w14:textId="77777777" w:rsidR="00C85726" w:rsidRPr="004D7A72" w:rsidRDefault="00C85726" w:rsidP="00C85726">
      <w:pPr>
        <w:pStyle w:val="ListParagraph"/>
        <w:keepNext/>
        <w:keepLines/>
        <w:widowControl w:val="0"/>
        <w:tabs>
          <w:tab w:val="left" w:pos="425"/>
        </w:tabs>
        <w:ind w:left="425"/>
        <w:outlineLvl w:val="4"/>
        <w:rPr>
          <w:rFonts w:asciiTheme="majorBidi" w:hAnsiTheme="majorBidi" w:cstheme="majorBidi"/>
          <w:sz w:val="21"/>
          <w:szCs w:val="21"/>
        </w:rPr>
      </w:pPr>
      <w:r w:rsidRPr="004D7A72">
        <w:rPr>
          <w:rFonts w:asciiTheme="majorBidi" w:hAnsiTheme="majorBidi" w:cstheme="majorBidi"/>
          <w:sz w:val="21"/>
        </w:rPr>
        <w:t>According to the Subsequent Amendment:</w:t>
      </w:r>
    </w:p>
    <w:p w14:paraId="4A150882" w14:textId="74EC444F" w:rsidR="00C85726" w:rsidRPr="00F316E7" w:rsidRDefault="00F316E7" w:rsidP="00F316E7">
      <w:pPr>
        <w:keepNext/>
        <w:keepLines/>
        <w:widowControl w:val="0"/>
        <w:tabs>
          <w:tab w:val="left" w:pos="709"/>
        </w:tabs>
        <w:ind w:left="709" w:hanging="284"/>
        <w:outlineLvl w:val="4"/>
        <w:rPr>
          <w:rFonts w:asciiTheme="majorBidi" w:hAnsiTheme="majorBidi" w:cstheme="majorBidi"/>
          <w:sz w:val="21"/>
        </w:rPr>
      </w:pPr>
      <w:r w:rsidRPr="00F316E7">
        <w:rPr>
          <w:rFonts w:asciiTheme="majorBidi" w:hAnsiTheme="majorBidi" w:cstheme="majorBidi"/>
          <w:sz w:val="21"/>
        </w:rPr>
        <w:t>*</w:t>
      </w:r>
      <w:r>
        <w:rPr>
          <w:rFonts w:asciiTheme="majorBidi" w:hAnsiTheme="majorBidi" w:cstheme="majorBidi"/>
          <w:sz w:val="21"/>
        </w:rPr>
        <w:t xml:space="preserve"> </w:t>
      </w:r>
      <w:r>
        <w:rPr>
          <w:rFonts w:asciiTheme="majorBidi" w:hAnsiTheme="majorBidi" w:cstheme="majorBidi"/>
          <w:sz w:val="21"/>
        </w:rPr>
        <w:tab/>
      </w:r>
      <w:r w:rsidR="00A810D2" w:rsidRPr="00F316E7">
        <w:rPr>
          <w:rFonts w:asciiTheme="majorBidi" w:hAnsiTheme="majorBidi" w:cstheme="majorBidi"/>
          <w:sz w:val="21"/>
        </w:rPr>
        <w:t xml:space="preserve">Clarify that a financial liability is </w:t>
      </w:r>
      <w:proofErr w:type="spellStart"/>
      <w:r w:rsidR="00A810D2" w:rsidRPr="00F316E7">
        <w:rPr>
          <w:rFonts w:asciiTheme="majorBidi" w:hAnsiTheme="majorBidi" w:cstheme="majorBidi"/>
          <w:sz w:val="21"/>
        </w:rPr>
        <w:t>derecognised</w:t>
      </w:r>
      <w:proofErr w:type="spellEnd"/>
      <w:r w:rsidR="00A810D2" w:rsidRPr="00F316E7">
        <w:rPr>
          <w:rFonts w:asciiTheme="majorBidi" w:hAnsiTheme="majorBidi" w:cstheme="majorBidi"/>
          <w:sz w:val="21"/>
        </w:rPr>
        <w:t xml:space="preserve"> on the 'settlement date</w:t>
      </w:r>
      <w:r w:rsidRPr="00F316E7">
        <w:rPr>
          <w:rFonts w:asciiTheme="majorBidi" w:hAnsiTheme="majorBidi" w:cstheme="majorBidi"/>
          <w:sz w:val="21"/>
        </w:rPr>
        <w:t>’ when</w:t>
      </w:r>
      <w:r w:rsidR="00A810D2" w:rsidRPr="00F316E7">
        <w:rPr>
          <w:rFonts w:asciiTheme="majorBidi" w:hAnsiTheme="majorBidi" w:cstheme="majorBidi"/>
          <w:sz w:val="21"/>
        </w:rPr>
        <w:t xml:space="preserve"> the related obligation is discharged or cancelled or expires or the liability otherwise qualifies for derecognition. They also introduce an accounting policy option to </w:t>
      </w:r>
      <w:proofErr w:type="spellStart"/>
      <w:r w:rsidR="00A810D2" w:rsidRPr="00F316E7">
        <w:rPr>
          <w:rFonts w:asciiTheme="majorBidi" w:hAnsiTheme="majorBidi" w:cstheme="majorBidi"/>
          <w:sz w:val="21"/>
        </w:rPr>
        <w:t>derecognise</w:t>
      </w:r>
      <w:proofErr w:type="spellEnd"/>
      <w:r w:rsidR="00A810D2" w:rsidRPr="00F316E7">
        <w:rPr>
          <w:rFonts w:asciiTheme="majorBidi" w:hAnsiTheme="majorBidi" w:cstheme="majorBidi"/>
          <w:sz w:val="21"/>
        </w:rPr>
        <w:t xml:space="preserve"> financial liabilities that are settled through an electronic payment system before settlement date if certain conditions are met. </w:t>
      </w:r>
    </w:p>
    <w:p w14:paraId="33779FB4" w14:textId="7967B643" w:rsidR="00C85726" w:rsidRPr="00F316E7" w:rsidRDefault="00F316E7" w:rsidP="00F316E7">
      <w:pPr>
        <w:pStyle w:val="ListParagraph"/>
        <w:keepNext/>
        <w:keepLines/>
        <w:widowControl w:val="0"/>
        <w:tabs>
          <w:tab w:val="left" w:pos="709"/>
        </w:tabs>
        <w:ind w:left="709" w:hanging="284"/>
        <w:outlineLvl w:val="4"/>
        <w:rPr>
          <w:rFonts w:asciiTheme="majorBidi" w:hAnsiTheme="majorBidi" w:cstheme="majorBidi"/>
          <w:sz w:val="21"/>
        </w:rPr>
      </w:pPr>
      <w:r>
        <w:rPr>
          <w:rFonts w:asciiTheme="majorBidi" w:hAnsiTheme="majorBidi" w:cstheme="majorBidi"/>
          <w:sz w:val="21"/>
        </w:rPr>
        <w:t>*</w:t>
      </w:r>
      <w:r>
        <w:rPr>
          <w:rFonts w:asciiTheme="majorBidi" w:hAnsiTheme="majorBidi" w:cstheme="majorBidi"/>
          <w:sz w:val="21"/>
        </w:rPr>
        <w:tab/>
      </w:r>
      <w:r w:rsidR="00A810D2" w:rsidRPr="00F316E7">
        <w:rPr>
          <w:rFonts w:asciiTheme="majorBidi" w:hAnsiTheme="majorBidi" w:cstheme="majorBidi"/>
          <w:sz w:val="21"/>
        </w:rPr>
        <w:t xml:space="preserve">Clarify how to assess the contractual cash flow characteristics of financial assets that include environmental, social and governance (ESG)-linked features and other similar contingent features. Clarify the treatment of non-recourse assets and contractually linked instruments (CLI). </w:t>
      </w:r>
    </w:p>
    <w:p w14:paraId="1D848AD9" w14:textId="25EF3164" w:rsidR="00A810D2" w:rsidRPr="00F316E7" w:rsidRDefault="00F316E7" w:rsidP="00F316E7">
      <w:pPr>
        <w:pStyle w:val="ListParagraph"/>
        <w:keepNext/>
        <w:keepLines/>
        <w:widowControl w:val="0"/>
        <w:tabs>
          <w:tab w:val="left" w:pos="709"/>
        </w:tabs>
        <w:ind w:left="709" w:hanging="284"/>
        <w:outlineLvl w:val="4"/>
        <w:rPr>
          <w:rFonts w:asciiTheme="majorBidi" w:hAnsiTheme="majorBidi" w:cstheme="majorBidi"/>
          <w:sz w:val="21"/>
        </w:rPr>
      </w:pPr>
      <w:r>
        <w:rPr>
          <w:rFonts w:asciiTheme="majorBidi" w:hAnsiTheme="majorBidi" w:cstheme="majorBidi"/>
          <w:sz w:val="21"/>
        </w:rPr>
        <w:t>*</w:t>
      </w:r>
      <w:r>
        <w:rPr>
          <w:rFonts w:asciiTheme="majorBidi" w:hAnsiTheme="majorBidi" w:cstheme="majorBidi"/>
          <w:sz w:val="21"/>
        </w:rPr>
        <w:tab/>
      </w:r>
      <w:r w:rsidR="00A810D2" w:rsidRPr="00F316E7">
        <w:rPr>
          <w:rFonts w:asciiTheme="majorBidi" w:hAnsiTheme="majorBidi" w:cstheme="majorBidi"/>
          <w:sz w:val="21"/>
        </w:rPr>
        <w:t>Require additional disclosures in IFRS7 for financial assets and liabilities with contractual terms that reference a contingent event (including those that are ESG-linked), and equity instruments classified at fair value through other comprehensive income (FVTOCI).</w:t>
      </w:r>
    </w:p>
    <w:p w14:paraId="3B41B59C" w14:textId="6811F3EF" w:rsidR="00C85726" w:rsidRPr="00F316E7" w:rsidRDefault="00C85726" w:rsidP="00F316E7">
      <w:pPr>
        <w:pStyle w:val="ListParagraph"/>
        <w:keepNext/>
        <w:keepLines/>
        <w:widowControl w:val="0"/>
        <w:ind w:left="426"/>
        <w:outlineLvl w:val="4"/>
        <w:rPr>
          <w:rFonts w:asciiTheme="majorBidi" w:hAnsiTheme="majorBidi" w:cstheme="majorBidi"/>
          <w:sz w:val="21"/>
        </w:rPr>
      </w:pPr>
      <w:r w:rsidRPr="00F316E7">
        <w:rPr>
          <w:rFonts w:asciiTheme="majorBidi" w:hAnsiTheme="majorBidi" w:cstheme="majorBidi"/>
          <w:sz w:val="21"/>
        </w:rPr>
        <w:t>The date of mandatory initial application is periods beginning on or after 1 January 2026. Entities can early adopt the amendments that relate to the classification of financial assets plus the related disclosures and apply the other amendments later. The new requirements will be applied retrospectively with an adjustment to opening retained earnings. Prior periods are not required to be restated and can only be restated without using hindsight. An entity is required to disclose information about financial assets that change their measurement category due to the amendments.</w:t>
      </w:r>
    </w:p>
    <w:p w14:paraId="4CB92950" w14:textId="77777777" w:rsidR="00A810D2" w:rsidRDefault="00A810D2">
      <w:pPr>
        <w:spacing w:before="0" w:after="200"/>
        <w:jc w:val="left"/>
        <w:rPr>
          <w:rFonts w:asciiTheme="majorBidi" w:hAnsiTheme="majorBidi" w:cstheme="majorBidi"/>
          <w:b/>
          <w:sz w:val="21"/>
          <w:szCs w:val="21"/>
        </w:rPr>
      </w:pPr>
      <w:r>
        <w:rPr>
          <w:rFonts w:asciiTheme="majorBidi" w:hAnsiTheme="majorBidi" w:cstheme="majorBidi"/>
          <w:b/>
          <w:sz w:val="21"/>
          <w:szCs w:val="21"/>
        </w:rPr>
        <w:br w:type="page"/>
      </w:r>
    </w:p>
    <w:p w14:paraId="4B3ECB9A" w14:textId="502100A7" w:rsidR="00213131" w:rsidRPr="004D7A72" w:rsidRDefault="00213131" w:rsidP="00A810D2">
      <w:pPr>
        <w:keepNext/>
        <w:tabs>
          <w:tab w:val="left" w:pos="-4254"/>
        </w:tabs>
        <w:outlineLvl w:val="3"/>
        <w:rPr>
          <w:rFonts w:asciiTheme="majorBidi" w:hAnsiTheme="majorBidi" w:cstheme="majorBidi"/>
          <w:b/>
          <w:bCs/>
          <w:sz w:val="21"/>
          <w:szCs w:val="21"/>
        </w:rPr>
      </w:pPr>
      <w:r w:rsidRPr="004D7A72">
        <w:rPr>
          <w:rFonts w:asciiTheme="majorBidi" w:hAnsiTheme="majorBidi" w:cstheme="majorBidi"/>
          <w:b/>
          <w:sz w:val="21"/>
        </w:rPr>
        <w:lastRenderedPageBreak/>
        <w:t>Note 3 – Material Events in the reporting period</w:t>
      </w:r>
      <w:bookmarkEnd w:id="151"/>
    </w:p>
    <w:p w14:paraId="4315A2BE" w14:textId="77777777" w:rsidR="00213131" w:rsidRPr="004D7A72" w:rsidRDefault="00213131" w:rsidP="004D7A72">
      <w:pPr>
        <w:pStyle w:val="ListParagraph41"/>
        <w:keepNext/>
        <w:keepLines/>
        <w:numPr>
          <w:ilvl w:val="3"/>
          <w:numId w:val="60"/>
        </w:numPr>
        <w:tabs>
          <w:tab w:val="left" w:pos="425"/>
          <w:tab w:val="left" w:pos="1416"/>
        </w:tabs>
        <w:bidi w:val="0"/>
        <w:spacing w:before="60" w:after="60" w:line="276" w:lineRule="auto"/>
        <w:ind w:left="426" w:hanging="426"/>
        <w:jc w:val="both"/>
        <w:rPr>
          <w:rFonts w:asciiTheme="majorBidi" w:hAnsiTheme="majorBidi" w:cstheme="majorBidi"/>
          <w:sz w:val="21"/>
          <w:szCs w:val="21"/>
          <w:u w:val="single"/>
        </w:rPr>
      </w:pPr>
      <w:r w:rsidRPr="004D7A72">
        <w:rPr>
          <w:rFonts w:asciiTheme="majorBidi" w:hAnsiTheme="majorBidi" w:cstheme="majorBidi"/>
          <w:sz w:val="21"/>
          <w:u w:val="single"/>
        </w:rPr>
        <w:t>Debt raising and redemption in the Group</w:t>
      </w:r>
    </w:p>
    <w:p w14:paraId="30113E06" w14:textId="77777777" w:rsidR="00213131" w:rsidRPr="004D7A72" w:rsidRDefault="00213131" w:rsidP="00EB668F">
      <w:pPr>
        <w:pStyle w:val="ListParagraph"/>
        <w:numPr>
          <w:ilvl w:val="6"/>
          <w:numId w:val="54"/>
        </w:numPr>
        <w:spacing w:before="60" w:after="60" w:line="276" w:lineRule="auto"/>
        <w:ind w:left="709" w:hanging="283"/>
        <w:rPr>
          <w:rFonts w:asciiTheme="majorBidi" w:hAnsiTheme="majorBidi" w:cstheme="majorBidi"/>
          <w:sz w:val="21"/>
          <w:szCs w:val="21"/>
        </w:rPr>
      </w:pPr>
      <w:bookmarkStart w:id="153" w:name="_Hlk118741508"/>
      <w:bookmarkEnd w:id="152"/>
      <w:r w:rsidRPr="004D7A72">
        <w:rPr>
          <w:rFonts w:asciiTheme="majorBidi" w:hAnsiTheme="majorBidi" w:cstheme="majorBidi"/>
          <w:sz w:val="21"/>
        </w:rPr>
        <w:t xml:space="preserve">In February 2024 the Company issued to the public NIS 410 million par value Debentures (Series R) for net proceeds of NIS 404 million at coupon interest of 4.83% linked to the CPI (effective interest of 5.18%). Debentures (Series R) are secured by a fixed first degree lien on all of the Company’s holdings in GHI Alpha Portfolio LLC (“G Alpha”), which are held by the Company through Gazit Horizons Inc., a wholly-owned subsidiary of the Company (indirect) and related rights, as well as a single lien on the bank account established and held by G Alpha. Furthermore, G Alpha provided a guarantee for the Company’s liabilities under the deed of trust of Debentures (Series R). G Alpha is the owner of six income producing properties in the United States, which at the present time are valued at USD 280 million.  </w:t>
      </w:r>
    </w:p>
    <w:p w14:paraId="20852E58" w14:textId="77777777" w:rsidR="00213131" w:rsidRPr="004D7A72" w:rsidRDefault="00213131" w:rsidP="00EB668F">
      <w:pPr>
        <w:pStyle w:val="ListParagraph"/>
        <w:ind w:left="709"/>
        <w:rPr>
          <w:rFonts w:asciiTheme="majorBidi" w:hAnsiTheme="majorBidi" w:cstheme="majorBidi"/>
          <w:sz w:val="21"/>
          <w:szCs w:val="21"/>
        </w:rPr>
      </w:pPr>
      <w:r w:rsidRPr="004D7A72">
        <w:rPr>
          <w:rFonts w:asciiTheme="majorBidi" w:hAnsiTheme="majorBidi" w:cstheme="majorBidi"/>
          <w:sz w:val="21"/>
        </w:rPr>
        <w:t xml:space="preserve">Debentures (series R) are redeemable in four unequal installments that will be paid between 2026 and 2031 (inclusive) as follows: The first installment will be paid on September 30, 2026 at a rate of 15% of the principal, the second installment on September 30, 2028 at a rate of 20% of the principal, the third installment on September 30, 2030 at a rate of 30% of the principal, and the fourth and final installment will be paid on September 30, 2031 at a rate of 35% of the principal. </w:t>
      </w:r>
    </w:p>
    <w:p w14:paraId="304FA85B" w14:textId="77777777" w:rsidR="00213131" w:rsidRPr="004D7A72" w:rsidRDefault="00213131" w:rsidP="00EB668F">
      <w:pPr>
        <w:pStyle w:val="ListParagraph"/>
        <w:ind w:left="709"/>
        <w:rPr>
          <w:rFonts w:asciiTheme="majorBidi" w:hAnsiTheme="majorBidi" w:cstheme="majorBidi"/>
          <w:sz w:val="21"/>
          <w:szCs w:val="21"/>
        </w:rPr>
      </w:pPr>
      <w:r w:rsidRPr="004D7A72">
        <w:rPr>
          <w:rFonts w:asciiTheme="majorBidi" w:hAnsiTheme="majorBidi" w:cstheme="majorBidi"/>
          <w:sz w:val="21"/>
        </w:rPr>
        <w:t>The scope of the series issued was set at leverage to value (LTV) ratio of 55% (“LTV”), calculated according to the value of G Alpha’s pledged capital, as set out in the deed of trust of the debentures. The Company is required to comply with an LTV ratio of 55% in the event of an expansion of a series or sale of a pledged property, or LTV of 50% on other specific test dates set in the deed, including the date of removal/addition of pledged properties (including in the event of release of G Alpha properties by G Alpha), upon exchange of pledged properties, on the date of a distribution from G Alpha, upon occurrence of a “disturbing event” (as defined in the deed of trust) in respect of G Alpha, on the date of introduction of a partner to properties owned by G Alpha, and any other date set in the deed of trust in which the Company is required to comply with the LTV.</w:t>
      </w:r>
    </w:p>
    <w:p w14:paraId="7767819F" w14:textId="77777777" w:rsidR="00213131" w:rsidRPr="004D7A72" w:rsidRDefault="00213131" w:rsidP="00EB668F">
      <w:pPr>
        <w:pStyle w:val="ListParagraph"/>
        <w:ind w:left="709"/>
        <w:rPr>
          <w:rFonts w:asciiTheme="majorBidi" w:hAnsiTheme="majorBidi" w:cstheme="majorBidi"/>
          <w:sz w:val="21"/>
          <w:szCs w:val="21"/>
        </w:rPr>
      </w:pPr>
      <w:r w:rsidRPr="004D7A72">
        <w:rPr>
          <w:rFonts w:asciiTheme="majorBidi" w:hAnsiTheme="majorBidi" w:cstheme="majorBidi"/>
          <w:sz w:val="21"/>
        </w:rPr>
        <w:t xml:space="preserve">Downgrade in S&amp;P </w:t>
      </w:r>
      <w:proofErr w:type="spellStart"/>
      <w:r w:rsidRPr="004D7A72">
        <w:rPr>
          <w:rFonts w:asciiTheme="majorBidi" w:hAnsiTheme="majorBidi" w:cstheme="majorBidi"/>
          <w:sz w:val="21"/>
        </w:rPr>
        <w:t>Maalot’s</w:t>
      </w:r>
      <w:proofErr w:type="spellEnd"/>
      <w:r w:rsidRPr="004D7A72">
        <w:rPr>
          <w:rFonts w:asciiTheme="majorBidi" w:hAnsiTheme="majorBidi" w:cstheme="majorBidi"/>
          <w:sz w:val="21"/>
        </w:rPr>
        <w:t xml:space="preserve"> credit rating below A-, or </w:t>
      </w:r>
      <w:proofErr w:type="spellStart"/>
      <w:r w:rsidRPr="004D7A72">
        <w:rPr>
          <w:rFonts w:asciiTheme="majorBidi" w:hAnsiTheme="majorBidi" w:cstheme="majorBidi"/>
          <w:sz w:val="21"/>
        </w:rPr>
        <w:t>Midroog’s</w:t>
      </w:r>
      <w:proofErr w:type="spellEnd"/>
      <w:r w:rsidRPr="004D7A72">
        <w:rPr>
          <w:rFonts w:asciiTheme="majorBidi" w:hAnsiTheme="majorBidi" w:cstheme="majorBidi"/>
          <w:sz w:val="21"/>
        </w:rPr>
        <w:t xml:space="preserve"> credit rating below A2 or a corresponding rating of another rating company will result in an increase in the interest rate of up to 1%  (a downgrade of the rating equal to or lower than BBB- of S&amp;P </w:t>
      </w:r>
      <w:proofErr w:type="spellStart"/>
      <w:r w:rsidRPr="004D7A72">
        <w:rPr>
          <w:rFonts w:asciiTheme="majorBidi" w:hAnsiTheme="majorBidi" w:cstheme="majorBidi"/>
          <w:sz w:val="21"/>
        </w:rPr>
        <w:t>Maalot</w:t>
      </w:r>
      <w:proofErr w:type="spellEnd"/>
      <w:r w:rsidRPr="004D7A72">
        <w:rPr>
          <w:rFonts w:asciiTheme="majorBidi" w:hAnsiTheme="majorBidi" w:cstheme="majorBidi"/>
          <w:sz w:val="21"/>
        </w:rPr>
        <w:t xml:space="preserve">, or a corresponding rating, will result in an increase in the interest rate to 3%), in accordance with the terms and grades set out in the deed of trust. Furthermore, in the event of non-compliance with the financial covenants stipulated in sections A and C below, the annual interest rate will increase by 0.25% (and in case of a breach of two causes together, the interest rate will increase by a total of 0.5%). Nonetheless, under no circumstances (except due to addition of default interest and interest in the event of a downgrade as specified above) will the interest rate increase exceed 1.25% (or 3.25% if the rating falls to ‘BB-” of S&amp;P </w:t>
      </w:r>
      <w:proofErr w:type="spellStart"/>
      <w:r w:rsidRPr="004D7A72">
        <w:rPr>
          <w:rFonts w:asciiTheme="majorBidi" w:hAnsiTheme="majorBidi" w:cstheme="majorBidi"/>
          <w:sz w:val="21"/>
        </w:rPr>
        <w:t>Maalot</w:t>
      </w:r>
      <w:proofErr w:type="spellEnd"/>
      <w:r w:rsidRPr="004D7A72">
        <w:rPr>
          <w:rFonts w:asciiTheme="majorBidi" w:hAnsiTheme="majorBidi" w:cstheme="majorBidi"/>
          <w:sz w:val="21"/>
        </w:rPr>
        <w:t xml:space="preserve"> or lower).</w:t>
      </w:r>
    </w:p>
    <w:p w14:paraId="58E4A32D" w14:textId="77777777" w:rsidR="00213131" w:rsidRPr="004D7A72" w:rsidRDefault="00213131" w:rsidP="00EB668F">
      <w:pPr>
        <w:tabs>
          <w:tab w:val="left" w:pos="425"/>
          <w:tab w:val="left" w:pos="1134"/>
        </w:tabs>
        <w:ind w:left="709"/>
        <w:rPr>
          <w:rFonts w:asciiTheme="majorBidi" w:eastAsia="Times New Roman" w:hAnsiTheme="majorBidi" w:cstheme="majorBidi"/>
          <w:sz w:val="21"/>
          <w:szCs w:val="21"/>
        </w:rPr>
      </w:pPr>
      <w:r w:rsidRPr="004D7A72">
        <w:rPr>
          <w:rFonts w:asciiTheme="majorBidi" w:hAnsiTheme="majorBidi" w:cstheme="majorBidi"/>
          <w:sz w:val="21"/>
        </w:rPr>
        <w:t xml:space="preserve">Furthermore, the Company undertook to refrain from creating a floating lien (negative pledge) on all of its assets and all of its rights, existing and future, in favor of any third party to secure any debt, unless the debenture holders are granted a floating lien of the same degree’ </w:t>
      </w:r>
      <w:proofErr w:type="spellStart"/>
      <w:r w:rsidRPr="004D7A72">
        <w:rPr>
          <w:rFonts w:asciiTheme="majorBidi" w:hAnsiTheme="majorBidi" w:cstheme="majorBidi"/>
          <w:sz w:val="21"/>
        </w:rPr>
        <w:t>pari</w:t>
      </w:r>
      <w:proofErr w:type="spellEnd"/>
      <w:r w:rsidRPr="004D7A72">
        <w:rPr>
          <w:rFonts w:asciiTheme="majorBidi" w:hAnsiTheme="majorBidi" w:cstheme="majorBidi"/>
          <w:sz w:val="21"/>
        </w:rPr>
        <w:t xml:space="preserve"> passu.</w:t>
      </w:r>
    </w:p>
    <w:p w14:paraId="5F0F259A" w14:textId="77777777" w:rsidR="00EB668F" w:rsidRDefault="00213131" w:rsidP="00EB668F">
      <w:pPr>
        <w:tabs>
          <w:tab w:val="left" w:pos="425"/>
          <w:tab w:val="left" w:pos="1134"/>
        </w:tabs>
        <w:ind w:left="709"/>
        <w:rPr>
          <w:rFonts w:asciiTheme="majorBidi" w:hAnsiTheme="majorBidi" w:cstheme="majorBidi"/>
          <w:sz w:val="21"/>
        </w:rPr>
      </w:pPr>
      <w:r w:rsidRPr="004D7A72">
        <w:rPr>
          <w:rFonts w:asciiTheme="majorBidi" w:hAnsiTheme="majorBidi" w:cstheme="majorBidi"/>
          <w:sz w:val="21"/>
        </w:rPr>
        <w:t xml:space="preserve">Moreover, as part of the Company's obligations in favor of the holders of Debentures (Series R), which are secured by a lien on G Alpha shares, G Alpha undertook several restrictions, including: (1) Undertaking to provide guarantees for all secured amounts under the deed of trust; (2) undertaking not to change its area of operations, which as at the date of this report is the income producing real estate sector in the United States, and to manage its business in the ordinary course of business, and subject to the restrictions specified in the deed of trust, G Alpha and/or companies that it controls (“Property Companies”) will not pay the Company or companies that it controls any management fees, subject to the right for indemnification if the Company incurs current operating costs; (3) any distribution in respect of G Alpha shares (the “Distribution Proceeds”) will be deposited directly into a trust account. </w:t>
      </w:r>
    </w:p>
    <w:p w14:paraId="3CB7275C" w14:textId="77777777" w:rsidR="00EB668F" w:rsidRDefault="00EB668F">
      <w:pPr>
        <w:spacing w:before="0" w:after="200"/>
        <w:jc w:val="left"/>
        <w:rPr>
          <w:rFonts w:asciiTheme="majorBidi" w:hAnsiTheme="majorBidi" w:cstheme="majorBidi"/>
          <w:sz w:val="21"/>
        </w:rPr>
      </w:pPr>
      <w:r>
        <w:rPr>
          <w:rFonts w:asciiTheme="majorBidi" w:hAnsiTheme="majorBidi" w:cstheme="majorBidi"/>
          <w:sz w:val="21"/>
        </w:rPr>
        <w:br w:type="page"/>
      </w:r>
    </w:p>
    <w:p w14:paraId="2240B6FA" w14:textId="77777777" w:rsidR="00EB668F" w:rsidRPr="004D7A72" w:rsidRDefault="00EB668F" w:rsidP="00EB668F">
      <w:pPr>
        <w:pBdr>
          <w:top w:val="nil"/>
          <w:left w:val="nil"/>
          <w:bottom w:val="nil"/>
          <w:right w:val="nil"/>
          <w:between w:val="nil"/>
          <w:bar w:val="nil"/>
        </w:pBdr>
        <w:tabs>
          <w:tab w:val="left" w:pos="-4254"/>
        </w:tabs>
        <w:outlineLvl w:val="3"/>
        <w:rPr>
          <w:rFonts w:asciiTheme="majorBidi" w:eastAsia="Calibri" w:hAnsiTheme="majorBidi" w:cstheme="majorBidi"/>
          <w:b/>
          <w:bCs/>
          <w:sz w:val="21"/>
          <w:szCs w:val="21"/>
        </w:rPr>
      </w:pPr>
      <w:r w:rsidRPr="004D7A72">
        <w:rPr>
          <w:rFonts w:asciiTheme="majorBidi" w:hAnsiTheme="majorBidi" w:cstheme="majorBidi"/>
          <w:b/>
          <w:sz w:val="21"/>
        </w:rPr>
        <w:lastRenderedPageBreak/>
        <w:t>Note 3 – Material Events in the reporting period (contd.)</w:t>
      </w:r>
    </w:p>
    <w:p w14:paraId="5654DD46" w14:textId="63227A35" w:rsidR="00213131" w:rsidRPr="004D7A72" w:rsidRDefault="00213131" w:rsidP="00EB668F">
      <w:pPr>
        <w:tabs>
          <w:tab w:val="left" w:pos="425"/>
          <w:tab w:val="left" w:pos="1134"/>
        </w:tabs>
        <w:ind w:left="709"/>
        <w:rPr>
          <w:rFonts w:asciiTheme="majorBidi" w:eastAsia="Times New Roman" w:hAnsiTheme="majorBidi" w:cstheme="majorBidi"/>
          <w:sz w:val="21"/>
          <w:szCs w:val="21"/>
        </w:rPr>
      </w:pPr>
      <w:r w:rsidRPr="004D7A72">
        <w:rPr>
          <w:rFonts w:asciiTheme="majorBidi" w:hAnsiTheme="majorBidi" w:cstheme="majorBidi"/>
          <w:sz w:val="21"/>
        </w:rPr>
        <w:t>The Company may instruct the Trustee to release all or part of the Distribution Proceeds, under several cumulative conditions, including if ratio of the par value of outstanding Debentures (Series R) plus interest, default interest and linkage differences accrued, if any, by that date, in accordance with the terms of the Debentures (Series R), and G Alpha’s equity exceeds 55%, including if as a result of the distribution the ratio exceeds the above; (4) G Alpha and/or the Property Companies fail to provide and fail to undertake to provide financing and/or a loan and/or collateral and/or guarantees in any manner, to G-City Group companies, and if G Alpha fails to provide guarantees to any third parties; (5) on the issue date and any test date (as defined in the deed), the LTV (as defined in the deed) will not exceed 55% or 50%, based on the type of test event; (6) G Alpha and/or its subsidiaries will not undertake any debt, financing or loan, other than loans existing at the signature date of the deed of trust and will not enter into an agreement to receive such financing and/or loan, whether directly or indirectly. Notwithstanding the above, G Alpha and limited companies that it controls may undertake debt, financing or a loan (including refinancing) in a total amount not exceeding the amount of the existing debt of G Alpha and the limited companies that it controls as at the signature date of the deed of trust (which was NIS 90 million), and may use the said funds to distribute dividends, subject to compliance with the provisions of the deed of trust; (7) G Alpha and the Property Companies will not create or undertake to create a floating lien on all their assets; (8) G Alpha, on its behalf and on behalf of the Property Companies, undertook that other than the Maison and Edge properties, which as at the date of the deed were pledged in favor of other lenders, the other properties controlled by G Alpha will not be pledged to any third party, and no debt will be undertaken in respect of those properties; (9) there will be no change to the holding structure of the properties held by G Alpha, other than the sale of properties of G Alpha or the Property Companies according to the provisions of the deed of trust; (10) restrictions on restructuring, including the holding structure of properties held by G Alpha and a merger of G Alpha and/or the Property Company with other companies, all subject to the conditions and exceptions specified in the deed of trust.</w:t>
      </w:r>
    </w:p>
    <w:p w14:paraId="10B99DCD" w14:textId="77777777" w:rsidR="00213131" w:rsidRDefault="00213131" w:rsidP="00EB668F">
      <w:pPr>
        <w:tabs>
          <w:tab w:val="left" w:pos="1134"/>
        </w:tabs>
        <w:ind w:left="709"/>
        <w:rPr>
          <w:rFonts w:asciiTheme="majorBidi" w:hAnsiTheme="majorBidi" w:cstheme="majorBidi"/>
          <w:sz w:val="21"/>
          <w:rtl/>
        </w:rPr>
      </w:pPr>
      <w:r w:rsidRPr="004D7A72">
        <w:rPr>
          <w:rFonts w:asciiTheme="majorBidi" w:hAnsiTheme="majorBidi" w:cstheme="majorBidi"/>
          <w:sz w:val="21"/>
        </w:rPr>
        <w:t xml:space="preserve">Furthermore, the provisions of the deed of trust of Debentures (Series R) contain other causes, which if realized, grants the debenture holders the right to call for immediate repayment of the debentures, including a change of control of the Company, calling for immediate repayment of another series marketable debentures of the Company or calling for immediate repayment of non-marketable debentures or a loan/s from a financial institution (for specific causes only) in the amount of 10% or more of the Company’s total gross financial liabilities based on its reviewed consolidated financial statements (following elapse of a remedy period), causes related to insolvency of the Company, change of operations and sale of most of the Company’s assets, recording of a going concern caveat in the Company’s financial statements for two consecutive quarters, causes related to events connected with G Alpha and breach of its obligations under the deed of trust. </w:t>
      </w:r>
    </w:p>
    <w:p w14:paraId="5CECB867" w14:textId="0D31C3B1" w:rsidR="00563FF7" w:rsidRPr="004D7A72" w:rsidRDefault="00563FF7" w:rsidP="00EB668F">
      <w:pPr>
        <w:tabs>
          <w:tab w:val="left" w:pos="1134"/>
        </w:tabs>
        <w:ind w:left="709"/>
        <w:rPr>
          <w:rFonts w:asciiTheme="majorBidi" w:eastAsia="Times New Roman" w:hAnsiTheme="majorBidi" w:cstheme="majorBidi"/>
          <w:sz w:val="21"/>
          <w:szCs w:val="21"/>
        </w:rPr>
      </w:pPr>
      <w:r>
        <w:rPr>
          <w:rFonts w:asciiTheme="majorBidi" w:hAnsiTheme="majorBidi" w:cstheme="majorBidi"/>
          <w:sz w:val="21"/>
        </w:rPr>
        <w:t>For condensed financial information regarding G Alpha, see Note 7.</w:t>
      </w:r>
    </w:p>
    <w:p w14:paraId="3BE76D02" w14:textId="77777777" w:rsidR="00213131" w:rsidRPr="004D7A72" w:rsidRDefault="00213131" w:rsidP="00EB668F">
      <w:pPr>
        <w:tabs>
          <w:tab w:val="left" w:pos="425"/>
          <w:tab w:val="left" w:pos="1134"/>
        </w:tabs>
        <w:ind w:left="709"/>
        <w:rPr>
          <w:rFonts w:asciiTheme="majorBidi" w:eastAsia="Times New Roman" w:hAnsiTheme="majorBidi" w:cstheme="majorBidi"/>
          <w:sz w:val="21"/>
          <w:szCs w:val="21"/>
        </w:rPr>
      </w:pPr>
      <w:r w:rsidRPr="004D7A72">
        <w:rPr>
          <w:rFonts w:asciiTheme="majorBidi" w:hAnsiTheme="majorBidi" w:cstheme="majorBidi"/>
          <w:sz w:val="21"/>
        </w:rPr>
        <w:t>The Company also undertook to refrain from a distribution if, among other things, its equity falls below the shekel equivalent of USD 1 billion under its audited or reviewed consolidated financial statements.</w:t>
      </w:r>
    </w:p>
    <w:p w14:paraId="384DADA9" w14:textId="77777777" w:rsidR="00213131" w:rsidRPr="004D7A72" w:rsidRDefault="00213131" w:rsidP="00EB668F">
      <w:pPr>
        <w:pStyle w:val="ListParagraph"/>
        <w:numPr>
          <w:ilvl w:val="6"/>
          <w:numId w:val="54"/>
        </w:numPr>
        <w:spacing w:before="60" w:after="60" w:line="276" w:lineRule="auto"/>
        <w:ind w:left="709" w:hanging="283"/>
        <w:rPr>
          <w:rFonts w:asciiTheme="majorBidi" w:hAnsiTheme="majorBidi" w:cstheme="majorBidi"/>
          <w:sz w:val="21"/>
        </w:rPr>
      </w:pPr>
      <w:r w:rsidRPr="004D7A72">
        <w:rPr>
          <w:rFonts w:asciiTheme="majorBidi" w:hAnsiTheme="majorBidi" w:cstheme="majorBidi"/>
          <w:sz w:val="21"/>
        </w:rPr>
        <w:t>In the reporting period the Company bought back NIS 120.2 million par value Debentures (Series L, M, N, P), for consideration of NIS 116.8 million. Due to the buyback, the Company will recognize an early redemption gain in the amount of NIS 17 million. The buyback debentures were canceled and delisted.</w:t>
      </w:r>
    </w:p>
    <w:p w14:paraId="170BEE42" w14:textId="77777777" w:rsidR="00213131" w:rsidRPr="004D7A72" w:rsidRDefault="00213131" w:rsidP="00EB668F">
      <w:pPr>
        <w:pStyle w:val="ListParagraph"/>
        <w:numPr>
          <w:ilvl w:val="6"/>
          <w:numId w:val="54"/>
        </w:numPr>
        <w:spacing w:before="60" w:after="60" w:line="276" w:lineRule="auto"/>
        <w:ind w:left="709" w:hanging="283"/>
        <w:rPr>
          <w:rFonts w:asciiTheme="majorBidi" w:hAnsiTheme="majorBidi" w:cstheme="majorBidi"/>
          <w:sz w:val="21"/>
        </w:rPr>
      </w:pPr>
      <w:r w:rsidRPr="004D7A72">
        <w:rPr>
          <w:rFonts w:asciiTheme="majorBidi" w:hAnsiTheme="majorBidi" w:cstheme="majorBidi"/>
          <w:sz w:val="21"/>
        </w:rPr>
        <w:t>In March 2024, CTY issued EUR 300 million par value debentures, which bear annual interest of 6.5% and are redeemable in March 2029.</w:t>
      </w:r>
    </w:p>
    <w:p w14:paraId="3FC026DA" w14:textId="5EFFF915" w:rsidR="00213131" w:rsidRPr="004D7A72" w:rsidRDefault="00213131" w:rsidP="00EB668F">
      <w:pPr>
        <w:pStyle w:val="ListParagraph"/>
        <w:numPr>
          <w:ilvl w:val="6"/>
          <w:numId w:val="54"/>
        </w:numPr>
        <w:spacing w:before="60" w:after="60" w:line="276" w:lineRule="auto"/>
        <w:ind w:left="709" w:hanging="283"/>
        <w:rPr>
          <w:rFonts w:asciiTheme="majorBidi" w:hAnsiTheme="majorBidi" w:cstheme="majorBidi"/>
          <w:sz w:val="21"/>
        </w:rPr>
      </w:pPr>
      <w:r w:rsidRPr="004D7A72">
        <w:rPr>
          <w:rFonts w:asciiTheme="majorBidi" w:hAnsiTheme="majorBidi" w:cstheme="majorBidi"/>
          <w:sz w:val="21"/>
        </w:rPr>
        <w:t xml:space="preserve">In March 2024, CTY bought back, under a </w:t>
      </w:r>
      <w:r w:rsidR="00A453F4">
        <w:rPr>
          <w:rFonts w:asciiTheme="majorBidi" w:hAnsiTheme="majorBidi" w:cstheme="majorBidi"/>
          <w:sz w:val="21"/>
        </w:rPr>
        <w:t>tender offer</w:t>
      </w:r>
      <w:r w:rsidRPr="004D7A72">
        <w:rPr>
          <w:rFonts w:asciiTheme="majorBidi" w:hAnsiTheme="majorBidi" w:cstheme="majorBidi"/>
          <w:sz w:val="21"/>
        </w:rPr>
        <w:t>, EUR 213.2 million (NIS 848 million) par value debentures for EUR 213.7 million (NIS 850 million).</w:t>
      </w:r>
    </w:p>
    <w:p w14:paraId="499F60F9" w14:textId="6A60AB03" w:rsidR="00213131" w:rsidRPr="004D7A72" w:rsidRDefault="00213131" w:rsidP="00EB668F">
      <w:pPr>
        <w:pStyle w:val="ListParagraph"/>
        <w:numPr>
          <w:ilvl w:val="6"/>
          <w:numId w:val="54"/>
        </w:numPr>
        <w:spacing w:before="60" w:after="60" w:line="276" w:lineRule="auto"/>
        <w:ind w:left="709" w:hanging="283"/>
        <w:rPr>
          <w:rFonts w:asciiTheme="majorBidi" w:hAnsiTheme="majorBidi" w:cstheme="majorBidi"/>
          <w:sz w:val="21"/>
        </w:rPr>
      </w:pPr>
      <w:r w:rsidRPr="004D7A72">
        <w:rPr>
          <w:rFonts w:asciiTheme="majorBidi" w:hAnsiTheme="majorBidi" w:cstheme="majorBidi"/>
          <w:sz w:val="21"/>
        </w:rPr>
        <w:t xml:space="preserve">In the reporting date, the Group bought back EUR 101 million (NIS </w:t>
      </w:r>
      <w:r w:rsidR="00A663FB">
        <w:rPr>
          <w:rFonts w:asciiTheme="majorBidi" w:hAnsiTheme="majorBidi" w:cstheme="majorBidi"/>
          <w:sz w:val="21"/>
        </w:rPr>
        <w:t>406</w:t>
      </w:r>
      <w:r w:rsidRPr="004D7A72">
        <w:rPr>
          <w:rFonts w:asciiTheme="majorBidi" w:hAnsiTheme="majorBidi" w:cstheme="majorBidi"/>
          <w:sz w:val="21"/>
        </w:rPr>
        <w:t xml:space="preserve"> million) par value debentures of G Europe for a consideration of EUR 95 million (NIS 382 million). Following the acquisition, the Group recognized an early redemption gain in the amount of EUR 4.9 million (NIS 20 million).</w:t>
      </w:r>
    </w:p>
    <w:p w14:paraId="0257F9E4" w14:textId="77777777" w:rsidR="00213131" w:rsidRDefault="00213131" w:rsidP="00EB668F">
      <w:pPr>
        <w:pStyle w:val="ListParagraph"/>
        <w:numPr>
          <w:ilvl w:val="6"/>
          <w:numId w:val="54"/>
        </w:numPr>
        <w:spacing w:before="60" w:after="60" w:line="276" w:lineRule="auto"/>
        <w:ind w:left="709" w:hanging="283"/>
        <w:rPr>
          <w:rFonts w:asciiTheme="majorBidi" w:hAnsiTheme="majorBidi" w:cstheme="majorBidi"/>
          <w:sz w:val="21"/>
        </w:rPr>
      </w:pPr>
      <w:r w:rsidRPr="004D7A72">
        <w:rPr>
          <w:rFonts w:asciiTheme="majorBidi" w:hAnsiTheme="majorBidi" w:cstheme="majorBidi"/>
          <w:sz w:val="21"/>
        </w:rPr>
        <w:t>In the reporting date, the Group bought back EUR 33.5 million (NIS 134 million) par value hybrid debentures of G Europe for EUR 20 million (NIS 80 million), and following the acquisition the Group recognized a capital gain of EUR 13.5 million (NIS 54 million) which was attributed to capital reserves.</w:t>
      </w:r>
    </w:p>
    <w:p w14:paraId="758E63B3" w14:textId="77777777" w:rsidR="00EB668F" w:rsidRDefault="00EB668F" w:rsidP="00EB668F">
      <w:pPr>
        <w:pStyle w:val="ListParagraph"/>
        <w:spacing w:before="60" w:after="60" w:line="276" w:lineRule="auto"/>
        <w:ind w:left="709"/>
        <w:rPr>
          <w:rFonts w:asciiTheme="majorBidi" w:hAnsiTheme="majorBidi" w:cstheme="majorBidi"/>
          <w:sz w:val="21"/>
        </w:rPr>
      </w:pPr>
    </w:p>
    <w:p w14:paraId="74BA2FA3" w14:textId="77777777" w:rsidR="00EB668F" w:rsidRDefault="00EB668F" w:rsidP="00EB668F">
      <w:pPr>
        <w:pStyle w:val="ListParagraph"/>
        <w:spacing w:before="60" w:after="60" w:line="276" w:lineRule="auto"/>
        <w:ind w:left="709"/>
        <w:rPr>
          <w:rFonts w:asciiTheme="majorBidi" w:hAnsiTheme="majorBidi" w:cstheme="majorBidi"/>
          <w:sz w:val="21"/>
        </w:rPr>
      </w:pPr>
    </w:p>
    <w:p w14:paraId="501F3A9D" w14:textId="77777777" w:rsidR="00EB668F" w:rsidRPr="004D7A72" w:rsidRDefault="00EB668F" w:rsidP="00EB668F">
      <w:pPr>
        <w:pBdr>
          <w:top w:val="nil"/>
          <w:left w:val="nil"/>
          <w:bottom w:val="nil"/>
          <w:right w:val="nil"/>
          <w:between w:val="nil"/>
          <w:bar w:val="nil"/>
        </w:pBdr>
        <w:tabs>
          <w:tab w:val="left" w:pos="-4254"/>
        </w:tabs>
        <w:outlineLvl w:val="3"/>
        <w:rPr>
          <w:rFonts w:asciiTheme="majorBidi" w:eastAsia="Calibri" w:hAnsiTheme="majorBidi" w:cstheme="majorBidi"/>
          <w:b/>
          <w:bCs/>
          <w:sz w:val="21"/>
          <w:szCs w:val="21"/>
        </w:rPr>
      </w:pPr>
      <w:bookmarkStart w:id="154" w:name="_Hlk174988570"/>
      <w:r w:rsidRPr="004D7A72">
        <w:rPr>
          <w:rFonts w:asciiTheme="majorBidi" w:hAnsiTheme="majorBidi" w:cstheme="majorBidi"/>
          <w:b/>
          <w:sz w:val="21"/>
        </w:rPr>
        <w:lastRenderedPageBreak/>
        <w:t>Note 3 – Material Events in the reporting period (contd.)</w:t>
      </w:r>
    </w:p>
    <w:bookmarkEnd w:id="154"/>
    <w:p w14:paraId="041A539C" w14:textId="77777777" w:rsidR="00213131" w:rsidRPr="004D7A72" w:rsidRDefault="00213131" w:rsidP="00EB668F">
      <w:pPr>
        <w:pStyle w:val="ListParagraph"/>
        <w:numPr>
          <w:ilvl w:val="6"/>
          <w:numId w:val="54"/>
        </w:numPr>
        <w:spacing w:before="60" w:after="60" w:line="276" w:lineRule="auto"/>
        <w:ind w:left="709" w:hanging="283"/>
        <w:rPr>
          <w:rFonts w:asciiTheme="majorBidi" w:hAnsiTheme="majorBidi" w:cstheme="majorBidi"/>
          <w:sz w:val="21"/>
        </w:rPr>
      </w:pPr>
      <w:r w:rsidRPr="004D7A72">
        <w:rPr>
          <w:rFonts w:asciiTheme="majorBidi" w:hAnsiTheme="majorBidi" w:cstheme="majorBidi"/>
          <w:sz w:val="21"/>
        </w:rPr>
        <w:t xml:space="preserve">In April 2024 the Company issued to the public NIS 495.2 million par value Debentures (Series S), secured by a second degree lien on real estate, for net proceeds of NIS 489 million at coupon interest of 4.15% linked to the CPI (effective interest of 4.39%). </w:t>
      </w:r>
    </w:p>
    <w:p w14:paraId="0106287F" w14:textId="77777777" w:rsidR="00213131" w:rsidRPr="004D7A72" w:rsidRDefault="00213131" w:rsidP="00EB668F">
      <w:pPr>
        <w:pStyle w:val="ListParagraph"/>
        <w:ind w:left="709"/>
        <w:rPr>
          <w:rFonts w:asciiTheme="majorBidi" w:eastAsia="Times New Roman" w:hAnsiTheme="majorBidi" w:cstheme="majorBidi"/>
          <w:sz w:val="21"/>
          <w:szCs w:val="21"/>
        </w:rPr>
      </w:pPr>
      <w:r w:rsidRPr="004D7A72">
        <w:rPr>
          <w:rFonts w:asciiTheme="majorBidi" w:hAnsiTheme="majorBidi" w:cstheme="majorBidi"/>
          <w:sz w:val="21"/>
        </w:rPr>
        <w:t xml:space="preserve">The principal and interest for debentures (Series S) are linked to the CPI and are subject to the mechanism described in section 5 overleaf of the deed of trust. Furthermore, the principal will be repaid in 15 semi-annual installments, as follows: 14 installments in amounts equivalent to 0.75% each of the principal, to be paid from 2024 through 2031 (commencing September 30, 2024 through March 31, 2031), and the final installment of 89.5% of the principal will be paid on September 30, 2031. </w:t>
      </w:r>
    </w:p>
    <w:p w14:paraId="644C49AC" w14:textId="77777777" w:rsidR="00213131" w:rsidRPr="004D7A72" w:rsidRDefault="00213131" w:rsidP="00EB668F">
      <w:pPr>
        <w:pStyle w:val="ListParagraph"/>
        <w:ind w:left="709"/>
        <w:rPr>
          <w:rFonts w:asciiTheme="majorBidi" w:hAnsiTheme="majorBidi" w:cstheme="majorBidi"/>
          <w:sz w:val="21"/>
        </w:rPr>
      </w:pPr>
      <w:r w:rsidRPr="004D7A72">
        <w:rPr>
          <w:rFonts w:asciiTheme="majorBidi" w:hAnsiTheme="majorBidi" w:cstheme="majorBidi"/>
          <w:sz w:val="21"/>
        </w:rPr>
        <w:t>The scope of the series issued was set at weighted leverage ratio of 0.85 (“LTV”), calculated according to the value of the pledged property under a second degree lien, as set out in the deed of trust of the debentures. The Company is required to comply with LTV of 0.85 if the scope of the debenture series is lower than or equal to NIS 875,000,000 par value and LTV of 0.80 if the scope of the debenture series rises above NIS 875,000,000 par value on specific test dates as set out in the deed of trust, including the date of removal/addition of pledged properties, upon release of pledged plots from the lien, upon exchange of pledged properties, upon occurrence of a “disturbing event” (as defined in the deed of trust) with respect to the pledged company. Notwithstanding the foregoing, upon the sale of a pledged property the Company will be required to comply with LTV of 0.80, regardless of the scope of the debenture series at that time.</w:t>
      </w:r>
    </w:p>
    <w:p w14:paraId="33583443" w14:textId="0870FE8A" w:rsidR="00213131" w:rsidRPr="004D7A72" w:rsidRDefault="00213131" w:rsidP="00213131">
      <w:pPr>
        <w:pStyle w:val="ListParagraph"/>
        <w:ind w:left="709"/>
        <w:rPr>
          <w:rFonts w:asciiTheme="majorBidi" w:eastAsia="Times New Roman" w:hAnsiTheme="majorBidi" w:cstheme="majorBidi"/>
          <w:sz w:val="21"/>
          <w:szCs w:val="21"/>
        </w:rPr>
      </w:pPr>
      <w:r w:rsidRPr="004D7A72">
        <w:rPr>
          <w:rFonts w:asciiTheme="majorBidi" w:hAnsiTheme="majorBidi" w:cstheme="majorBidi"/>
          <w:sz w:val="21"/>
        </w:rPr>
        <w:t xml:space="preserve">A downgrade of S&amp;P </w:t>
      </w:r>
      <w:proofErr w:type="spellStart"/>
      <w:r w:rsidRPr="004D7A72">
        <w:rPr>
          <w:rFonts w:asciiTheme="majorBidi" w:hAnsiTheme="majorBidi" w:cstheme="majorBidi"/>
          <w:sz w:val="21"/>
        </w:rPr>
        <w:t>Maalot’s</w:t>
      </w:r>
      <w:proofErr w:type="spellEnd"/>
      <w:r w:rsidRPr="004D7A72">
        <w:rPr>
          <w:rFonts w:asciiTheme="majorBidi" w:hAnsiTheme="majorBidi" w:cstheme="majorBidi"/>
          <w:sz w:val="21"/>
        </w:rPr>
        <w:t xml:space="preserve"> credit rating to below </w:t>
      </w:r>
      <w:proofErr w:type="spellStart"/>
      <w:r w:rsidR="00C40966">
        <w:rPr>
          <w:rFonts w:asciiTheme="majorBidi" w:hAnsiTheme="majorBidi" w:cstheme="majorBidi"/>
          <w:sz w:val="21"/>
        </w:rPr>
        <w:t>il</w:t>
      </w:r>
      <w:r w:rsidRPr="004D7A72">
        <w:rPr>
          <w:rFonts w:asciiTheme="majorBidi" w:hAnsiTheme="majorBidi" w:cstheme="majorBidi"/>
          <w:sz w:val="21"/>
        </w:rPr>
        <w:t>A</w:t>
      </w:r>
      <w:proofErr w:type="spellEnd"/>
      <w:r w:rsidRPr="004D7A72">
        <w:rPr>
          <w:rFonts w:asciiTheme="majorBidi" w:hAnsiTheme="majorBidi" w:cstheme="majorBidi"/>
          <w:sz w:val="21"/>
        </w:rPr>
        <w:t xml:space="preserve">-, or </w:t>
      </w:r>
      <w:proofErr w:type="spellStart"/>
      <w:r w:rsidRPr="004D7A72">
        <w:rPr>
          <w:rFonts w:asciiTheme="majorBidi" w:hAnsiTheme="majorBidi" w:cstheme="majorBidi"/>
          <w:sz w:val="21"/>
        </w:rPr>
        <w:t>Midroog’s</w:t>
      </w:r>
      <w:proofErr w:type="spellEnd"/>
      <w:r w:rsidRPr="004D7A72">
        <w:rPr>
          <w:rFonts w:asciiTheme="majorBidi" w:hAnsiTheme="majorBidi" w:cstheme="majorBidi"/>
          <w:sz w:val="21"/>
        </w:rPr>
        <w:t xml:space="preserve"> credit rating to below A3 or a corresponding rating of another rating agency will result in an increase in the interest rate of up to 1%  (downgrading of the rating to a rating equivalent to or lower than BB- of S&amp;P </w:t>
      </w:r>
      <w:proofErr w:type="spellStart"/>
      <w:r w:rsidRPr="004D7A72">
        <w:rPr>
          <w:rFonts w:asciiTheme="majorBidi" w:hAnsiTheme="majorBidi" w:cstheme="majorBidi"/>
          <w:sz w:val="21"/>
        </w:rPr>
        <w:t>Maalot</w:t>
      </w:r>
      <w:proofErr w:type="spellEnd"/>
      <w:r w:rsidRPr="004D7A72">
        <w:rPr>
          <w:rFonts w:asciiTheme="majorBidi" w:hAnsiTheme="majorBidi" w:cstheme="majorBidi"/>
          <w:sz w:val="21"/>
        </w:rPr>
        <w:t>, or a corresponding rating, will result in increasing the interest rate to 3%), in accordance with the terms and increments set out in the debenture. However, under no circumstances (except due to addition of default interest and interest in the event of a downgrade as specified above) will the interest rate increase exceed the base interest plus 1%.</w:t>
      </w:r>
    </w:p>
    <w:p w14:paraId="59D9CD59" w14:textId="77777777" w:rsidR="00213131" w:rsidRPr="004D7A72" w:rsidRDefault="00213131" w:rsidP="00213131">
      <w:pPr>
        <w:pStyle w:val="ListParagraph"/>
        <w:ind w:left="709"/>
        <w:rPr>
          <w:rFonts w:asciiTheme="majorBidi" w:eastAsia="Times New Roman" w:hAnsiTheme="majorBidi" w:cstheme="majorBidi"/>
          <w:sz w:val="21"/>
          <w:szCs w:val="21"/>
        </w:rPr>
      </w:pPr>
      <w:r w:rsidRPr="004D7A72">
        <w:rPr>
          <w:rFonts w:asciiTheme="majorBidi" w:hAnsiTheme="majorBidi" w:cstheme="majorBidi"/>
          <w:sz w:val="21"/>
        </w:rPr>
        <w:t xml:space="preserve">Under the issue of Debentures (Series S), the Company undertook to comply, among other things, with the following primary covenants, and breach thereof grants the debenture holders the right to call for immediate repayment of the debentures: </w:t>
      </w:r>
    </w:p>
    <w:p w14:paraId="13A7B576" w14:textId="77777777" w:rsidR="00213131" w:rsidRPr="004D7A72" w:rsidRDefault="00213131" w:rsidP="00213131">
      <w:pPr>
        <w:pStyle w:val="ListParagraph"/>
        <w:ind w:left="709"/>
        <w:rPr>
          <w:rFonts w:asciiTheme="majorBidi" w:eastAsia="Times New Roman" w:hAnsiTheme="majorBidi" w:cstheme="majorBidi"/>
          <w:sz w:val="21"/>
          <w:szCs w:val="21"/>
        </w:rPr>
      </w:pPr>
      <w:r w:rsidRPr="004D7A72">
        <w:rPr>
          <w:rFonts w:asciiTheme="majorBidi" w:hAnsiTheme="majorBidi" w:cstheme="majorBidi"/>
          <w:sz w:val="21"/>
        </w:rPr>
        <w:t xml:space="preserve">(a) consolidated equity (less non-controlling interests) will not fall below USD 850 million for three consecutive quarters; (b) consolidated equity (less non-controlling interests) will not fall below USD 450 million for one quarter; (c) net interest-bearing debt to the Company’s consolidated balance sheet ratio will not exceed 75% for three consecutive quarters; (d) the rating of the debentures in the last of the above quarters will not fall below BBB- by S&amp;P </w:t>
      </w:r>
      <w:proofErr w:type="spellStart"/>
      <w:r w:rsidRPr="004D7A72">
        <w:rPr>
          <w:rFonts w:asciiTheme="majorBidi" w:hAnsiTheme="majorBidi" w:cstheme="majorBidi"/>
          <w:sz w:val="21"/>
        </w:rPr>
        <w:t>Maalot</w:t>
      </w:r>
      <w:proofErr w:type="spellEnd"/>
      <w:r w:rsidRPr="004D7A72">
        <w:rPr>
          <w:rFonts w:asciiTheme="majorBidi" w:hAnsiTheme="majorBidi" w:cstheme="majorBidi"/>
          <w:sz w:val="21"/>
        </w:rPr>
        <w:t xml:space="preserve"> and below Baa3 by </w:t>
      </w:r>
      <w:proofErr w:type="spellStart"/>
      <w:r w:rsidRPr="004D7A72">
        <w:rPr>
          <w:rFonts w:asciiTheme="majorBidi" w:hAnsiTheme="majorBidi" w:cstheme="majorBidi"/>
          <w:sz w:val="21"/>
        </w:rPr>
        <w:t>Midroog</w:t>
      </w:r>
      <w:proofErr w:type="spellEnd"/>
      <w:r w:rsidRPr="004D7A72">
        <w:rPr>
          <w:rFonts w:asciiTheme="majorBidi" w:hAnsiTheme="majorBidi" w:cstheme="majorBidi"/>
          <w:sz w:val="21"/>
        </w:rPr>
        <w:t xml:space="preserve">. </w:t>
      </w:r>
    </w:p>
    <w:p w14:paraId="23E93973" w14:textId="77777777" w:rsidR="00213131" w:rsidRPr="004D7A72" w:rsidRDefault="00213131" w:rsidP="00213131">
      <w:pPr>
        <w:pStyle w:val="ListParagraph"/>
        <w:ind w:left="709"/>
        <w:rPr>
          <w:rFonts w:asciiTheme="majorBidi" w:eastAsia="Times New Roman" w:hAnsiTheme="majorBidi" w:cstheme="majorBidi"/>
          <w:sz w:val="21"/>
          <w:szCs w:val="21"/>
        </w:rPr>
      </w:pPr>
      <w:r w:rsidRPr="004D7A72">
        <w:rPr>
          <w:rFonts w:asciiTheme="majorBidi" w:hAnsiTheme="majorBidi" w:cstheme="majorBidi"/>
          <w:sz w:val="21"/>
        </w:rPr>
        <w:t>The Company also undertook to refrain from a distribution if, among other things, its equity falls below the shekel equivalent of USD 1 billion under its audited or reviewed consolidated financial statements.</w:t>
      </w:r>
    </w:p>
    <w:p w14:paraId="454DB27D" w14:textId="77777777" w:rsidR="00213131" w:rsidRPr="004D7A72" w:rsidRDefault="00213131" w:rsidP="00213131">
      <w:pPr>
        <w:pStyle w:val="ListParagraph"/>
        <w:ind w:left="709"/>
        <w:rPr>
          <w:rFonts w:asciiTheme="majorBidi" w:eastAsia="Times New Roman" w:hAnsiTheme="majorBidi" w:cstheme="majorBidi"/>
          <w:sz w:val="21"/>
          <w:szCs w:val="21"/>
        </w:rPr>
      </w:pPr>
      <w:r w:rsidRPr="004D7A72">
        <w:rPr>
          <w:rFonts w:asciiTheme="majorBidi" w:hAnsiTheme="majorBidi" w:cstheme="majorBidi"/>
          <w:sz w:val="21"/>
        </w:rPr>
        <w:t xml:space="preserve">Furthermore, the provisions of the deed of trust of Debentures (Series S) contain other causes, which if realized, grants the debenture holders the right to call for immediate repayment of the debentures, including change of control of the Company, a call for immediate repayment of another series of marketable debentures of the Company or a call for immediate repayment of non-marketable debentures or a loan from a financial institution (for specific causes only) in the amount of 10% or more of the Company’s total gross financial liabilities based on its reviewed consolidated financial statements (following elapse of a remedy period), causes related to insolvency of the Company, a change of operations and the sale of most of the Company’s assets, recording of a “going concern” caveat in the Company’s financial statements for two consecutive quarters, and others.   </w:t>
      </w:r>
    </w:p>
    <w:p w14:paraId="50C54AB6" w14:textId="77777777" w:rsidR="00213131" w:rsidRPr="004D7A72" w:rsidRDefault="00213131" w:rsidP="00213131">
      <w:pPr>
        <w:pStyle w:val="ListParagraph"/>
        <w:ind w:left="709"/>
        <w:rPr>
          <w:rFonts w:asciiTheme="majorBidi" w:hAnsiTheme="majorBidi" w:cstheme="majorBidi"/>
          <w:sz w:val="21"/>
          <w:szCs w:val="21"/>
        </w:rPr>
      </w:pPr>
      <w:r w:rsidRPr="004D7A72">
        <w:rPr>
          <w:rFonts w:asciiTheme="majorBidi" w:hAnsiTheme="majorBidi" w:cstheme="majorBidi"/>
          <w:sz w:val="21"/>
        </w:rPr>
        <w:t xml:space="preserve">Furthermore, the Company undertook to refrain from creating a floating lien (negative pledge) on all of its assets and all of its rights, existing and future, in favor of any third party to secure any debt, unless the debenture holders are granted a floating lien of the same degree’ </w:t>
      </w:r>
      <w:proofErr w:type="spellStart"/>
      <w:r w:rsidRPr="004D7A72">
        <w:rPr>
          <w:rFonts w:asciiTheme="majorBidi" w:hAnsiTheme="majorBidi" w:cstheme="majorBidi"/>
          <w:sz w:val="21"/>
        </w:rPr>
        <w:t>pari</w:t>
      </w:r>
      <w:proofErr w:type="spellEnd"/>
      <w:r w:rsidRPr="004D7A72">
        <w:rPr>
          <w:rFonts w:asciiTheme="majorBidi" w:hAnsiTheme="majorBidi" w:cstheme="majorBidi"/>
          <w:sz w:val="21"/>
        </w:rPr>
        <w:t xml:space="preserve"> passu.</w:t>
      </w:r>
    </w:p>
    <w:p w14:paraId="3BD01823" w14:textId="77777777" w:rsidR="00213131" w:rsidRDefault="00213131" w:rsidP="004D7A72">
      <w:pPr>
        <w:pStyle w:val="ListParagraph"/>
        <w:numPr>
          <w:ilvl w:val="6"/>
          <w:numId w:val="54"/>
        </w:numPr>
        <w:spacing w:before="60" w:after="60" w:line="276" w:lineRule="auto"/>
        <w:ind w:left="709" w:hanging="283"/>
        <w:rPr>
          <w:rFonts w:asciiTheme="majorBidi" w:hAnsiTheme="majorBidi" w:cstheme="majorBidi"/>
          <w:sz w:val="21"/>
        </w:rPr>
      </w:pPr>
      <w:r w:rsidRPr="004D7A72">
        <w:rPr>
          <w:rFonts w:asciiTheme="majorBidi" w:hAnsiTheme="majorBidi" w:cstheme="majorBidi"/>
          <w:sz w:val="21"/>
        </w:rPr>
        <w:t>In May 2024, the Company issued to the public, by means of expansion of a marketable series, NIS 350.2 million par value Debentures (Series P) secured by a fixed lien on G Europe shares held by wholly-owned subsidiaries of the Company, for a net amount of NIS 332 million at effective interest of 5.7% (linked to the CPI). As G Europe has been delisted from trading, in the reporting period the Company acted together with the trustee for the debentures to convert G Europe shares to certificate shares (instead of book entry shares issued through Euroclear) and to register a new lien on G Europe shares as certificate shares by releasing encumbered surplus shares (pursuant to the provisions of the deed of trust) and as at reporting date there are 146 million G Europe shares pledged in favor of holders of Debentures (Series P).</w:t>
      </w:r>
    </w:p>
    <w:p w14:paraId="5F01672D" w14:textId="77777777" w:rsidR="00EB668F" w:rsidRPr="004D7A72" w:rsidRDefault="00EB668F" w:rsidP="00EB668F">
      <w:pPr>
        <w:pBdr>
          <w:top w:val="nil"/>
          <w:left w:val="nil"/>
          <w:bottom w:val="nil"/>
          <w:right w:val="nil"/>
          <w:between w:val="nil"/>
          <w:bar w:val="nil"/>
        </w:pBdr>
        <w:tabs>
          <w:tab w:val="left" w:pos="-4254"/>
        </w:tabs>
        <w:outlineLvl w:val="3"/>
        <w:rPr>
          <w:rFonts w:asciiTheme="majorBidi" w:eastAsia="Calibri" w:hAnsiTheme="majorBidi" w:cstheme="majorBidi"/>
          <w:b/>
          <w:bCs/>
          <w:sz w:val="21"/>
          <w:szCs w:val="21"/>
        </w:rPr>
      </w:pPr>
      <w:r w:rsidRPr="004D7A72">
        <w:rPr>
          <w:rFonts w:asciiTheme="majorBidi" w:hAnsiTheme="majorBidi" w:cstheme="majorBidi"/>
          <w:b/>
          <w:sz w:val="21"/>
        </w:rPr>
        <w:lastRenderedPageBreak/>
        <w:t>Note 3 – Material Events in the reporting period (contd.)</w:t>
      </w:r>
    </w:p>
    <w:p w14:paraId="393ABF65" w14:textId="77777777" w:rsidR="00213131" w:rsidRPr="004D7A72" w:rsidRDefault="00213131" w:rsidP="004D7A72">
      <w:pPr>
        <w:pStyle w:val="ListParagraph"/>
        <w:numPr>
          <w:ilvl w:val="6"/>
          <w:numId w:val="54"/>
        </w:numPr>
        <w:spacing w:before="60" w:after="60" w:line="276" w:lineRule="auto"/>
        <w:ind w:left="709" w:hanging="283"/>
        <w:rPr>
          <w:rFonts w:asciiTheme="majorBidi" w:hAnsiTheme="majorBidi" w:cstheme="majorBidi"/>
          <w:sz w:val="21"/>
        </w:rPr>
      </w:pPr>
      <w:r w:rsidRPr="004D7A72">
        <w:rPr>
          <w:rFonts w:asciiTheme="majorBidi" w:hAnsiTheme="majorBidi" w:cstheme="majorBidi"/>
          <w:sz w:val="21"/>
        </w:rPr>
        <w:t xml:space="preserve">In June 2024, CTY completed the proactive early redemption in full of Debentures (Series 2024) for an amount of EUR 97 million (NIS 390 million). </w:t>
      </w:r>
    </w:p>
    <w:p w14:paraId="6BF06967" w14:textId="198D8568" w:rsidR="00213131" w:rsidRPr="00C40966" w:rsidRDefault="00213131" w:rsidP="00C40966">
      <w:pPr>
        <w:pStyle w:val="ListParagraph"/>
        <w:numPr>
          <w:ilvl w:val="6"/>
          <w:numId w:val="54"/>
        </w:numPr>
        <w:spacing w:before="60" w:after="60" w:line="276" w:lineRule="auto"/>
        <w:ind w:left="709" w:hanging="283"/>
        <w:rPr>
          <w:rFonts w:asciiTheme="majorBidi" w:hAnsiTheme="majorBidi" w:cstheme="majorBidi"/>
          <w:sz w:val="21"/>
          <w:rtl/>
        </w:rPr>
      </w:pPr>
      <w:r w:rsidRPr="00C40966">
        <w:rPr>
          <w:rFonts w:asciiTheme="majorBidi" w:hAnsiTheme="majorBidi" w:cstheme="majorBidi"/>
          <w:sz w:val="21"/>
        </w:rPr>
        <w:t>In June 2024, CTY completed the exchange of EUR 266 million par value hybrid debentures (Series 2024) for new hybrid debentures, the redemption date of which is after 5.25 years and which bear interest of 7.875</w:t>
      </w:r>
      <w:r w:rsidR="00A663FB">
        <w:rPr>
          <w:rFonts w:asciiTheme="majorBidi" w:hAnsiTheme="majorBidi" w:cstheme="majorBidi"/>
          <w:sz w:val="21"/>
        </w:rPr>
        <w:t>%</w:t>
      </w:r>
      <w:r w:rsidR="00C40966">
        <w:rPr>
          <w:rFonts w:asciiTheme="majorBidi" w:hAnsiTheme="majorBidi" w:cstheme="majorBidi"/>
          <w:sz w:val="21"/>
        </w:rPr>
        <w:t xml:space="preserve"> and</w:t>
      </w:r>
      <w:r w:rsidRPr="00C40966">
        <w:rPr>
          <w:rFonts w:asciiTheme="majorBidi" w:hAnsiTheme="majorBidi" w:cstheme="majorBidi"/>
          <w:sz w:val="21"/>
        </w:rPr>
        <w:t xml:space="preserve"> </w:t>
      </w:r>
      <w:r w:rsidR="00C40966">
        <w:rPr>
          <w:rFonts w:asciiTheme="majorBidi" w:hAnsiTheme="majorBidi" w:cstheme="majorBidi"/>
          <w:sz w:val="21"/>
        </w:rPr>
        <w:t>cash</w:t>
      </w:r>
      <w:r w:rsidRPr="00C40966">
        <w:rPr>
          <w:rFonts w:asciiTheme="majorBidi" w:hAnsiTheme="majorBidi" w:cstheme="majorBidi"/>
          <w:sz w:val="21"/>
        </w:rPr>
        <w:t xml:space="preserve"> return </w:t>
      </w:r>
      <w:r w:rsidR="00C40966">
        <w:rPr>
          <w:rFonts w:asciiTheme="majorBidi" w:hAnsiTheme="majorBidi" w:cstheme="majorBidi"/>
          <w:sz w:val="21"/>
        </w:rPr>
        <w:t>of</w:t>
      </w:r>
      <w:r w:rsidRPr="00C40966">
        <w:rPr>
          <w:rFonts w:asciiTheme="majorBidi" w:hAnsiTheme="majorBidi" w:cstheme="majorBidi"/>
          <w:sz w:val="21"/>
        </w:rPr>
        <w:t xml:space="preserve"> </w:t>
      </w:r>
      <w:bookmarkEnd w:id="153"/>
      <w:r w:rsidR="00C40966">
        <w:rPr>
          <w:rFonts w:asciiTheme="majorBidi" w:hAnsiTheme="majorBidi" w:cstheme="majorBidi"/>
          <w:sz w:val="21"/>
        </w:rPr>
        <w:t>EUR 12.6 million.</w:t>
      </w:r>
    </w:p>
    <w:p w14:paraId="01087FF2" w14:textId="77777777" w:rsidR="00213131" w:rsidRPr="004D7A72" w:rsidRDefault="00213131" w:rsidP="004D7A72">
      <w:pPr>
        <w:pStyle w:val="ListParagraph41"/>
        <w:keepNext/>
        <w:keepLines/>
        <w:numPr>
          <w:ilvl w:val="3"/>
          <w:numId w:val="60"/>
        </w:numPr>
        <w:tabs>
          <w:tab w:val="left" w:pos="425"/>
          <w:tab w:val="left" w:pos="1416"/>
        </w:tabs>
        <w:bidi w:val="0"/>
        <w:spacing w:before="60" w:after="60" w:line="276" w:lineRule="auto"/>
        <w:ind w:left="426" w:hanging="426"/>
        <w:jc w:val="both"/>
        <w:rPr>
          <w:rFonts w:asciiTheme="majorBidi" w:hAnsiTheme="majorBidi" w:cstheme="majorBidi"/>
          <w:sz w:val="21"/>
          <w:u w:val="single"/>
        </w:rPr>
      </w:pPr>
      <w:bookmarkStart w:id="155" w:name="H5_אירועים_אחרים"/>
      <w:r w:rsidRPr="004D7A72">
        <w:rPr>
          <w:rFonts w:asciiTheme="majorBidi" w:hAnsiTheme="majorBidi" w:cstheme="majorBidi"/>
          <w:sz w:val="21"/>
          <w:u w:val="single"/>
        </w:rPr>
        <w:t>Other events</w:t>
      </w:r>
    </w:p>
    <w:p w14:paraId="3E210D34" w14:textId="371C383E" w:rsidR="00213131" w:rsidRPr="004D7A72" w:rsidRDefault="00213131" w:rsidP="004D7A72">
      <w:pPr>
        <w:pStyle w:val="ListParagraph"/>
        <w:keepLines/>
        <w:numPr>
          <w:ilvl w:val="1"/>
          <w:numId w:val="55"/>
        </w:numPr>
        <w:tabs>
          <w:tab w:val="clear" w:pos="1701"/>
        </w:tabs>
        <w:spacing w:before="60" w:after="60" w:line="276" w:lineRule="auto"/>
        <w:ind w:left="709" w:hanging="283"/>
        <w:rPr>
          <w:rFonts w:asciiTheme="majorBidi" w:hAnsiTheme="majorBidi" w:cstheme="majorBidi"/>
          <w:sz w:val="21"/>
          <w:szCs w:val="21"/>
        </w:rPr>
      </w:pPr>
      <w:bookmarkStart w:id="156" w:name="_Hlk103534576"/>
      <w:bookmarkStart w:id="157" w:name="_Hlk129870994"/>
      <w:bookmarkEnd w:id="155"/>
      <w:r w:rsidRPr="004D7A72">
        <w:rPr>
          <w:rFonts w:asciiTheme="majorBidi" w:hAnsiTheme="majorBidi" w:cstheme="majorBidi"/>
          <w:sz w:val="21"/>
        </w:rPr>
        <w:t xml:space="preserve">In February 2024, Gazit Malls FII, a real estate investment fund controlled (indirectly) by the Company, (“Gazit Malls”) completed </w:t>
      </w:r>
      <w:r w:rsidR="00925CBD" w:rsidRPr="004D7A72">
        <w:rPr>
          <w:rFonts w:asciiTheme="majorBidi" w:hAnsiTheme="majorBidi" w:cstheme="majorBidi"/>
          <w:sz w:val="21"/>
        </w:rPr>
        <w:t>an</w:t>
      </w:r>
      <w:r w:rsidRPr="004D7A72">
        <w:rPr>
          <w:rFonts w:asciiTheme="majorBidi" w:hAnsiTheme="majorBidi" w:cstheme="majorBidi"/>
          <w:sz w:val="21"/>
        </w:rPr>
        <w:t xml:space="preserve"> </w:t>
      </w:r>
      <w:r w:rsidR="008A500C">
        <w:rPr>
          <w:rFonts w:asciiTheme="majorBidi" w:hAnsiTheme="majorBidi" w:cstheme="majorBidi"/>
          <w:sz w:val="21"/>
        </w:rPr>
        <w:t>IPO</w:t>
      </w:r>
      <w:r w:rsidRPr="004D7A72">
        <w:rPr>
          <w:rFonts w:asciiTheme="majorBidi" w:hAnsiTheme="majorBidi" w:cstheme="majorBidi"/>
          <w:sz w:val="21"/>
        </w:rPr>
        <w:t xml:space="preserve"> of its participating units on the Sao Paulo Stock Exchange in Brazil (“BOVESPA”) by way of a </w:t>
      </w:r>
      <w:r w:rsidR="00A453F4">
        <w:rPr>
          <w:rFonts w:asciiTheme="majorBidi" w:hAnsiTheme="majorBidi" w:cstheme="majorBidi"/>
          <w:sz w:val="21"/>
        </w:rPr>
        <w:t>tender offer</w:t>
      </w:r>
      <w:r w:rsidRPr="004D7A72">
        <w:rPr>
          <w:rFonts w:asciiTheme="majorBidi" w:hAnsiTheme="majorBidi" w:cstheme="majorBidi"/>
          <w:sz w:val="21"/>
        </w:rPr>
        <w:t xml:space="preserve"> to classified investors (below in this section: the “</w:t>
      </w:r>
      <w:r w:rsidR="00A453F4">
        <w:rPr>
          <w:rFonts w:asciiTheme="majorBidi" w:hAnsiTheme="majorBidi" w:cstheme="majorBidi"/>
          <w:sz w:val="21"/>
        </w:rPr>
        <w:t>Tender offer</w:t>
      </w:r>
      <w:r w:rsidRPr="004D7A72">
        <w:rPr>
          <w:rFonts w:asciiTheme="majorBidi" w:hAnsiTheme="majorBidi" w:cstheme="majorBidi"/>
          <w:sz w:val="21"/>
        </w:rPr>
        <w:t xml:space="preserve">”), for an amount of BRL 301 million (NIS 226 million). After the issue, Gazit </w:t>
      </w:r>
      <w:proofErr w:type="spellStart"/>
      <w:r w:rsidR="00C40966">
        <w:rPr>
          <w:rFonts w:asciiTheme="majorBidi" w:hAnsiTheme="majorBidi" w:cstheme="majorBidi"/>
          <w:sz w:val="21"/>
        </w:rPr>
        <w:t>Brasil</w:t>
      </w:r>
      <w:proofErr w:type="spellEnd"/>
      <w:r w:rsidRPr="004D7A72">
        <w:rPr>
          <w:rFonts w:asciiTheme="majorBidi" w:hAnsiTheme="majorBidi" w:cstheme="majorBidi"/>
          <w:sz w:val="21"/>
        </w:rPr>
        <w:t xml:space="preserve"> purchased 223,000 shares through regular trading for BRL16 million (NIS 12 million), all under a time-limited market making plan that ended 30 days after the </w:t>
      </w:r>
      <w:r w:rsidR="008A500C">
        <w:rPr>
          <w:rFonts w:asciiTheme="majorBidi" w:hAnsiTheme="majorBidi" w:cstheme="majorBidi"/>
          <w:sz w:val="21"/>
        </w:rPr>
        <w:t>IPO</w:t>
      </w:r>
      <w:r w:rsidRPr="004D7A72">
        <w:rPr>
          <w:rFonts w:asciiTheme="majorBidi" w:hAnsiTheme="majorBidi" w:cstheme="majorBidi"/>
          <w:sz w:val="21"/>
        </w:rPr>
        <w:t xml:space="preserve"> was completed. As a result, to date, Gazit Brazil holds 81.9% of the share capital of Gazit Malls.</w:t>
      </w:r>
    </w:p>
    <w:p w14:paraId="150456C4" w14:textId="1EFC37A4" w:rsidR="00213131" w:rsidRPr="004D7A72" w:rsidRDefault="00213131" w:rsidP="00213131">
      <w:pPr>
        <w:pStyle w:val="ListParagraph"/>
        <w:keepLines/>
        <w:ind w:left="709"/>
        <w:rPr>
          <w:rFonts w:asciiTheme="majorBidi" w:hAnsiTheme="majorBidi" w:cstheme="majorBidi"/>
          <w:sz w:val="21"/>
          <w:szCs w:val="21"/>
        </w:rPr>
      </w:pPr>
      <w:r w:rsidRPr="004D7A72">
        <w:rPr>
          <w:rFonts w:asciiTheme="majorBidi" w:hAnsiTheme="majorBidi" w:cstheme="majorBidi"/>
          <w:sz w:val="21"/>
          <w:szCs w:val="21"/>
        </w:rPr>
        <w:t xml:space="preserve">Prior to completing the </w:t>
      </w:r>
      <w:r w:rsidR="00A453F4">
        <w:rPr>
          <w:rFonts w:asciiTheme="majorBidi" w:hAnsiTheme="majorBidi" w:cstheme="majorBidi"/>
          <w:sz w:val="21"/>
          <w:szCs w:val="21"/>
        </w:rPr>
        <w:t>Tender offer</w:t>
      </w:r>
      <w:r w:rsidRPr="004D7A72">
        <w:rPr>
          <w:rFonts w:asciiTheme="majorBidi" w:hAnsiTheme="majorBidi" w:cstheme="majorBidi"/>
          <w:sz w:val="21"/>
          <w:szCs w:val="21"/>
        </w:rPr>
        <w:t xml:space="preserve">, the Gazit Malls classified its capital according to two classes of participating units - preferred participating units that confer surplus dividend for a period of 24 months from the date on which the offering is completed (Class A; 49% of the issued capital and voting rights) and ordinary participating units (Class B; 51% of the issued capital and voting rights). Under the </w:t>
      </w:r>
      <w:r w:rsidR="00A453F4">
        <w:rPr>
          <w:rFonts w:asciiTheme="majorBidi" w:hAnsiTheme="majorBidi" w:cstheme="majorBidi"/>
          <w:sz w:val="21"/>
          <w:szCs w:val="21"/>
        </w:rPr>
        <w:t>Tender offer</w:t>
      </w:r>
      <w:r w:rsidRPr="004D7A72">
        <w:rPr>
          <w:rFonts w:asciiTheme="majorBidi" w:hAnsiTheme="majorBidi" w:cstheme="majorBidi"/>
          <w:sz w:val="21"/>
          <w:szCs w:val="21"/>
        </w:rPr>
        <w:t xml:space="preserve">, the Company sold part of the Class A participating units. Apart from the surplus dividend, the participating units of both Classes will have the same issued capital rights and voting rights. After 24 months as aforesaid, the Class B participating units will be converted into Class A participating units. </w:t>
      </w:r>
    </w:p>
    <w:p w14:paraId="49B717BA" w14:textId="77777777" w:rsidR="00B964B7" w:rsidRDefault="00213131" w:rsidP="00213131">
      <w:pPr>
        <w:pStyle w:val="ListParagraph"/>
        <w:keepLines/>
        <w:ind w:left="709"/>
        <w:rPr>
          <w:rFonts w:asciiTheme="majorBidi" w:hAnsiTheme="majorBidi" w:cstheme="majorBidi"/>
          <w:sz w:val="21"/>
          <w:szCs w:val="21"/>
        </w:rPr>
      </w:pPr>
      <w:r w:rsidRPr="004D7A72">
        <w:rPr>
          <w:rFonts w:asciiTheme="majorBidi" w:hAnsiTheme="majorBidi" w:cstheme="majorBidi"/>
          <w:sz w:val="21"/>
          <w:szCs w:val="21"/>
        </w:rPr>
        <w:t xml:space="preserve">The participating units sold under the </w:t>
      </w:r>
      <w:r w:rsidR="00A453F4">
        <w:rPr>
          <w:rFonts w:asciiTheme="majorBidi" w:hAnsiTheme="majorBidi" w:cstheme="majorBidi"/>
          <w:sz w:val="21"/>
          <w:szCs w:val="21"/>
        </w:rPr>
        <w:t xml:space="preserve">Tender </w:t>
      </w:r>
    </w:p>
    <w:p w14:paraId="62815818" w14:textId="1DF48C4D" w:rsidR="00213131" w:rsidRPr="004D7A72" w:rsidRDefault="00A453F4" w:rsidP="00213131">
      <w:pPr>
        <w:pStyle w:val="ListParagraph"/>
        <w:keepLines/>
        <w:ind w:left="709"/>
        <w:rPr>
          <w:rFonts w:asciiTheme="majorBidi" w:hAnsiTheme="majorBidi" w:cstheme="majorBidi"/>
          <w:sz w:val="21"/>
          <w:szCs w:val="21"/>
        </w:rPr>
      </w:pPr>
      <w:r>
        <w:rPr>
          <w:rFonts w:asciiTheme="majorBidi" w:hAnsiTheme="majorBidi" w:cstheme="majorBidi"/>
          <w:sz w:val="21"/>
          <w:szCs w:val="21"/>
        </w:rPr>
        <w:t>offer</w:t>
      </w:r>
      <w:r w:rsidR="00213131" w:rsidRPr="004D7A72">
        <w:rPr>
          <w:rFonts w:asciiTheme="majorBidi" w:hAnsiTheme="majorBidi" w:cstheme="majorBidi"/>
          <w:sz w:val="21"/>
          <w:szCs w:val="21"/>
        </w:rPr>
        <w:t xml:space="preserve"> constitute 18.13% of the issued share capital and voting rights of Gazit Malls. After completing the </w:t>
      </w:r>
      <w:r w:rsidR="008A500C">
        <w:rPr>
          <w:rFonts w:asciiTheme="majorBidi" w:hAnsiTheme="majorBidi" w:cstheme="majorBidi"/>
          <w:sz w:val="21"/>
          <w:szCs w:val="21"/>
        </w:rPr>
        <w:t>IPO</w:t>
      </w:r>
      <w:r w:rsidR="00213131" w:rsidRPr="004D7A72">
        <w:rPr>
          <w:rFonts w:asciiTheme="majorBidi" w:hAnsiTheme="majorBidi" w:cstheme="majorBidi"/>
          <w:sz w:val="21"/>
          <w:szCs w:val="21"/>
        </w:rPr>
        <w:t xml:space="preserve">, the Company holds (indirectly) 63% of the participating units (Class A) and all the participating units (Class B) from the </w:t>
      </w:r>
      <w:r w:rsidR="008A500C">
        <w:rPr>
          <w:rFonts w:asciiTheme="majorBidi" w:hAnsiTheme="majorBidi" w:cstheme="majorBidi"/>
          <w:sz w:val="21"/>
          <w:szCs w:val="21"/>
        </w:rPr>
        <w:t>IPO</w:t>
      </w:r>
      <w:r w:rsidR="00213131" w:rsidRPr="004D7A72">
        <w:rPr>
          <w:rFonts w:asciiTheme="majorBidi" w:hAnsiTheme="majorBidi" w:cstheme="majorBidi"/>
          <w:sz w:val="21"/>
          <w:szCs w:val="21"/>
        </w:rPr>
        <w:t>.</w:t>
      </w:r>
    </w:p>
    <w:p w14:paraId="171D8815" w14:textId="77777777" w:rsidR="00213131" w:rsidRPr="004D7A72" w:rsidRDefault="00213131" w:rsidP="00213131">
      <w:pPr>
        <w:pStyle w:val="ListParagraph"/>
        <w:keepLines/>
        <w:ind w:left="709"/>
        <w:rPr>
          <w:rFonts w:asciiTheme="majorBidi" w:hAnsiTheme="majorBidi" w:cstheme="majorBidi"/>
          <w:sz w:val="21"/>
          <w:szCs w:val="21"/>
        </w:rPr>
      </w:pPr>
      <w:r w:rsidRPr="004D7A72">
        <w:rPr>
          <w:rFonts w:asciiTheme="majorBidi" w:hAnsiTheme="majorBidi" w:cstheme="majorBidi"/>
          <w:sz w:val="21"/>
          <w:szCs w:val="21"/>
        </w:rPr>
        <w:t>The Class A participating units were issued a price of BRL 72 per unit, reflecting a 16% discount with regard to their known carrying value in the Company's books on the date of publication of the offer (which was BFL 86 per share), and that reflected a 9% discount with regard to the value of the assets held by Gazit Malls, as is generally accepted for this type of transaction in Brazil.</w:t>
      </w:r>
    </w:p>
    <w:p w14:paraId="62FA4EAA" w14:textId="77777777" w:rsidR="00213131" w:rsidRPr="004D7A72" w:rsidRDefault="00213131" w:rsidP="00213131">
      <w:pPr>
        <w:pStyle w:val="ListParagraph"/>
        <w:keepLines/>
        <w:ind w:left="709"/>
        <w:rPr>
          <w:rFonts w:asciiTheme="majorBidi" w:hAnsiTheme="majorBidi" w:cstheme="majorBidi"/>
          <w:sz w:val="21"/>
          <w:szCs w:val="21"/>
        </w:rPr>
      </w:pPr>
      <w:r w:rsidRPr="004D7A72">
        <w:rPr>
          <w:rFonts w:asciiTheme="majorBidi" w:hAnsiTheme="majorBidi" w:cstheme="majorBidi"/>
          <w:sz w:val="21"/>
          <w:szCs w:val="21"/>
        </w:rPr>
        <w:t>Following the transaction the Company recognized a decrease in the equity attributed to the equity holders of NIS 82 million that was attributed to capital reserves.</w:t>
      </w:r>
    </w:p>
    <w:p w14:paraId="37A8C313" w14:textId="77777777" w:rsidR="00213131" w:rsidRPr="004D7A72" w:rsidRDefault="00213131" w:rsidP="004D7A72">
      <w:pPr>
        <w:pStyle w:val="ListParagraph"/>
        <w:keepLines/>
        <w:numPr>
          <w:ilvl w:val="1"/>
          <w:numId w:val="55"/>
        </w:numPr>
        <w:tabs>
          <w:tab w:val="clear" w:pos="1701"/>
        </w:tabs>
        <w:spacing w:before="60" w:after="60" w:line="276" w:lineRule="auto"/>
        <w:ind w:left="709" w:hanging="283"/>
        <w:rPr>
          <w:rFonts w:asciiTheme="majorBidi" w:hAnsiTheme="majorBidi" w:cstheme="majorBidi"/>
          <w:sz w:val="21"/>
        </w:rPr>
      </w:pPr>
      <w:r w:rsidRPr="004D7A72">
        <w:rPr>
          <w:rFonts w:asciiTheme="majorBidi" w:hAnsiTheme="majorBidi" w:cstheme="majorBidi"/>
          <w:sz w:val="21"/>
        </w:rPr>
        <w:t>In February 2024, CTY issued 11.9 million ordinary shares for total proceeds of EUR 48.2 million (EUR 4.05 per share).  The Company purchased 3.7 million shares for total consideration of EUR 15 million. As a result of the issue, the Company's holdings in CTY decreased from 50.9% to 49.6% and the Company will recognize a decrease in the equity attributable to equity holders in the amount of NIS 135.7 million, which was attributed to capital reserves. The Company is continuing to consolidate CTY in its financial statements, pursuant to its effective control policy.</w:t>
      </w:r>
    </w:p>
    <w:p w14:paraId="60507848" w14:textId="77777777" w:rsidR="00213131" w:rsidRPr="004D7A72" w:rsidRDefault="00213131" w:rsidP="004D7A72">
      <w:pPr>
        <w:pStyle w:val="ListParagraph"/>
        <w:keepLines/>
        <w:numPr>
          <w:ilvl w:val="1"/>
          <w:numId w:val="55"/>
        </w:numPr>
        <w:tabs>
          <w:tab w:val="clear" w:pos="1701"/>
        </w:tabs>
        <w:spacing w:before="60" w:after="60" w:line="276" w:lineRule="auto"/>
        <w:ind w:left="709" w:hanging="283"/>
        <w:rPr>
          <w:rFonts w:asciiTheme="majorBidi" w:hAnsiTheme="majorBidi" w:cstheme="majorBidi"/>
          <w:sz w:val="21"/>
        </w:rPr>
      </w:pPr>
      <w:r w:rsidRPr="004D7A72">
        <w:rPr>
          <w:rFonts w:asciiTheme="majorBidi" w:hAnsiTheme="majorBidi" w:cstheme="majorBidi"/>
          <w:sz w:val="21"/>
        </w:rPr>
        <w:t>On February 29, 2024, CTY completed the purchase of the remaining 50% in a joint venture in Sweden Consequently, CTY now owns 100% of the joint venture, which was consolidated in the company's reports. The consideration for the purchase was EUR 2.5 million in cash. The joint venture had a debt to third party in amount of SEK 2.4 billion which CTY assumed, and which included the partner’s share in an amount of SEK 1.2 billion (NIS 423 million). Following the transaction, CTY recognized a capital gain in the amount of EUR 46.2 million (NIS 180 million) which is presented under Other Income.</w:t>
      </w:r>
    </w:p>
    <w:p w14:paraId="0A234DD5" w14:textId="18B94C77" w:rsidR="00213131" w:rsidRPr="004D7A72" w:rsidRDefault="00213131" w:rsidP="004D7A72">
      <w:pPr>
        <w:pStyle w:val="ListParagraph"/>
        <w:keepLines/>
        <w:numPr>
          <w:ilvl w:val="1"/>
          <w:numId w:val="55"/>
        </w:numPr>
        <w:tabs>
          <w:tab w:val="clear" w:pos="1701"/>
        </w:tabs>
        <w:spacing w:before="60" w:after="60" w:line="276" w:lineRule="auto"/>
        <w:ind w:left="709" w:hanging="283"/>
        <w:rPr>
          <w:rFonts w:asciiTheme="majorBidi" w:hAnsiTheme="majorBidi" w:cstheme="majorBidi"/>
          <w:sz w:val="21"/>
        </w:rPr>
      </w:pPr>
      <w:r w:rsidRPr="004D7A72">
        <w:rPr>
          <w:rFonts w:asciiTheme="majorBidi" w:hAnsiTheme="majorBidi" w:cstheme="majorBidi"/>
          <w:sz w:val="21"/>
        </w:rPr>
        <w:t>In the reporting period, G Europe, which is the owner of a subsidiary that owns real estate in Turkey (the "Subsidiary" and "the Property"), filed a lawsuit to cancel an unlawful change in registration by a third party of the Subsidiary's ownership of the Property</w:t>
      </w:r>
      <w:r w:rsidR="00C40966">
        <w:rPr>
          <w:rFonts w:asciiTheme="majorBidi" w:hAnsiTheme="majorBidi" w:cstheme="majorBidi"/>
          <w:sz w:val="21"/>
        </w:rPr>
        <w:t xml:space="preserve"> </w:t>
      </w:r>
      <w:r w:rsidR="00A663FB">
        <w:rPr>
          <w:rFonts w:asciiTheme="majorBidi" w:hAnsiTheme="majorBidi" w:cstheme="majorBidi"/>
          <w:sz w:val="21"/>
        </w:rPr>
        <w:t>shares</w:t>
      </w:r>
      <w:r w:rsidRPr="004D7A72">
        <w:rPr>
          <w:rFonts w:asciiTheme="majorBidi" w:hAnsiTheme="majorBidi" w:cstheme="majorBidi"/>
          <w:sz w:val="21"/>
        </w:rPr>
        <w:t>. In August 2024, the court ruled in favor of G Europe and ordered amending it as the owner of the Subsidiary</w:t>
      </w:r>
      <w:r w:rsidR="00C40966">
        <w:rPr>
          <w:rFonts w:asciiTheme="majorBidi" w:hAnsiTheme="majorBidi" w:cstheme="majorBidi"/>
          <w:sz w:val="21"/>
        </w:rPr>
        <w:t>’s shares</w:t>
      </w:r>
      <w:r w:rsidRPr="004D7A72">
        <w:rPr>
          <w:rFonts w:asciiTheme="majorBidi" w:hAnsiTheme="majorBidi" w:cstheme="majorBidi"/>
          <w:sz w:val="21"/>
        </w:rPr>
        <w:t>.</w:t>
      </w:r>
    </w:p>
    <w:p w14:paraId="076D9888" w14:textId="77777777" w:rsidR="00213131" w:rsidRPr="004D7A72" w:rsidRDefault="00213131" w:rsidP="004D7A72">
      <w:pPr>
        <w:pStyle w:val="ListParagraph"/>
        <w:keepLines/>
        <w:numPr>
          <w:ilvl w:val="1"/>
          <w:numId w:val="55"/>
        </w:numPr>
        <w:tabs>
          <w:tab w:val="clear" w:pos="1701"/>
        </w:tabs>
        <w:spacing w:before="60" w:after="60" w:line="276" w:lineRule="auto"/>
        <w:ind w:left="709" w:hanging="283"/>
        <w:rPr>
          <w:rFonts w:asciiTheme="majorBidi" w:hAnsiTheme="majorBidi" w:cstheme="majorBidi"/>
          <w:sz w:val="21"/>
        </w:rPr>
      </w:pPr>
      <w:r w:rsidRPr="004D7A72">
        <w:rPr>
          <w:rFonts w:asciiTheme="majorBidi" w:hAnsiTheme="majorBidi" w:cstheme="majorBidi"/>
          <w:sz w:val="21"/>
        </w:rPr>
        <w:t>During the reporting period, the Company bought back 1.1 million shares of the Company for NIS 10 million. The acquired shares are treasury shares.</w:t>
      </w:r>
    </w:p>
    <w:p w14:paraId="12815D12" w14:textId="400AD11B" w:rsidR="00213131" w:rsidRPr="004D7A72" w:rsidRDefault="00213131" w:rsidP="004D7A72">
      <w:pPr>
        <w:pStyle w:val="ListParagraph"/>
        <w:keepLines/>
        <w:numPr>
          <w:ilvl w:val="1"/>
          <w:numId w:val="55"/>
        </w:numPr>
        <w:tabs>
          <w:tab w:val="clear" w:pos="1701"/>
        </w:tabs>
        <w:spacing w:before="60" w:after="60" w:line="276" w:lineRule="auto"/>
        <w:ind w:left="709" w:hanging="283"/>
        <w:rPr>
          <w:rFonts w:asciiTheme="majorBidi" w:hAnsiTheme="majorBidi" w:cstheme="majorBidi"/>
          <w:sz w:val="21"/>
        </w:rPr>
      </w:pPr>
      <w:r w:rsidRPr="004D7A72">
        <w:rPr>
          <w:rFonts w:asciiTheme="majorBidi" w:hAnsiTheme="majorBidi" w:cstheme="majorBidi"/>
          <w:sz w:val="21"/>
        </w:rPr>
        <w:t xml:space="preserve">In February 2024, the S&amp;P </w:t>
      </w:r>
      <w:proofErr w:type="spellStart"/>
      <w:r w:rsidRPr="004D7A72">
        <w:rPr>
          <w:rFonts w:asciiTheme="majorBidi" w:hAnsiTheme="majorBidi" w:cstheme="majorBidi"/>
          <w:sz w:val="21"/>
        </w:rPr>
        <w:t>Maalot</w:t>
      </w:r>
      <w:proofErr w:type="spellEnd"/>
      <w:r w:rsidRPr="004D7A72">
        <w:rPr>
          <w:rFonts w:asciiTheme="majorBidi" w:hAnsiTheme="majorBidi" w:cstheme="majorBidi"/>
          <w:sz w:val="21"/>
        </w:rPr>
        <w:t xml:space="preserve"> rating agency set the credit rating for the Company’s Debentures (Series R) as </w:t>
      </w:r>
      <w:r w:rsidR="00A663FB">
        <w:rPr>
          <w:rFonts w:asciiTheme="majorBidi" w:hAnsiTheme="majorBidi" w:cstheme="majorBidi" w:hint="cs"/>
          <w:sz w:val="21"/>
          <w:rtl/>
        </w:rPr>
        <w:t>'</w:t>
      </w:r>
      <w:proofErr w:type="spellStart"/>
      <w:r w:rsidRPr="004D7A72">
        <w:rPr>
          <w:rFonts w:asciiTheme="majorBidi" w:hAnsiTheme="majorBidi" w:cstheme="majorBidi"/>
          <w:sz w:val="21"/>
        </w:rPr>
        <w:t>ilA</w:t>
      </w:r>
      <w:proofErr w:type="spellEnd"/>
      <w:r w:rsidR="00A663FB">
        <w:rPr>
          <w:rFonts w:asciiTheme="majorBidi" w:hAnsiTheme="majorBidi" w:cstheme="majorBidi" w:hint="cs"/>
          <w:sz w:val="21"/>
          <w:rtl/>
        </w:rPr>
        <w:t>'</w:t>
      </w:r>
      <w:r w:rsidRPr="004D7A72">
        <w:rPr>
          <w:rFonts w:asciiTheme="majorBidi" w:hAnsiTheme="majorBidi" w:cstheme="majorBidi"/>
          <w:sz w:val="21"/>
        </w:rPr>
        <w:t>, with negative outlook.</w:t>
      </w:r>
    </w:p>
    <w:p w14:paraId="07DC2FD8" w14:textId="77777777" w:rsidR="00213131" w:rsidRPr="004D7A72" w:rsidRDefault="00213131" w:rsidP="00213131">
      <w:pPr>
        <w:keepNext/>
        <w:pageBreakBefore/>
        <w:pBdr>
          <w:top w:val="nil"/>
          <w:left w:val="nil"/>
          <w:bottom w:val="nil"/>
          <w:right w:val="nil"/>
          <w:between w:val="nil"/>
          <w:bar w:val="nil"/>
        </w:pBdr>
        <w:tabs>
          <w:tab w:val="left" w:pos="-4254"/>
        </w:tabs>
        <w:outlineLvl w:val="3"/>
        <w:rPr>
          <w:rFonts w:asciiTheme="majorBidi" w:eastAsia="Calibri" w:hAnsiTheme="majorBidi" w:cstheme="majorBidi"/>
          <w:b/>
          <w:bCs/>
          <w:sz w:val="21"/>
          <w:szCs w:val="21"/>
        </w:rPr>
      </w:pPr>
      <w:r w:rsidRPr="004D7A72">
        <w:rPr>
          <w:rFonts w:asciiTheme="majorBidi" w:hAnsiTheme="majorBidi" w:cstheme="majorBidi"/>
          <w:b/>
          <w:sz w:val="21"/>
        </w:rPr>
        <w:lastRenderedPageBreak/>
        <w:t>Note 3 – Material Events in the reporting period (contd.)</w:t>
      </w:r>
    </w:p>
    <w:p w14:paraId="25241CB4" w14:textId="77777777" w:rsidR="00213131" w:rsidRPr="004D7A72" w:rsidRDefault="00213131" w:rsidP="004D7A72">
      <w:pPr>
        <w:pStyle w:val="ListParagraph"/>
        <w:keepLines/>
        <w:numPr>
          <w:ilvl w:val="1"/>
          <w:numId w:val="55"/>
        </w:numPr>
        <w:tabs>
          <w:tab w:val="clear" w:pos="1701"/>
        </w:tabs>
        <w:spacing w:before="60" w:after="60" w:line="276" w:lineRule="auto"/>
        <w:ind w:left="709" w:hanging="283"/>
        <w:rPr>
          <w:rFonts w:asciiTheme="majorBidi" w:hAnsiTheme="majorBidi" w:cstheme="majorBidi"/>
          <w:sz w:val="21"/>
        </w:rPr>
      </w:pPr>
      <w:r w:rsidRPr="004D7A72">
        <w:rPr>
          <w:rFonts w:asciiTheme="majorBidi" w:hAnsiTheme="majorBidi" w:cstheme="majorBidi"/>
          <w:sz w:val="21"/>
        </w:rPr>
        <w:t xml:space="preserve">In February 2024, </w:t>
      </w:r>
      <w:proofErr w:type="spellStart"/>
      <w:r w:rsidRPr="004D7A72">
        <w:rPr>
          <w:rFonts w:asciiTheme="majorBidi" w:hAnsiTheme="majorBidi" w:cstheme="majorBidi"/>
          <w:sz w:val="21"/>
        </w:rPr>
        <w:t>Midroog</w:t>
      </w:r>
      <w:proofErr w:type="spellEnd"/>
      <w:r w:rsidRPr="004D7A72">
        <w:rPr>
          <w:rFonts w:asciiTheme="majorBidi" w:hAnsiTheme="majorBidi" w:cstheme="majorBidi"/>
          <w:sz w:val="21"/>
        </w:rPr>
        <w:t xml:space="preserve"> rating agency set the credit rating for the Company's Debentures (Series R) as A2.il, with negative outlook.</w:t>
      </w:r>
    </w:p>
    <w:p w14:paraId="756DF7CF" w14:textId="77777777" w:rsidR="00213131" w:rsidRPr="004D7A72" w:rsidRDefault="00213131" w:rsidP="004D7A72">
      <w:pPr>
        <w:pStyle w:val="ListParagraph"/>
        <w:keepLines/>
        <w:numPr>
          <w:ilvl w:val="1"/>
          <w:numId w:val="55"/>
        </w:numPr>
        <w:tabs>
          <w:tab w:val="clear" w:pos="1701"/>
        </w:tabs>
        <w:spacing w:before="60" w:after="60" w:line="276" w:lineRule="auto"/>
        <w:ind w:left="709" w:hanging="283"/>
        <w:rPr>
          <w:rFonts w:asciiTheme="majorBidi" w:hAnsiTheme="majorBidi" w:cstheme="majorBidi"/>
          <w:sz w:val="21"/>
        </w:rPr>
      </w:pPr>
      <w:r w:rsidRPr="004D7A72">
        <w:rPr>
          <w:rFonts w:asciiTheme="majorBidi" w:hAnsiTheme="majorBidi" w:cstheme="majorBidi"/>
          <w:sz w:val="21"/>
        </w:rPr>
        <w:t xml:space="preserve"> In March 2024, Standard &amp; Poor’s rating agency ratified the BBB- rating of CTY’s debentures, and revised the outlook to negative.</w:t>
      </w:r>
    </w:p>
    <w:p w14:paraId="16C8B8E9" w14:textId="77777777" w:rsidR="00213131" w:rsidRPr="004D7A72" w:rsidRDefault="00213131" w:rsidP="004D7A72">
      <w:pPr>
        <w:pStyle w:val="ListParagraph"/>
        <w:keepLines/>
        <w:numPr>
          <w:ilvl w:val="1"/>
          <w:numId w:val="55"/>
        </w:numPr>
        <w:tabs>
          <w:tab w:val="clear" w:pos="1701"/>
        </w:tabs>
        <w:spacing w:before="60" w:after="60" w:line="276" w:lineRule="auto"/>
        <w:ind w:left="709" w:hanging="283"/>
        <w:rPr>
          <w:rFonts w:asciiTheme="majorBidi" w:hAnsiTheme="majorBidi" w:cstheme="majorBidi"/>
          <w:sz w:val="21"/>
        </w:rPr>
      </w:pPr>
      <w:r w:rsidRPr="004D7A72">
        <w:rPr>
          <w:rFonts w:asciiTheme="majorBidi" w:hAnsiTheme="majorBidi" w:cstheme="majorBidi"/>
          <w:sz w:val="21"/>
        </w:rPr>
        <w:t xml:space="preserve"> In March 2024, Moody’s rating agency downgraded the rating for G Europe’s debenture series from Ba2 to B1, with stable outlook.</w:t>
      </w:r>
    </w:p>
    <w:p w14:paraId="2D6A8E19" w14:textId="25724011" w:rsidR="00213131" w:rsidRPr="004D7A72" w:rsidRDefault="00213131" w:rsidP="004D7A72">
      <w:pPr>
        <w:pStyle w:val="ListParagraph"/>
        <w:keepLines/>
        <w:numPr>
          <w:ilvl w:val="1"/>
          <w:numId w:val="55"/>
        </w:numPr>
        <w:tabs>
          <w:tab w:val="clear" w:pos="1701"/>
        </w:tabs>
        <w:spacing w:before="60" w:after="60" w:line="276" w:lineRule="auto"/>
        <w:ind w:left="709" w:hanging="425"/>
        <w:rPr>
          <w:rFonts w:asciiTheme="majorBidi" w:hAnsiTheme="majorBidi" w:cstheme="majorBidi"/>
          <w:sz w:val="21"/>
        </w:rPr>
      </w:pPr>
      <w:r w:rsidRPr="004D7A72">
        <w:rPr>
          <w:rFonts w:asciiTheme="majorBidi" w:hAnsiTheme="majorBidi" w:cstheme="majorBidi"/>
          <w:sz w:val="21"/>
        </w:rPr>
        <w:t xml:space="preserve">In March 2024, the S&amp;P </w:t>
      </w:r>
      <w:proofErr w:type="spellStart"/>
      <w:r w:rsidRPr="004D7A72">
        <w:rPr>
          <w:rFonts w:asciiTheme="majorBidi" w:hAnsiTheme="majorBidi" w:cstheme="majorBidi"/>
          <w:sz w:val="21"/>
        </w:rPr>
        <w:t>Maalot</w:t>
      </w:r>
      <w:proofErr w:type="spellEnd"/>
      <w:r w:rsidRPr="004D7A72">
        <w:rPr>
          <w:rFonts w:asciiTheme="majorBidi" w:hAnsiTheme="majorBidi" w:cstheme="majorBidi"/>
          <w:sz w:val="21"/>
        </w:rPr>
        <w:t xml:space="preserve"> rating agency set the credit rating for the Company’s Debentures (Series S) as </w:t>
      </w:r>
      <w:proofErr w:type="spellStart"/>
      <w:r w:rsidRPr="004D7A72">
        <w:rPr>
          <w:rFonts w:asciiTheme="majorBidi" w:hAnsiTheme="majorBidi" w:cstheme="majorBidi"/>
          <w:sz w:val="21"/>
        </w:rPr>
        <w:t>ilA</w:t>
      </w:r>
      <w:proofErr w:type="spellEnd"/>
      <w:r w:rsidR="00C40966">
        <w:rPr>
          <w:rFonts w:asciiTheme="majorBidi" w:hAnsiTheme="majorBidi" w:cstheme="majorBidi"/>
          <w:sz w:val="21"/>
        </w:rPr>
        <w:t>-</w:t>
      </w:r>
      <w:r w:rsidRPr="004D7A72">
        <w:rPr>
          <w:rFonts w:asciiTheme="majorBidi" w:hAnsiTheme="majorBidi" w:cstheme="majorBidi"/>
          <w:sz w:val="21"/>
        </w:rPr>
        <w:t>, with negative outlook.</w:t>
      </w:r>
    </w:p>
    <w:p w14:paraId="6BDA2B8C" w14:textId="77777777" w:rsidR="00213131" w:rsidRPr="004D7A72" w:rsidRDefault="00213131" w:rsidP="004D7A72">
      <w:pPr>
        <w:pStyle w:val="ListParagraph"/>
        <w:keepLines/>
        <w:numPr>
          <w:ilvl w:val="1"/>
          <w:numId w:val="55"/>
        </w:numPr>
        <w:tabs>
          <w:tab w:val="clear" w:pos="1701"/>
        </w:tabs>
        <w:spacing w:before="60" w:after="60" w:line="276" w:lineRule="auto"/>
        <w:ind w:left="709" w:hanging="425"/>
        <w:rPr>
          <w:rFonts w:asciiTheme="majorBidi" w:hAnsiTheme="majorBidi" w:cstheme="majorBidi"/>
          <w:sz w:val="21"/>
        </w:rPr>
      </w:pPr>
      <w:r w:rsidRPr="004D7A72">
        <w:rPr>
          <w:rFonts w:asciiTheme="majorBidi" w:hAnsiTheme="majorBidi" w:cstheme="majorBidi"/>
          <w:sz w:val="21"/>
        </w:rPr>
        <w:t xml:space="preserve">In March 2024, </w:t>
      </w:r>
      <w:proofErr w:type="spellStart"/>
      <w:r w:rsidRPr="004D7A72">
        <w:rPr>
          <w:rFonts w:asciiTheme="majorBidi" w:hAnsiTheme="majorBidi" w:cstheme="majorBidi"/>
          <w:sz w:val="21"/>
        </w:rPr>
        <w:t>Midroog</w:t>
      </w:r>
      <w:proofErr w:type="spellEnd"/>
      <w:r w:rsidRPr="004D7A72">
        <w:rPr>
          <w:rFonts w:asciiTheme="majorBidi" w:hAnsiTheme="majorBidi" w:cstheme="majorBidi"/>
          <w:sz w:val="21"/>
        </w:rPr>
        <w:t xml:space="preserve"> rating agency set the credit rating for the Company's Debentures (Series S) as A3.il, with negative outlook.</w:t>
      </w:r>
    </w:p>
    <w:p w14:paraId="2BC58B3A" w14:textId="7914B482" w:rsidR="00213131" w:rsidRPr="004D7A72" w:rsidRDefault="00213131" w:rsidP="004D7A72">
      <w:pPr>
        <w:pStyle w:val="ListParagraph"/>
        <w:keepLines/>
        <w:numPr>
          <w:ilvl w:val="1"/>
          <w:numId w:val="55"/>
        </w:numPr>
        <w:tabs>
          <w:tab w:val="clear" w:pos="1701"/>
        </w:tabs>
        <w:spacing w:before="60" w:after="60" w:line="276" w:lineRule="auto"/>
        <w:ind w:left="709" w:hanging="425"/>
        <w:rPr>
          <w:rFonts w:asciiTheme="majorBidi" w:hAnsiTheme="majorBidi" w:cstheme="majorBidi"/>
          <w:sz w:val="21"/>
        </w:rPr>
      </w:pPr>
      <w:r w:rsidRPr="004D7A72">
        <w:rPr>
          <w:rFonts w:asciiTheme="majorBidi" w:hAnsiTheme="majorBidi" w:cstheme="majorBidi"/>
          <w:sz w:val="21"/>
        </w:rPr>
        <w:t xml:space="preserve">On April 30, 2024, the S&amp;P </w:t>
      </w:r>
      <w:proofErr w:type="spellStart"/>
      <w:r w:rsidRPr="004D7A72">
        <w:rPr>
          <w:rFonts w:asciiTheme="majorBidi" w:hAnsiTheme="majorBidi" w:cstheme="majorBidi"/>
          <w:sz w:val="21"/>
        </w:rPr>
        <w:t>Maalot</w:t>
      </w:r>
      <w:proofErr w:type="spellEnd"/>
      <w:r w:rsidRPr="004D7A72">
        <w:rPr>
          <w:rFonts w:asciiTheme="majorBidi" w:hAnsiTheme="majorBidi" w:cstheme="majorBidi"/>
          <w:sz w:val="21"/>
        </w:rPr>
        <w:t xml:space="preserve"> rating agency set the credit rating of Debentures (Series </w:t>
      </w:r>
      <w:r w:rsidR="00A663FB">
        <w:rPr>
          <w:rFonts w:asciiTheme="majorBidi" w:hAnsiTheme="majorBidi" w:cstheme="majorBidi"/>
          <w:sz w:val="21"/>
        </w:rPr>
        <w:t>P</w:t>
      </w:r>
      <w:r w:rsidRPr="004D7A72">
        <w:rPr>
          <w:rFonts w:asciiTheme="majorBidi" w:hAnsiTheme="majorBidi" w:cstheme="majorBidi"/>
          <w:sz w:val="21"/>
        </w:rPr>
        <w:t xml:space="preserve">) of the Company as </w:t>
      </w:r>
      <w:proofErr w:type="spellStart"/>
      <w:r w:rsidRPr="004D7A72">
        <w:rPr>
          <w:rFonts w:asciiTheme="majorBidi" w:hAnsiTheme="majorBidi" w:cstheme="majorBidi"/>
          <w:sz w:val="21"/>
        </w:rPr>
        <w:t>ilA</w:t>
      </w:r>
      <w:proofErr w:type="spellEnd"/>
      <w:r w:rsidRPr="004D7A72">
        <w:rPr>
          <w:rFonts w:asciiTheme="majorBidi" w:hAnsiTheme="majorBidi" w:cstheme="majorBidi"/>
          <w:sz w:val="21"/>
        </w:rPr>
        <w:t>, with negative outlook.</w:t>
      </w:r>
    </w:p>
    <w:p w14:paraId="547B032A" w14:textId="77777777" w:rsidR="00213131" w:rsidRPr="004D7A72" w:rsidRDefault="00213131" w:rsidP="004D7A72">
      <w:pPr>
        <w:pStyle w:val="ListParagraph"/>
        <w:keepLines/>
        <w:numPr>
          <w:ilvl w:val="1"/>
          <w:numId w:val="55"/>
        </w:numPr>
        <w:tabs>
          <w:tab w:val="clear" w:pos="1701"/>
        </w:tabs>
        <w:spacing w:before="60" w:after="60" w:line="276" w:lineRule="auto"/>
        <w:ind w:left="709" w:hanging="425"/>
        <w:rPr>
          <w:rFonts w:asciiTheme="majorBidi" w:hAnsiTheme="majorBidi" w:cstheme="majorBidi"/>
          <w:sz w:val="21"/>
        </w:rPr>
      </w:pPr>
      <w:r w:rsidRPr="004D7A72">
        <w:rPr>
          <w:rFonts w:asciiTheme="majorBidi" w:hAnsiTheme="majorBidi" w:cstheme="majorBidi"/>
          <w:sz w:val="21"/>
        </w:rPr>
        <w:t xml:space="preserve">On April 30, 2024, </w:t>
      </w:r>
      <w:proofErr w:type="spellStart"/>
      <w:r w:rsidRPr="004D7A72">
        <w:rPr>
          <w:rFonts w:asciiTheme="majorBidi" w:hAnsiTheme="majorBidi" w:cstheme="majorBidi"/>
          <w:sz w:val="21"/>
        </w:rPr>
        <w:t>Midroog</w:t>
      </w:r>
      <w:proofErr w:type="spellEnd"/>
      <w:r w:rsidRPr="004D7A72">
        <w:rPr>
          <w:rFonts w:asciiTheme="majorBidi" w:hAnsiTheme="majorBidi" w:cstheme="majorBidi"/>
          <w:sz w:val="21"/>
        </w:rPr>
        <w:t xml:space="preserve"> rating agency set the credit rating of Debentures (Series P) of the Company as A3.il, with a negative outlook.</w:t>
      </w:r>
    </w:p>
    <w:p w14:paraId="0E354CF6" w14:textId="6F7F230D" w:rsidR="00213131" w:rsidRPr="004D7A72" w:rsidRDefault="00213131" w:rsidP="004D7A72">
      <w:pPr>
        <w:pStyle w:val="ListParagraph"/>
        <w:keepLines/>
        <w:numPr>
          <w:ilvl w:val="1"/>
          <w:numId w:val="55"/>
        </w:numPr>
        <w:tabs>
          <w:tab w:val="clear" w:pos="1701"/>
        </w:tabs>
        <w:spacing w:before="60" w:after="60" w:line="276" w:lineRule="auto"/>
        <w:ind w:left="709" w:hanging="425"/>
        <w:rPr>
          <w:rFonts w:asciiTheme="majorBidi" w:hAnsiTheme="majorBidi" w:cstheme="majorBidi"/>
          <w:sz w:val="21"/>
        </w:rPr>
      </w:pPr>
      <w:r w:rsidRPr="004D7A72">
        <w:rPr>
          <w:rFonts w:asciiTheme="majorBidi" w:hAnsiTheme="majorBidi" w:cstheme="majorBidi"/>
          <w:sz w:val="21"/>
        </w:rPr>
        <w:t xml:space="preserve">On June 30, 2024, the S&amp;P </w:t>
      </w:r>
      <w:proofErr w:type="spellStart"/>
      <w:r w:rsidRPr="004D7A72">
        <w:rPr>
          <w:rFonts w:asciiTheme="majorBidi" w:hAnsiTheme="majorBidi" w:cstheme="majorBidi"/>
          <w:sz w:val="21"/>
        </w:rPr>
        <w:t>Maalot</w:t>
      </w:r>
      <w:proofErr w:type="spellEnd"/>
      <w:r w:rsidRPr="004D7A72">
        <w:rPr>
          <w:rFonts w:asciiTheme="majorBidi" w:hAnsiTheme="majorBidi" w:cstheme="majorBidi"/>
          <w:sz w:val="21"/>
        </w:rPr>
        <w:t xml:space="preserve"> rating agency set the credit rating of Debentures (Series K, L, M, P, Q, </w:t>
      </w:r>
      <w:r w:rsidR="00A663FB">
        <w:rPr>
          <w:rFonts w:asciiTheme="majorBidi" w:hAnsiTheme="majorBidi" w:cstheme="majorBidi"/>
          <w:sz w:val="21"/>
        </w:rPr>
        <w:t>S</w:t>
      </w:r>
      <w:r w:rsidRPr="004D7A72">
        <w:rPr>
          <w:rFonts w:asciiTheme="majorBidi" w:hAnsiTheme="majorBidi" w:cstheme="majorBidi"/>
          <w:sz w:val="21"/>
        </w:rPr>
        <w:t xml:space="preserve">) of the Company as </w:t>
      </w:r>
      <w:proofErr w:type="spellStart"/>
      <w:r w:rsidRPr="004D7A72">
        <w:rPr>
          <w:rFonts w:asciiTheme="majorBidi" w:hAnsiTheme="majorBidi" w:cstheme="majorBidi"/>
          <w:sz w:val="21"/>
        </w:rPr>
        <w:t>ilA</w:t>
      </w:r>
      <w:proofErr w:type="spellEnd"/>
      <w:r w:rsidRPr="004D7A72">
        <w:rPr>
          <w:rFonts w:asciiTheme="majorBidi" w:hAnsiTheme="majorBidi" w:cstheme="majorBidi"/>
          <w:sz w:val="21"/>
        </w:rPr>
        <w:t>-, and revised the outlook from negative to stable.</w:t>
      </w:r>
    </w:p>
    <w:p w14:paraId="2DD61FA8" w14:textId="77777777" w:rsidR="00213131" w:rsidRPr="004D7A72" w:rsidRDefault="00213131" w:rsidP="004D7A72">
      <w:pPr>
        <w:pStyle w:val="ListParagraph"/>
        <w:keepLines/>
        <w:numPr>
          <w:ilvl w:val="1"/>
          <w:numId w:val="55"/>
        </w:numPr>
        <w:tabs>
          <w:tab w:val="clear" w:pos="1701"/>
        </w:tabs>
        <w:spacing w:before="60" w:after="60" w:line="276" w:lineRule="auto"/>
        <w:ind w:left="709" w:hanging="425"/>
        <w:rPr>
          <w:rFonts w:asciiTheme="majorBidi" w:hAnsiTheme="majorBidi" w:cstheme="majorBidi"/>
          <w:sz w:val="21"/>
        </w:rPr>
      </w:pPr>
      <w:r w:rsidRPr="004D7A72">
        <w:rPr>
          <w:rFonts w:asciiTheme="majorBidi" w:hAnsiTheme="majorBidi" w:cstheme="majorBidi"/>
          <w:sz w:val="21"/>
        </w:rPr>
        <w:t xml:space="preserve">On June 30, 2024, the S&amp;P </w:t>
      </w:r>
      <w:proofErr w:type="spellStart"/>
      <w:r w:rsidRPr="004D7A72">
        <w:rPr>
          <w:rFonts w:asciiTheme="majorBidi" w:hAnsiTheme="majorBidi" w:cstheme="majorBidi"/>
          <w:sz w:val="21"/>
        </w:rPr>
        <w:t>Maalot</w:t>
      </w:r>
      <w:proofErr w:type="spellEnd"/>
      <w:r w:rsidRPr="004D7A72">
        <w:rPr>
          <w:rFonts w:asciiTheme="majorBidi" w:hAnsiTheme="majorBidi" w:cstheme="majorBidi"/>
          <w:sz w:val="21"/>
        </w:rPr>
        <w:t xml:space="preserve"> rating agency ratified the credit rating of the Company's Debentures (Series O, R) as </w:t>
      </w:r>
      <w:proofErr w:type="spellStart"/>
      <w:r w:rsidRPr="004D7A72">
        <w:rPr>
          <w:rFonts w:asciiTheme="majorBidi" w:hAnsiTheme="majorBidi" w:cstheme="majorBidi"/>
          <w:sz w:val="21"/>
        </w:rPr>
        <w:t>ilA</w:t>
      </w:r>
      <w:proofErr w:type="spellEnd"/>
      <w:r w:rsidRPr="004D7A72">
        <w:rPr>
          <w:rFonts w:asciiTheme="majorBidi" w:hAnsiTheme="majorBidi" w:cstheme="majorBidi"/>
          <w:sz w:val="21"/>
        </w:rPr>
        <w:t>, and revised the outlook from negative to stable.</w:t>
      </w:r>
    </w:p>
    <w:p w14:paraId="0A8942E8" w14:textId="77777777" w:rsidR="00213131" w:rsidRPr="004D7A72" w:rsidRDefault="00213131" w:rsidP="004D7A72">
      <w:pPr>
        <w:pStyle w:val="ListParagraph"/>
        <w:keepLines/>
        <w:numPr>
          <w:ilvl w:val="1"/>
          <w:numId w:val="55"/>
        </w:numPr>
        <w:tabs>
          <w:tab w:val="clear" w:pos="1701"/>
        </w:tabs>
        <w:spacing w:before="60" w:after="60" w:line="276" w:lineRule="auto"/>
        <w:ind w:left="709" w:hanging="425"/>
        <w:rPr>
          <w:rFonts w:asciiTheme="majorBidi" w:hAnsiTheme="majorBidi" w:cstheme="majorBidi"/>
          <w:sz w:val="21"/>
        </w:rPr>
      </w:pPr>
      <w:r w:rsidRPr="004D7A72">
        <w:rPr>
          <w:rFonts w:asciiTheme="majorBidi" w:hAnsiTheme="majorBidi" w:cstheme="majorBidi"/>
          <w:sz w:val="21"/>
        </w:rPr>
        <w:t xml:space="preserve">On June 30, 2024, the S&amp;P </w:t>
      </w:r>
      <w:proofErr w:type="spellStart"/>
      <w:r w:rsidRPr="004D7A72">
        <w:rPr>
          <w:rFonts w:asciiTheme="majorBidi" w:hAnsiTheme="majorBidi" w:cstheme="majorBidi"/>
          <w:sz w:val="21"/>
        </w:rPr>
        <w:t>Maalot</w:t>
      </w:r>
      <w:proofErr w:type="spellEnd"/>
      <w:r w:rsidRPr="004D7A72">
        <w:rPr>
          <w:rFonts w:asciiTheme="majorBidi" w:hAnsiTheme="majorBidi" w:cstheme="majorBidi"/>
          <w:sz w:val="21"/>
        </w:rPr>
        <w:t xml:space="preserve"> rating agency set the credit rating of the Company’s Debentures (Series T) as </w:t>
      </w:r>
      <w:proofErr w:type="spellStart"/>
      <w:r w:rsidRPr="004D7A72">
        <w:rPr>
          <w:rFonts w:asciiTheme="majorBidi" w:hAnsiTheme="majorBidi" w:cstheme="majorBidi"/>
          <w:sz w:val="21"/>
        </w:rPr>
        <w:t>ilA</w:t>
      </w:r>
      <w:proofErr w:type="spellEnd"/>
      <w:r w:rsidRPr="004D7A72">
        <w:rPr>
          <w:rFonts w:asciiTheme="majorBidi" w:hAnsiTheme="majorBidi" w:cstheme="majorBidi"/>
          <w:sz w:val="21"/>
        </w:rPr>
        <w:t>, with stable outlook.</w:t>
      </w:r>
    </w:p>
    <w:p w14:paraId="4ED86DB6" w14:textId="77777777" w:rsidR="00213131" w:rsidRPr="004D7A72" w:rsidRDefault="00213131" w:rsidP="00213131">
      <w:pPr>
        <w:pStyle w:val="ListParagraph"/>
        <w:keepLines/>
        <w:ind w:left="709"/>
        <w:rPr>
          <w:rFonts w:asciiTheme="majorBidi" w:hAnsiTheme="majorBidi" w:cstheme="majorBidi"/>
          <w:sz w:val="21"/>
        </w:rPr>
      </w:pPr>
    </w:p>
    <w:p w14:paraId="5FF5B821" w14:textId="77777777" w:rsidR="00213131" w:rsidRPr="004D7A72" w:rsidRDefault="00213131" w:rsidP="00213131">
      <w:pPr>
        <w:tabs>
          <w:tab w:val="left" w:pos="425"/>
          <w:tab w:val="left" w:pos="851"/>
          <w:tab w:val="left" w:pos="1133"/>
        </w:tabs>
        <w:contextualSpacing/>
        <w:outlineLvl w:val="3"/>
        <w:rPr>
          <w:rFonts w:asciiTheme="majorBidi" w:hAnsiTheme="majorBidi" w:cstheme="majorBidi"/>
          <w:b/>
          <w:bCs/>
          <w:sz w:val="21"/>
          <w:szCs w:val="21"/>
        </w:rPr>
      </w:pPr>
      <w:bookmarkStart w:id="158" w:name="RG_MARKER_56590"/>
      <w:bookmarkStart w:id="159" w:name="RG_MARKER_56667"/>
      <w:bookmarkStart w:id="160" w:name="H4_באור_40Note_מכשירים_פיננסיים"/>
      <w:bookmarkEnd w:id="156"/>
      <w:bookmarkEnd w:id="157"/>
      <w:bookmarkEnd w:id="158"/>
      <w:bookmarkEnd w:id="159"/>
      <w:r w:rsidRPr="004D7A72">
        <w:rPr>
          <w:rFonts w:asciiTheme="majorBidi" w:hAnsiTheme="majorBidi" w:cstheme="majorBidi"/>
          <w:b/>
          <w:sz w:val="21"/>
        </w:rPr>
        <w:t>Note 4 - Financial Instruments</w:t>
      </w:r>
    </w:p>
    <w:p w14:paraId="70A5C218" w14:textId="77777777" w:rsidR="00213131" w:rsidRPr="004D7A72" w:rsidRDefault="00213131" w:rsidP="004D7A72">
      <w:pPr>
        <w:keepNext/>
        <w:keepLines/>
        <w:numPr>
          <w:ilvl w:val="0"/>
          <w:numId w:val="61"/>
        </w:numPr>
        <w:tabs>
          <w:tab w:val="clear" w:pos="1134"/>
          <w:tab w:val="left" w:pos="425"/>
          <w:tab w:val="num" w:pos="851"/>
        </w:tabs>
        <w:ind w:left="426" w:hanging="426"/>
        <w:contextualSpacing/>
        <w:outlineLvl w:val="4"/>
        <w:rPr>
          <w:rFonts w:asciiTheme="majorBidi" w:hAnsiTheme="majorBidi" w:cstheme="majorBidi"/>
          <w:sz w:val="21"/>
          <w:szCs w:val="21"/>
          <w:u w:val="single"/>
        </w:rPr>
      </w:pPr>
      <w:bookmarkStart w:id="161" w:name="H5_שווי_הוגן_של_מכשירים_פיננסיים"/>
      <w:bookmarkEnd w:id="160"/>
      <w:r w:rsidRPr="004D7A72">
        <w:rPr>
          <w:rFonts w:asciiTheme="majorBidi" w:hAnsiTheme="majorBidi" w:cstheme="majorBidi"/>
          <w:sz w:val="21"/>
          <w:u w:val="single"/>
        </w:rPr>
        <w:t>Fair value of financial instruments</w:t>
      </w:r>
    </w:p>
    <w:bookmarkEnd w:id="161"/>
    <w:p w14:paraId="22141971" w14:textId="77777777" w:rsidR="00213131" w:rsidRPr="004D7A72" w:rsidRDefault="00213131" w:rsidP="00213131">
      <w:pPr>
        <w:keepLines/>
        <w:tabs>
          <w:tab w:val="left" w:pos="425"/>
        </w:tabs>
        <w:ind w:left="426"/>
        <w:contextualSpacing/>
        <w:rPr>
          <w:rFonts w:asciiTheme="majorBidi" w:hAnsiTheme="majorBidi" w:cstheme="majorBidi"/>
          <w:sz w:val="21"/>
          <w:szCs w:val="21"/>
        </w:rPr>
      </w:pPr>
      <w:r w:rsidRPr="004D7A72">
        <w:rPr>
          <w:rFonts w:asciiTheme="majorBidi" w:hAnsiTheme="majorBidi" w:cstheme="majorBidi"/>
          <w:sz w:val="21"/>
        </w:rPr>
        <w:t>The carrying amounts of certain financial assets and liabilities, including cash, trade and other receivables, short-term loans and borrowings, trade and other payables corresponds to or are close to their fair value.</w:t>
      </w:r>
    </w:p>
    <w:p w14:paraId="7820CE4D" w14:textId="77777777" w:rsidR="00213131" w:rsidRPr="004D7A72" w:rsidRDefault="00213131" w:rsidP="00213131">
      <w:pPr>
        <w:keepNext/>
        <w:keepLines/>
        <w:tabs>
          <w:tab w:val="left" w:pos="425"/>
        </w:tabs>
        <w:ind w:left="426"/>
        <w:contextualSpacing/>
        <w:rPr>
          <w:rFonts w:asciiTheme="majorBidi" w:hAnsiTheme="majorBidi" w:cstheme="majorBidi"/>
          <w:sz w:val="21"/>
          <w:szCs w:val="21"/>
        </w:rPr>
      </w:pPr>
      <w:r w:rsidRPr="004D7A72">
        <w:rPr>
          <w:rFonts w:asciiTheme="majorBidi" w:hAnsiTheme="majorBidi" w:cstheme="majorBidi"/>
          <w:sz w:val="21"/>
        </w:rPr>
        <w:t xml:space="preserve">The fair value and carrying amounts of the other financial liabilities (including current liabilities) presented in the statement of financial position according to their amortized cost are as follows: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tblGrid>
      <w:tr w:rsidR="00213131" w:rsidRPr="004D7A72" w14:paraId="5055FB97" w14:textId="77777777" w:rsidTr="00A65A6F">
        <w:trPr>
          <w:cantSplit/>
        </w:trPr>
        <w:tc>
          <w:tcPr>
            <w:tcW w:w="5000" w:type="pct"/>
          </w:tcPr>
          <w:tbl>
            <w:tblPr>
              <w:tblStyle w:val="CDMRange1"/>
              <w:tblW w:w="9990" w:type="dxa"/>
              <w:tblLook w:val="0600" w:firstRow="0" w:lastRow="0" w:firstColumn="0" w:lastColumn="0" w:noHBand="1" w:noVBand="1"/>
            </w:tblPr>
            <w:tblGrid>
              <w:gridCol w:w="3500"/>
              <w:gridCol w:w="953"/>
              <w:gridCol w:w="141"/>
              <w:gridCol w:w="953"/>
              <w:gridCol w:w="141"/>
              <w:gridCol w:w="953"/>
              <w:gridCol w:w="141"/>
              <w:gridCol w:w="953"/>
              <w:gridCol w:w="141"/>
              <w:gridCol w:w="953"/>
              <w:gridCol w:w="141"/>
              <w:gridCol w:w="953"/>
            </w:tblGrid>
            <w:tr w:rsidR="00213131" w:rsidRPr="004D7A72" w14:paraId="632BC2EA" w14:textId="77777777" w:rsidTr="00A65A6F">
              <w:trPr>
                <w:cantSplit/>
                <w:trHeight w:val="300"/>
              </w:trPr>
              <w:tc>
                <w:tcPr>
                  <w:tcW w:w="3795" w:type="dxa"/>
                  <w:tcBorders>
                    <w:top w:val="nil"/>
                    <w:left w:val="nil"/>
                    <w:bottom w:val="nil"/>
                    <w:right w:val="nil"/>
                    <w:tl2br w:val="nil"/>
                    <w:tr2bl w:val="nil"/>
                  </w:tcBorders>
                  <w:shd w:val="clear" w:color="auto" w:fill="auto"/>
                  <w:noWrap/>
                  <w:tcMar>
                    <w:left w:w="0" w:type="dxa"/>
                    <w:right w:w="0" w:type="dxa"/>
                  </w:tcMar>
                  <w:vAlign w:val="bottom"/>
                </w:tcPr>
                <w:p w14:paraId="1D976067"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2055"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535A0FC8"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At June 30, 2024</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411C469F"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2055"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74CE08DE"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At June 30, 2023</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1F3714F3"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2055"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1F2B8220"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At December 31, 2023</w:t>
                  </w:r>
                </w:p>
              </w:tc>
            </w:tr>
            <w:tr w:rsidR="00213131" w:rsidRPr="004D7A72" w14:paraId="059E44C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795" w:type="dxa"/>
                  <w:tcBorders>
                    <w:top w:val="nil"/>
                    <w:left w:val="nil"/>
                    <w:bottom w:val="nil"/>
                    <w:right w:val="nil"/>
                    <w:tl2br w:val="nil"/>
                    <w:tr2bl w:val="nil"/>
                  </w:tcBorders>
                  <w:shd w:val="clear" w:color="auto" w:fill="auto"/>
                  <w:noWrap/>
                  <w:tcMar>
                    <w:left w:w="0" w:type="dxa"/>
                    <w:right w:w="0" w:type="dxa"/>
                  </w:tcMar>
                  <w:vAlign w:val="bottom"/>
                </w:tcPr>
                <w:p w14:paraId="20E17B2D"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53F43F8"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Balance</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1F33AB"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30E1844"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Fair value</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3EC5A6D2"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F9D9005"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Balance</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AADF78"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84BB54B"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Fair value</w:t>
                  </w:r>
                </w:p>
              </w:tc>
              <w:tc>
                <w:tcPr>
                  <w:tcW w:w="15" w:type="dxa"/>
                  <w:tcBorders>
                    <w:top w:val="nil"/>
                    <w:left w:val="nil"/>
                    <w:bottom w:val="nil"/>
                    <w:right w:val="nil"/>
                    <w:tl2br w:val="nil"/>
                    <w:tr2bl w:val="nil"/>
                  </w:tcBorders>
                  <w:shd w:val="clear" w:color="auto" w:fill="auto"/>
                  <w:noWrap/>
                  <w:tcMar>
                    <w:left w:w="0" w:type="dxa"/>
                    <w:right w:w="0" w:type="dxa"/>
                  </w:tcMar>
                  <w:vAlign w:val="bottom"/>
                </w:tcPr>
                <w:p w14:paraId="7B76C8A6"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6FC704F"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Balance</w:t>
                  </w:r>
                </w:p>
              </w:tc>
              <w:tc>
                <w:tcPr>
                  <w:tcW w:w="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6D3EAB"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30A1A43"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Fair value</w:t>
                  </w:r>
                </w:p>
              </w:tc>
            </w:tr>
            <w:tr w:rsidR="00213131" w:rsidRPr="004D7A72" w14:paraId="585A2B7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795" w:type="dxa"/>
                  <w:tcBorders>
                    <w:top w:val="nil"/>
                    <w:left w:val="nil"/>
                    <w:bottom w:val="nil"/>
                    <w:right w:val="nil"/>
                    <w:tl2br w:val="nil"/>
                    <w:tr2bl w:val="nil"/>
                  </w:tcBorders>
                  <w:shd w:val="clear" w:color="auto" w:fill="auto"/>
                  <w:noWrap/>
                  <w:tcMar>
                    <w:left w:w="0" w:type="dxa"/>
                    <w:right w:w="0" w:type="dxa"/>
                  </w:tcMar>
                  <w:vAlign w:val="bottom"/>
                </w:tcPr>
                <w:p w14:paraId="23C21263"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6195" w:type="dxa"/>
                  <w:gridSpan w:val="11"/>
                  <w:tcBorders>
                    <w:top w:val="nil"/>
                    <w:left w:val="nil"/>
                    <w:bottom w:val="single" w:sz="4" w:space="0" w:color="000000"/>
                    <w:right w:val="nil"/>
                    <w:tl2br w:val="nil"/>
                    <w:tr2bl w:val="nil"/>
                  </w:tcBorders>
                  <w:shd w:val="clear" w:color="auto" w:fill="auto"/>
                  <w:noWrap/>
                  <w:tcMar>
                    <w:left w:w="40" w:type="dxa"/>
                    <w:right w:w="40" w:type="dxa"/>
                  </w:tcMar>
                  <w:vAlign w:val="bottom"/>
                </w:tcPr>
                <w:p w14:paraId="6748365B"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NIS million</w:t>
                  </w:r>
                </w:p>
              </w:tc>
            </w:tr>
            <w:tr w:rsidR="00213131" w:rsidRPr="004D7A72" w14:paraId="68FD0E3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795" w:type="dxa"/>
                  <w:tcBorders>
                    <w:top w:val="nil"/>
                    <w:left w:val="nil"/>
                    <w:bottom w:val="nil"/>
                    <w:right w:val="nil"/>
                    <w:tl2br w:val="nil"/>
                    <w:tr2bl w:val="nil"/>
                  </w:tcBorders>
                  <w:shd w:val="clear" w:color="auto" w:fill="auto"/>
                  <w:noWrap/>
                  <w:tcMar>
                    <w:left w:w="40" w:type="dxa"/>
                    <w:right w:w="40" w:type="dxa"/>
                  </w:tcMar>
                  <w:vAlign w:val="bottom"/>
                </w:tcPr>
                <w:p w14:paraId="1641FEA6"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Debentures (Level 1)</w:t>
                  </w:r>
                </w:p>
              </w:tc>
              <w:tc>
                <w:tcPr>
                  <w:tcW w:w="102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7CD2E34B"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15,762</w:t>
                  </w:r>
                </w:p>
              </w:tc>
              <w:tc>
                <w:tcPr>
                  <w:tcW w:w="15" w:type="dxa"/>
                  <w:tcBorders>
                    <w:top w:val="single" w:sz="4" w:space="0" w:color="000000"/>
                    <w:left w:val="nil"/>
                    <w:bottom w:val="nil"/>
                    <w:right w:val="nil"/>
                    <w:tl2br w:val="nil"/>
                    <w:tr2bl w:val="nil"/>
                  </w:tcBorders>
                  <w:shd w:val="clear" w:color="auto" w:fill="auto"/>
                  <w:tcMar>
                    <w:left w:w="0" w:type="dxa"/>
                    <w:right w:w="135" w:type="dxa"/>
                  </w:tcMar>
                  <w:vAlign w:val="bottom"/>
                </w:tcPr>
                <w:p w14:paraId="4166AEE7"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1B50BB19"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15,070</w:t>
                  </w:r>
                </w:p>
              </w:tc>
              <w:tc>
                <w:tcPr>
                  <w:tcW w:w="15" w:type="dxa"/>
                  <w:tcBorders>
                    <w:top w:val="single" w:sz="4" w:space="0" w:color="000000"/>
                    <w:left w:val="nil"/>
                    <w:bottom w:val="nil"/>
                    <w:right w:val="nil"/>
                    <w:tl2br w:val="nil"/>
                    <w:tr2bl w:val="nil"/>
                  </w:tcBorders>
                  <w:shd w:val="clear" w:color="auto" w:fill="auto"/>
                  <w:tcMar>
                    <w:left w:w="0" w:type="dxa"/>
                    <w:right w:w="135" w:type="dxa"/>
                  </w:tcMar>
                  <w:vAlign w:val="bottom"/>
                </w:tcPr>
                <w:p w14:paraId="03266622"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7328D4BB"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16,303</w:t>
                  </w:r>
                </w:p>
              </w:tc>
              <w:tc>
                <w:tcPr>
                  <w:tcW w:w="1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075F47D"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48310ED7"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13,793</w:t>
                  </w:r>
                </w:p>
              </w:tc>
              <w:tc>
                <w:tcPr>
                  <w:tcW w:w="15" w:type="dxa"/>
                  <w:tcBorders>
                    <w:top w:val="single" w:sz="4" w:space="0" w:color="000000"/>
                    <w:left w:val="nil"/>
                    <w:bottom w:val="nil"/>
                    <w:right w:val="nil"/>
                    <w:tl2br w:val="nil"/>
                    <w:tr2bl w:val="nil"/>
                  </w:tcBorders>
                  <w:shd w:val="clear" w:color="auto" w:fill="auto"/>
                  <w:tcMar>
                    <w:left w:w="0" w:type="dxa"/>
                    <w:right w:w="135" w:type="dxa"/>
                  </w:tcMar>
                  <w:vAlign w:val="bottom"/>
                </w:tcPr>
                <w:p w14:paraId="1D132720"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02D0AD7A"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15,585</w:t>
                  </w:r>
                </w:p>
              </w:tc>
              <w:tc>
                <w:tcPr>
                  <w:tcW w:w="1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A9BD34D"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6705EA5E"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14,358</w:t>
                  </w:r>
                </w:p>
              </w:tc>
            </w:tr>
            <w:tr w:rsidR="00213131" w:rsidRPr="004D7A72" w14:paraId="5D0D393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795" w:type="dxa"/>
                  <w:tcBorders>
                    <w:top w:val="nil"/>
                    <w:left w:val="nil"/>
                    <w:bottom w:val="nil"/>
                    <w:right w:val="nil"/>
                    <w:tl2br w:val="nil"/>
                    <w:tr2bl w:val="nil"/>
                  </w:tcBorders>
                  <w:shd w:val="clear" w:color="auto" w:fill="auto"/>
                  <w:tcMar>
                    <w:left w:w="40" w:type="dxa"/>
                    <w:right w:w="40" w:type="dxa"/>
                  </w:tcMar>
                  <w:vAlign w:val="bottom"/>
                </w:tcPr>
                <w:p w14:paraId="4F17F7D3"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Interest bearing liabilities to banks and others (Level 2)</w:t>
                  </w: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58B464C"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7,634</w:t>
                  </w:r>
                </w:p>
              </w:tc>
              <w:tc>
                <w:tcPr>
                  <w:tcW w:w="15" w:type="dxa"/>
                  <w:tcBorders>
                    <w:top w:val="nil"/>
                    <w:left w:val="nil"/>
                    <w:bottom w:val="nil"/>
                    <w:right w:val="nil"/>
                    <w:tl2br w:val="nil"/>
                    <w:tr2bl w:val="nil"/>
                  </w:tcBorders>
                  <w:shd w:val="clear" w:color="auto" w:fill="auto"/>
                  <w:tcMar>
                    <w:left w:w="0" w:type="dxa"/>
                    <w:right w:w="135" w:type="dxa"/>
                  </w:tcMar>
                  <w:vAlign w:val="bottom"/>
                </w:tcPr>
                <w:p w14:paraId="2B14B9FC"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52FD35C"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7,290</w:t>
                  </w:r>
                </w:p>
              </w:tc>
              <w:tc>
                <w:tcPr>
                  <w:tcW w:w="15" w:type="dxa"/>
                  <w:tcBorders>
                    <w:top w:val="nil"/>
                    <w:left w:val="nil"/>
                    <w:bottom w:val="nil"/>
                    <w:right w:val="nil"/>
                    <w:tl2br w:val="nil"/>
                    <w:tr2bl w:val="nil"/>
                  </w:tcBorders>
                  <w:shd w:val="clear" w:color="auto" w:fill="auto"/>
                  <w:tcMar>
                    <w:left w:w="0" w:type="dxa"/>
                    <w:right w:w="135" w:type="dxa"/>
                  </w:tcMar>
                  <w:vAlign w:val="bottom"/>
                </w:tcPr>
                <w:p w14:paraId="26CC4FF5"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7243430"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7,654</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2F2C22C"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60FD653"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6,127</w:t>
                  </w:r>
                </w:p>
              </w:tc>
              <w:tc>
                <w:tcPr>
                  <w:tcW w:w="15" w:type="dxa"/>
                  <w:tcBorders>
                    <w:top w:val="nil"/>
                    <w:left w:val="nil"/>
                    <w:bottom w:val="nil"/>
                    <w:right w:val="nil"/>
                    <w:tl2br w:val="nil"/>
                    <w:tr2bl w:val="nil"/>
                  </w:tcBorders>
                  <w:shd w:val="clear" w:color="auto" w:fill="auto"/>
                  <w:tcMar>
                    <w:left w:w="0" w:type="dxa"/>
                    <w:right w:w="135" w:type="dxa"/>
                  </w:tcMar>
                  <w:vAlign w:val="bottom"/>
                </w:tcPr>
                <w:p w14:paraId="289DD471"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9EBC5EC"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7,177</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7514C486"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8C4480F"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6,919</w:t>
                  </w:r>
                </w:p>
              </w:tc>
            </w:tr>
            <w:tr w:rsidR="00213131" w:rsidRPr="004D7A72" w14:paraId="4EA809F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795" w:type="dxa"/>
                  <w:tcBorders>
                    <w:top w:val="nil"/>
                    <w:left w:val="nil"/>
                    <w:bottom w:val="nil"/>
                    <w:right w:val="nil"/>
                    <w:tl2br w:val="nil"/>
                    <w:tr2bl w:val="nil"/>
                  </w:tcBorders>
                  <w:shd w:val="clear" w:color="auto" w:fill="auto"/>
                  <w:tcMar>
                    <w:left w:w="0" w:type="dxa"/>
                    <w:right w:w="0" w:type="dxa"/>
                  </w:tcMar>
                  <w:vAlign w:val="bottom"/>
                </w:tcPr>
                <w:p w14:paraId="5F581385"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50F1C5C8"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23,396</w:t>
                  </w:r>
                </w:p>
              </w:tc>
              <w:tc>
                <w:tcPr>
                  <w:tcW w:w="15" w:type="dxa"/>
                  <w:tcBorders>
                    <w:top w:val="nil"/>
                    <w:left w:val="nil"/>
                    <w:bottom w:val="nil"/>
                    <w:right w:val="nil"/>
                    <w:tl2br w:val="nil"/>
                    <w:tr2bl w:val="nil"/>
                  </w:tcBorders>
                  <w:shd w:val="clear" w:color="auto" w:fill="auto"/>
                  <w:tcMar>
                    <w:left w:w="0" w:type="dxa"/>
                    <w:right w:w="135" w:type="dxa"/>
                  </w:tcMar>
                  <w:vAlign w:val="bottom"/>
                </w:tcPr>
                <w:p w14:paraId="663D7C25"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5FD08642"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22,360</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5DBB849E"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7DDB77CA"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23,957</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678F6AC7"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040051CD"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19,920</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1B4EE278"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C52C386"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22,762</w:t>
                  </w:r>
                </w:p>
              </w:tc>
              <w:tc>
                <w:tcPr>
                  <w:tcW w:w="15" w:type="dxa"/>
                  <w:tcBorders>
                    <w:top w:val="nil"/>
                    <w:left w:val="nil"/>
                    <w:bottom w:val="nil"/>
                    <w:right w:val="nil"/>
                    <w:tl2br w:val="nil"/>
                    <w:tr2bl w:val="nil"/>
                  </w:tcBorders>
                  <w:shd w:val="clear" w:color="auto" w:fill="auto"/>
                  <w:noWrap/>
                  <w:tcMar>
                    <w:left w:w="0" w:type="dxa"/>
                    <w:right w:w="135" w:type="dxa"/>
                  </w:tcMar>
                  <w:vAlign w:val="bottom"/>
                </w:tcPr>
                <w:p w14:paraId="4E23D2C8"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4F5A1A19"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21,277</w:t>
                  </w:r>
                </w:p>
              </w:tc>
            </w:tr>
          </w:tbl>
          <w:p w14:paraId="1F927317" w14:textId="77777777" w:rsidR="00213131" w:rsidRPr="004D7A72" w:rsidRDefault="00213131" w:rsidP="00A65A6F">
            <w:pPr>
              <w:rPr>
                <w:rFonts w:asciiTheme="majorBidi" w:hAnsiTheme="majorBidi" w:cstheme="majorBidi"/>
              </w:rPr>
            </w:pPr>
          </w:p>
        </w:tc>
      </w:tr>
    </w:tbl>
    <w:p w14:paraId="0DA1BF94" w14:textId="77777777" w:rsidR="00213131" w:rsidRPr="004D7A72" w:rsidRDefault="00213131" w:rsidP="00213131">
      <w:pPr>
        <w:tabs>
          <w:tab w:val="left" w:pos="425"/>
        </w:tabs>
        <w:contextualSpacing/>
        <w:rPr>
          <w:rFonts w:asciiTheme="majorBidi" w:hAnsiTheme="majorBidi" w:cstheme="majorBidi"/>
          <w:sz w:val="21"/>
          <w:szCs w:val="21"/>
        </w:rPr>
      </w:pPr>
    </w:p>
    <w:p w14:paraId="113F3D93" w14:textId="77777777" w:rsidR="00213131" w:rsidRPr="004D7A72" w:rsidRDefault="00213131" w:rsidP="004D7A72">
      <w:pPr>
        <w:keepNext/>
        <w:keepLines/>
        <w:numPr>
          <w:ilvl w:val="0"/>
          <w:numId w:val="61"/>
        </w:numPr>
        <w:tabs>
          <w:tab w:val="clear" w:pos="1134"/>
          <w:tab w:val="left" w:pos="425"/>
          <w:tab w:val="num" w:pos="851"/>
        </w:tabs>
        <w:ind w:left="426" w:hanging="426"/>
        <w:contextualSpacing/>
        <w:outlineLvl w:val="4"/>
        <w:rPr>
          <w:rFonts w:asciiTheme="majorBidi" w:hAnsiTheme="majorBidi" w:cstheme="majorBidi"/>
          <w:sz w:val="21"/>
          <w:u w:val="single"/>
        </w:rPr>
      </w:pPr>
      <w:bookmarkStart w:id="162" w:name="H5_סיווג_המכשירים_הפיננסיים_לפי_מדרג_שוו"/>
      <w:r w:rsidRPr="004D7A72">
        <w:rPr>
          <w:rFonts w:asciiTheme="majorBidi" w:hAnsiTheme="majorBidi" w:cstheme="majorBidi"/>
          <w:sz w:val="21"/>
          <w:u w:val="single"/>
        </w:rPr>
        <w:t>Classification of financial instruments according to fair value level</w:t>
      </w:r>
    </w:p>
    <w:bookmarkEnd w:id="162"/>
    <w:p w14:paraId="4229FBB5" w14:textId="77777777" w:rsidR="00213131" w:rsidRPr="004D7A72" w:rsidRDefault="00213131" w:rsidP="00213131">
      <w:pPr>
        <w:keepLines/>
        <w:tabs>
          <w:tab w:val="left" w:pos="425"/>
        </w:tabs>
        <w:ind w:left="426"/>
        <w:contextualSpacing/>
        <w:rPr>
          <w:rFonts w:asciiTheme="majorBidi" w:hAnsiTheme="majorBidi" w:cstheme="majorBidi"/>
          <w:sz w:val="21"/>
          <w:szCs w:val="21"/>
        </w:rPr>
      </w:pPr>
      <w:r w:rsidRPr="004D7A72">
        <w:rPr>
          <w:rFonts w:asciiTheme="majorBidi" w:hAnsiTheme="majorBidi" w:cstheme="majorBidi"/>
          <w:sz w:val="21"/>
        </w:rPr>
        <w:t xml:space="preserve">In the reporting period there were no material changes regarding the classification of financial assets and liabilities that are measured in the financial statements at fair value, compared to their classification as at December 31, 2023. Furthermore, there were no transfers between Level 1 and Level 2 with respect to fair value measurement of any financial instruments, and there were no transfers to or from Level 3 with respect to fair value measurement of any financial instruments. </w:t>
      </w:r>
    </w:p>
    <w:p w14:paraId="5FAA1748" w14:textId="77777777" w:rsidR="00213131" w:rsidRPr="004D7A72" w:rsidRDefault="00213131" w:rsidP="00213131">
      <w:pPr>
        <w:tabs>
          <w:tab w:val="left" w:pos="425"/>
        </w:tabs>
        <w:contextualSpacing/>
        <w:rPr>
          <w:rFonts w:asciiTheme="majorBidi" w:hAnsiTheme="majorBidi" w:cstheme="majorBidi"/>
          <w:sz w:val="21"/>
          <w:szCs w:val="21"/>
          <w:rtl/>
        </w:rPr>
      </w:pPr>
    </w:p>
    <w:p w14:paraId="1B4C1EC4" w14:textId="77777777" w:rsidR="00213131" w:rsidRPr="004D7A72" w:rsidRDefault="00213131" w:rsidP="00213131">
      <w:pPr>
        <w:tabs>
          <w:tab w:val="left" w:pos="425"/>
        </w:tabs>
        <w:contextualSpacing/>
        <w:rPr>
          <w:rFonts w:asciiTheme="majorBidi" w:hAnsiTheme="majorBidi" w:cstheme="majorBidi"/>
          <w:sz w:val="21"/>
          <w:szCs w:val="21"/>
          <w:rtl/>
        </w:rPr>
      </w:pPr>
    </w:p>
    <w:p w14:paraId="52451779" w14:textId="77777777" w:rsidR="00213131" w:rsidRPr="004D7A72" w:rsidRDefault="00213131" w:rsidP="00213131">
      <w:pPr>
        <w:tabs>
          <w:tab w:val="left" w:pos="425"/>
        </w:tabs>
        <w:contextualSpacing/>
        <w:rPr>
          <w:rFonts w:asciiTheme="majorBidi" w:hAnsiTheme="majorBidi" w:cstheme="majorBidi"/>
          <w:sz w:val="21"/>
          <w:szCs w:val="21"/>
          <w:rtl/>
        </w:rPr>
      </w:pPr>
    </w:p>
    <w:p w14:paraId="3FA267BB" w14:textId="77777777" w:rsidR="00213131" w:rsidRPr="004D7A72" w:rsidRDefault="00213131" w:rsidP="00213131">
      <w:pPr>
        <w:tabs>
          <w:tab w:val="left" w:pos="425"/>
        </w:tabs>
        <w:contextualSpacing/>
        <w:rPr>
          <w:rFonts w:asciiTheme="majorBidi" w:hAnsiTheme="majorBidi" w:cstheme="majorBidi"/>
          <w:sz w:val="21"/>
          <w:szCs w:val="21"/>
          <w:rtl/>
        </w:rPr>
      </w:pPr>
    </w:p>
    <w:p w14:paraId="5472448D" w14:textId="77777777" w:rsidR="00213131" w:rsidRPr="004D7A72" w:rsidRDefault="00213131" w:rsidP="00213131">
      <w:pPr>
        <w:tabs>
          <w:tab w:val="left" w:pos="425"/>
        </w:tabs>
        <w:contextualSpacing/>
        <w:rPr>
          <w:rFonts w:asciiTheme="majorBidi" w:hAnsiTheme="majorBidi" w:cstheme="majorBidi"/>
          <w:sz w:val="21"/>
          <w:szCs w:val="21"/>
          <w:rtl/>
        </w:rPr>
      </w:pPr>
    </w:p>
    <w:p w14:paraId="3EBCCA56" w14:textId="77777777" w:rsidR="00213131" w:rsidRPr="004D7A72" w:rsidRDefault="00213131" w:rsidP="00213131">
      <w:pPr>
        <w:tabs>
          <w:tab w:val="left" w:pos="425"/>
        </w:tabs>
        <w:contextualSpacing/>
        <w:rPr>
          <w:rFonts w:asciiTheme="majorBidi" w:hAnsiTheme="majorBidi" w:cstheme="majorBidi"/>
          <w:sz w:val="21"/>
          <w:szCs w:val="21"/>
          <w:rtl/>
        </w:rPr>
      </w:pPr>
    </w:p>
    <w:p w14:paraId="6BAB1B68" w14:textId="77777777" w:rsidR="00213131" w:rsidRPr="004D7A72" w:rsidRDefault="00213131" w:rsidP="00213131">
      <w:pPr>
        <w:keepNext/>
        <w:keepLines/>
        <w:tabs>
          <w:tab w:val="right" w:pos="1557"/>
          <w:tab w:val="left" w:pos="1699"/>
        </w:tabs>
        <w:contextualSpacing/>
        <w:outlineLvl w:val="3"/>
        <w:rPr>
          <w:rFonts w:asciiTheme="majorBidi" w:hAnsiTheme="majorBidi" w:cstheme="majorBidi"/>
          <w:b/>
          <w:bCs/>
          <w:sz w:val="21"/>
          <w:szCs w:val="21"/>
        </w:rPr>
      </w:pPr>
      <w:bookmarkStart w:id="163" w:name="RG_MARKER_56591"/>
      <w:bookmarkStart w:id="164" w:name="RG_MARKER_56669"/>
      <w:bookmarkStart w:id="165" w:name="H4_באור_50Note____אירועים_לאחר_תאריך_הדי"/>
      <w:bookmarkEnd w:id="163"/>
      <w:bookmarkEnd w:id="164"/>
      <w:r w:rsidRPr="004D7A72">
        <w:rPr>
          <w:rFonts w:asciiTheme="majorBidi" w:hAnsiTheme="majorBidi" w:cstheme="majorBidi"/>
          <w:b/>
          <w:sz w:val="21"/>
        </w:rPr>
        <w:lastRenderedPageBreak/>
        <w:t>Note 5 – Subsequent Events</w:t>
      </w:r>
    </w:p>
    <w:bookmarkEnd w:id="165"/>
    <w:p w14:paraId="1E4760A4" w14:textId="77777777" w:rsidR="00213131" w:rsidRPr="004D7A72" w:rsidRDefault="00213131" w:rsidP="004D7A72">
      <w:pPr>
        <w:pStyle w:val="ListParagraph"/>
        <w:keepLines/>
        <w:numPr>
          <w:ilvl w:val="0"/>
          <w:numId w:val="62"/>
        </w:numPr>
        <w:spacing w:before="60" w:after="60" w:line="276" w:lineRule="auto"/>
        <w:rPr>
          <w:rFonts w:asciiTheme="majorBidi" w:eastAsia="Calibri" w:hAnsiTheme="majorBidi" w:cstheme="majorBidi"/>
          <w:sz w:val="21"/>
          <w:szCs w:val="21"/>
          <w:bdr w:val="none" w:sz="0" w:space="0" w:color="auto" w:frame="1"/>
        </w:rPr>
      </w:pPr>
      <w:r w:rsidRPr="004D7A72">
        <w:rPr>
          <w:rFonts w:asciiTheme="majorBidi" w:hAnsiTheme="majorBidi" w:cstheme="majorBidi"/>
          <w:sz w:val="21"/>
          <w:bdr w:val="none" w:sz="0" w:space="0" w:color="auto" w:frame="1"/>
        </w:rPr>
        <w:t xml:space="preserve">Subsequent to the reporting date, the Group bought back NIS 59.4 million par value Debentures (Series L, M, N and P), for NIS 63.3 million. </w:t>
      </w:r>
      <w:r w:rsidRPr="004D7A72">
        <w:rPr>
          <w:rFonts w:asciiTheme="majorBidi" w:hAnsiTheme="majorBidi" w:cstheme="majorBidi"/>
          <w:sz w:val="21"/>
        </w:rPr>
        <w:t xml:space="preserve">Following the buyback, the Group recognized an early redemption gain in the amount of NIS 4.4 million. </w:t>
      </w:r>
    </w:p>
    <w:p w14:paraId="335330CC" w14:textId="77777777" w:rsidR="00213131" w:rsidRPr="004D7A72" w:rsidRDefault="00213131" w:rsidP="004D7A72">
      <w:pPr>
        <w:pStyle w:val="ListParagraph"/>
        <w:keepLines/>
        <w:numPr>
          <w:ilvl w:val="0"/>
          <w:numId w:val="62"/>
        </w:numPr>
        <w:spacing w:before="60" w:after="60" w:line="276" w:lineRule="auto"/>
        <w:rPr>
          <w:rFonts w:asciiTheme="majorBidi" w:eastAsia="Calibri" w:hAnsiTheme="majorBidi" w:cstheme="majorBidi"/>
          <w:sz w:val="21"/>
          <w:szCs w:val="21"/>
          <w:bdr w:val="none" w:sz="0" w:space="0" w:color="auto" w:frame="1"/>
        </w:rPr>
      </w:pPr>
      <w:r w:rsidRPr="004D7A72">
        <w:rPr>
          <w:rFonts w:asciiTheme="majorBidi" w:hAnsiTheme="majorBidi" w:cstheme="majorBidi"/>
          <w:sz w:val="21"/>
        </w:rPr>
        <w:t>Subsequent to reporting date, the Company bought back 2.8 million shares of the Company for NIS 31 million. These shares are treasury shares.</w:t>
      </w:r>
    </w:p>
    <w:p w14:paraId="1983C4F3" w14:textId="4097D310" w:rsidR="00213131" w:rsidRPr="004D7A72" w:rsidRDefault="00213131" w:rsidP="004D7A72">
      <w:pPr>
        <w:pStyle w:val="ListParagraph"/>
        <w:keepLines/>
        <w:numPr>
          <w:ilvl w:val="0"/>
          <w:numId w:val="62"/>
        </w:numPr>
        <w:spacing w:before="60" w:after="60" w:line="276" w:lineRule="auto"/>
        <w:rPr>
          <w:rFonts w:asciiTheme="majorBidi" w:eastAsia="Calibri" w:hAnsiTheme="majorBidi" w:cstheme="majorBidi"/>
          <w:sz w:val="21"/>
          <w:szCs w:val="21"/>
          <w:bdr w:val="none" w:sz="0" w:space="0" w:color="auto" w:frame="1"/>
        </w:rPr>
      </w:pPr>
      <w:r w:rsidRPr="004D7A72">
        <w:rPr>
          <w:rFonts w:asciiTheme="majorBidi" w:hAnsiTheme="majorBidi" w:cstheme="majorBidi"/>
          <w:sz w:val="21"/>
          <w:bdr w:val="none" w:sz="0" w:space="0" w:color="auto" w:frame="1"/>
        </w:rPr>
        <w:t>On August 14, 2024, the Company announced a dividend in the amount of NIS 0.</w:t>
      </w:r>
      <w:r w:rsidR="00C40966">
        <w:rPr>
          <w:rFonts w:asciiTheme="majorBidi" w:hAnsiTheme="majorBidi" w:cstheme="majorBidi"/>
          <w:sz w:val="21"/>
          <w:bdr w:val="none" w:sz="0" w:space="0" w:color="auto" w:frame="1"/>
        </w:rPr>
        <w:t xml:space="preserve">10 </w:t>
      </w:r>
      <w:r w:rsidRPr="004D7A72">
        <w:rPr>
          <w:rFonts w:asciiTheme="majorBidi" w:hAnsiTheme="majorBidi" w:cstheme="majorBidi"/>
          <w:sz w:val="21"/>
          <w:bdr w:val="none" w:sz="0" w:space="0" w:color="auto" w:frame="1"/>
        </w:rPr>
        <w:t xml:space="preserve">per share (a total of NIS </w:t>
      </w:r>
      <w:r w:rsidR="00C40966">
        <w:rPr>
          <w:rFonts w:asciiTheme="majorBidi" w:hAnsiTheme="majorBidi" w:cstheme="majorBidi"/>
          <w:sz w:val="21"/>
          <w:bdr w:val="none" w:sz="0" w:space="0" w:color="auto" w:frame="1"/>
        </w:rPr>
        <w:t>18.2</w:t>
      </w:r>
      <w:r w:rsidRPr="004D7A72">
        <w:rPr>
          <w:rFonts w:asciiTheme="majorBidi" w:hAnsiTheme="majorBidi" w:cstheme="majorBidi"/>
          <w:sz w:val="21"/>
          <w:bdr w:val="none" w:sz="0" w:space="0" w:color="auto" w:frame="1"/>
        </w:rPr>
        <w:t xml:space="preserve"> million), payable on </w:t>
      </w:r>
      <w:r w:rsidR="00C40966">
        <w:rPr>
          <w:rFonts w:asciiTheme="majorBidi" w:hAnsiTheme="majorBidi" w:cstheme="majorBidi"/>
          <w:sz w:val="21"/>
          <w:bdr w:val="none" w:sz="0" w:space="0" w:color="auto" w:frame="1"/>
        </w:rPr>
        <w:t>September 9, 2024</w:t>
      </w:r>
      <w:r w:rsidRPr="004D7A72">
        <w:rPr>
          <w:rFonts w:asciiTheme="majorBidi" w:hAnsiTheme="majorBidi" w:cstheme="majorBidi"/>
          <w:sz w:val="21"/>
          <w:bdr w:val="none" w:sz="0" w:space="0" w:color="auto" w:frame="1"/>
        </w:rPr>
        <w:t xml:space="preserve"> to the shareholders of the Company on </w:t>
      </w:r>
      <w:r w:rsidR="00C40966">
        <w:rPr>
          <w:rFonts w:asciiTheme="majorBidi" w:hAnsiTheme="majorBidi" w:cstheme="majorBidi"/>
          <w:sz w:val="21"/>
          <w:bdr w:val="none" w:sz="0" w:space="0" w:color="auto" w:frame="1"/>
        </w:rPr>
        <w:t>August 29, 2024.</w:t>
      </w:r>
    </w:p>
    <w:p w14:paraId="6F2752A6" w14:textId="77777777" w:rsidR="00213131" w:rsidRPr="004D7A72" w:rsidRDefault="00213131" w:rsidP="004D7A72">
      <w:pPr>
        <w:pStyle w:val="ListParagraph"/>
        <w:keepLines/>
        <w:numPr>
          <w:ilvl w:val="0"/>
          <w:numId w:val="62"/>
        </w:numPr>
        <w:spacing w:before="60" w:after="60" w:line="276" w:lineRule="auto"/>
        <w:rPr>
          <w:rFonts w:asciiTheme="majorBidi" w:eastAsia="Calibri" w:hAnsiTheme="majorBidi" w:cstheme="majorBidi"/>
          <w:sz w:val="21"/>
          <w:szCs w:val="21"/>
          <w:bdr w:val="none" w:sz="0" w:space="0" w:color="auto" w:frame="1"/>
        </w:rPr>
      </w:pPr>
      <w:r w:rsidRPr="004D7A72">
        <w:rPr>
          <w:rFonts w:asciiTheme="majorBidi" w:hAnsiTheme="majorBidi" w:cstheme="majorBidi"/>
          <w:sz w:val="21"/>
          <w:bdr w:val="none" w:sz="0" w:space="0" w:color="auto" w:frame="1"/>
        </w:rPr>
        <w:t xml:space="preserve">In July 2024, the Company issued to the public NIS 645 million par value Debentures (Series T) secured, among other things, by a mortgage on an income producing property of a wholly-owned (indirectly) subsidiary of the Company (the “Property Company”) in Warsaw, Poland, and a lien on the share capital of the company that holds the mortgaged property (the “Parent Company”), and a lien on the proceeds from a shareholders loan that is pledged to the property company for net consideration of NIS 637 million at coupon interest of 4.24%, linked to the CP"I, and are subject to the mechanism described in section 5 overleaf of the deed of trust signed between the Company and the trustee for the debentures (the “Deed of Trust”).  Furthermore, the principal will be repaid in 10 semi-annual installments, as follows: 9 installments in amounts equivalent to 2% each of the principal, to be paid on March 31 and September 30 of each year from 2026 through 2030 (commencing March 31, 2026 through March 31, 2030), and the final installment of 82% of the principal will be paid on September 30, 2030. </w:t>
      </w:r>
    </w:p>
    <w:p w14:paraId="529AA93B" w14:textId="77777777" w:rsidR="00213131" w:rsidRPr="004D7A72" w:rsidRDefault="00213131" w:rsidP="00213131">
      <w:pPr>
        <w:ind w:left="426"/>
        <w:rPr>
          <w:rFonts w:asciiTheme="majorBidi" w:hAnsiTheme="majorBidi" w:cstheme="majorBidi"/>
          <w:sz w:val="21"/>
          <w:szCs w:val="21"/>
        </w:rPr>
      </w:pPr>
      <w:r w:rsidRPr="004D7A72">
        <w:rPr>
          <w:rFonts w:asciiTheme="majorBidi" w:hAnsiTheme="majorBidi" w:cstheme="majorBidi"/>
          <w:sz w:val="21"/>
        </w:rPr>
        <w:t>The scope of the series issued was set at weighted leverage ratio of 0.70 (“LTV”), calculated according to the value of the pledged income producing property, as set out in the deed of trust of the debentures. The company is required to comply with an LTV of 0.65 in the event of an expansion of a series or sale of a pledged property, and on other specific test dates set in the deed, including the date of removal/addition of pledged properties, upon exchange of pledged properties, upon occurrence of a “disturbing event” (as defined in the deed of trust) with regard to the pledged company, on the date of introduction of a partner to a property and any other date set in the deed of trust that the company is required to comply with the LTV, other than the company's compliance with LTV ratio of 0.70 in the event of acquisition of the partner’s interests (as defined in the deed of trust) in the pledged property.</w:t>
      </w:r>
    </w:p>
    <w:p w14:paraId="125B3140" w14:textId="77777777" w:rsidR="00213131" w:rsidRPr="004D7A72" w:rsidRDefault="00213131" w:rsidP="00213131">
      <w:pPr>
        <w:pStyle w:val="ListParagraph"/>
        <w:keepLines/>
        <w:tabs>
          <w:tab w:val="left" w:pos="425"/>
        </w:tabs>
        <w:ind w:left="426"/>
        <w:rPr>
          <w:rFonts w:asciiTheme="majorBidi" w:eastAsia="Calibri" w:hAnsiTheme="majorBidi" w:cstheme="majorBidi"/>
          <w:sz w:val="21"/>
          <w:szCs w:val="21"/>
          <w:bdr w:val="none" w:sz="0" w:space="0" w:color="auto" w:frame="1"/>
        </w:rPr>
      </w:pPr>
      <w:r w:rsidRPr="004D7A72">
        <w:rPr>
          <w:rFonts w:asciiTheme="majorBidi" w:hAnsiTheme="majorBidi" w:cstheme="majorBidi"/>
          <w:sz w:val="21"/>
          <w:bdr w:val="none" w:sz="0" w:space="0" w:color="auto" w:frame="1"/>
        </w:rPr>
        <w:t xml:space="preserve">A downgrade of S&amp;P </w:t>
      </w:r>
      <w:proofErr w:type="spellStart"/>
      <w:r w:rsidRPr="004D7A72">
        <w:rPr>
          <w:rFonts w:asciiTheme="majorBidi" w:hAnsiTheme="majorBidi" w:cstheme="majorBidi"/>
          <w:sz w:val="21"/>
          <w:bdr w:val="none" w:sz="0" w:space="0" w:color="auto" w:frame="1"/>
        </w:rPr>
        <w:t>Maalot’s</w:t>
      </w:r>
      <w:proofErr w:type="spellEnd"/>
      <w:r w:rsidRPr="004D7A72">
        <w:rPr>
          <w:rFonts w:asciiTheme="majorBidi" w:hAnsiTheme="majorBidi" w:cstheme="majorBidi"/>
          <w:sz w:val="21"/>
          <w:bdr w:val="none" w:sz="0" w:space="0" w:color="auto" w:frame="1"/>
        </w:rPr>
        <w:t xml:space="preserve"> credit rating to below </w:t>
      </w:r>
      <w:proofErr w:type="spellStart"/>
      <w:r w:rsidRPr="004D7A72">
        <w:rPr>
          <w:rFonts w:asciiTheme="majorBidi" w:hAnsiTheme="majorBidi" w:cstheme="majorBidi"/>
          <w:sz w:val="21"/>
          <w:bdr w:val="none" w:sz="0" w:space="0" w:color="auto" w:frame="1"/>
        </w:rPr>
        <w:t>ilA</w:t>
      </w:r>
      <w:proofErr w:type="spellEnd"/>
      <w:r w:rsidRPr="004D7A72">
        <w:rPr>
          <w:rFonts w:asciiTheme="majorBidi" w:hAnsiTheme="majorBidi" w:cstheme="majorBidi"/>
          <w:sz w:val="21"/>
          <w:bdr w:val="none" w:sz="0" w:space="0" w:color="auto" w:frame="1"/>
        </w:rPr>
        <w:t xml:space="preserve">-, or </w:t>
      </w:r>
      <w:proofErr w:type="spellStart"/>
      <w:r w:rsidRPr="004D7A72">
        <w:rPr>
          <w:rFonts w:asciiTheme="majorBidi" w:hAnsiTheme="majorBidi" w:cstheme="majorBidi"/>
          <w:sz w:val="21"/>
          <w:bdr w:val="none" w:sz="0" w:space="0" w:color="auto" w:frame="1"/>
        </w:rPr>
        <w:t>Midroog’s</w:t>
      </w:r>
      <w:proofErr w:type="spellEnd"/>
      <w:r w:rsidRPr="004D7A72">
        <w:rPr>
          <w:rFonts w:asciiTheme="majorBidi" w:hAnsiTheme="majorBidi" w:cstheme="majorBidi"/>
          <w:sz w:val="21"/>
          <w:bdr w:val="none" w:sz="0" w:space="0" w:color="auto" w:frame="1"/>
        </w:rPr>
        <w:t xml:space="preserve"> credit rating to below A3 or a corresponding rating of another rating agency, will result in additional interest at a total rate of up to 1%  (and if the rating is downgraded to a rating equivalent to or lower than BB- of S&amp;P </w:t>
      </w:r>
      <w:proofErr w:type="spellStart"/>
      <w:r w:rsidRPr="004D7A72">
        <w:rPr>
          <w:rFonts w:asciiTheme="majorBidi" w:hAnsiTheme="majorBidi" w:cstheme="majorBidi"/>
          <w:sz w:val="21"/>
          <w:bdr w:val="none" w:sz="0" w:space="0" w:color="auto" w:frame="1"/>
        </w:rPr>
        <w:t>Maalot</w:t>
      </w:r>
      <w:proofErr w:type="spellEnd"/>
      <w:r w:rsidRPr="004D7A72">
        <w:rPr>
          <w:rFonts w:asciiTheme="majorBidi" w:hAnsiTheme="majorBidi" w:cstheme="majorBidi"/>
          <w:sz w:val="21"/>
          <w:bdr w:val="none" w:sz="0" w:space="0" w:color="auto" w:frame="1"/>
        </w:rPr>
        <w:t xml:space="preserve">, or a corresponding rating, will result in increasing the interest rate to 3%, in accordance with the terms and increments set out in the debenture). Furthermore, in the event of a breach of certain financial covenant set in the deed of trust, a mechanism will apply for adding interest of up to 0.5% (in the event of breach of two financial covenants). It is hereby clarified that other than due to the addition of default interest, the maximum addition to the interest rate due to downgrading of credit rating and failure to comply with financial covenants can be 3.25%. </w:t>
      </w:r>
    </w:p>
    <w:p w14:paraId="4F7D1E8B" w14:textId="77777777" w:rsidR="00213131" w:rsidRPr="004D7A72" w:rsidRDefault="00213131" w:rsidP="00213131">
      <w:pPr>
        <w:pStyle w:val="ListParagraph"/>
        <w:keepLines/>
        <w:tabs>
          <w:tab w:val="left" w:pos="425"/>
        </w:tabs>
        <w:ind w:left="426"/>
        <w:rPr>
          <w:rFonts w:asciiTheme="majorBidi" w:eastAsia="Calibri" w:hAnsiTheme="majorBidi" w:cstheme="majorBidi"/>
          <w:sz w:val="21"/>
          <w:szCs w:val="21"/>
          <w:bdr w:val="none" w:sz="0" w:space="0" w:color="auto" w:frame="1"/>
        </w:rPr>
      </w:pPr>
      <w:r w:rsidRPr="004D7A72">
        <w:rPr>
          <w:rFonts w:asciiTheme="majorBidi" w:hAnsiTheme="majorBidi" w:cstheme="majorBidi"/>
          <w:sz w:val="21"/>
          <w:bdr w:val="none" w:sz="0" w:space="0" w:color="auto" w:frame="1"/>
        </w:rPr>
        <w:t xml:space="preserve">Under the issue of Debentures (Series T), the Company undertook to comply, among other things, with the following primary covenants, and breach thereof grants the debenture holders the right to call for immediate repayment of the debentures: (a) consolidated equity (less non-controlling interests) will not fall below USD 800 million for three consecutive quarters; (b) consolidated equity (less non-controlling interests) will not fall below USD 450 million for one quarter; (c) net interest-bearing debt to the Company’s consolidated balance sheet ratio will not exceed 75% for three consecutive quarters; (d) the rating of the debentures in the last of the above quarters will not fall below BBB- by S&amp;P </w:t>
      </w:r>
      <w:proofErr w:type="spellStart"/>
      <w:r w:rsidRPr="004D7A72">
        <w:rPr>
          <w:rFonts w:asciiTheme="majorBidi" w:hAnsiTheme="majorBidi" w:cstheme="majorBidi"/>
          <w:sz w:val="21"/>
          <w:bdr w:val="none" w:sz="0" w:space="0" w:color="auto" w:frame="1"/>
        </w:rPr>
        <w:t>Maalot</w:t>
      </w:r>
      <w:proofErr w:type="spellEnd"/>
      <w:r w:rsidRPr="004D7A72">
        <w:rPr>
          <w:rFonts w:asciiTheme="majorBidi" w:hAnsiTheme="majorBidi" w:cstheme="majorBidi"/>
          <w:sz w:val="21"/>
          <w:bdr w:val="none" w:sz="0" w:space="0" w:color="auto" w:frame="1"/>
        </w:rPr>
        <w:t xml:space="preserve"> and below Baa3 by </w:t>
      </w:r>
      <w:proofErr w:type="spellStart"/>
      <w:r w:rsidRPr="004D7A72">
        <w:rPr>
          <w:rFonts w:asciiTheme="majorBidi" w:hAnsiTheme="majorBidi" w:cstheme="majorBidi"/>
          <w:sz w:val="21"/>
          <w:bdr w:val="none" w:sz="0" w:space="0" w:color="auto" w:frame="1"/>
        </w:rPr>
        <w:t>Midroog</w:t>
      </w:r>
      <w:proofErr w:type="spellEnd"/>
      <w:r w:rsidRPr="004D7A72">
        <w:rPr>
          <w:rFonts w:asciiTheme="majorBidi" w:hAnsiTheme="majorBidi" w:cstheme="majorBidi"/>
          <w:sz w:val="21"/>
          <w:bdr w:val="none" w:sz="0" w:space="0" w:color="auto" w:frame="1"/>
        </w:rPr>
        <w:t>.</w:t>
      </w:r>
    </w:p>
    <w:p w14:paraId="0E09A07A" w14:textId="77777777" w:rsidR="00213131" w:rsidRPr="004D7A72" w:rsidRDefault="00213131" w:rsidP="00213131">
      <w:pPr>
        <w:keepNext/>
        <w:keepLines/>
        <w:pageBreakBefore/>
        <w:pBdr>
          <w:top w:val="nil"/>
          <w:left w:val="nil"/>
          <w:bottom w:val="nil"/>
          <w:right w:val="nil"/>
          <w:between w:val="nil"/>
          <w:bar w:val="nil"/>
        </w:pBdr>
        <w:tabs>
          <w:tab w:val="right" w:pos="1557"/>
          <w:tab w:val="left" w:pos="1699"/>
        </w:tabs>
        <w:contextualSpacing/>
        <w:outlineLvl w:val="3"/>
        <w:rPr>
          <w:rFonts w:asciiTheme="majorBidi" w:eastAsia="Calibri" w:hAnsiTheme="majorBidi" w:cstheme="majorBidi"/>
          <w:b/>
          <w:bCs/>
          <w:sz w:val="21"/>
          <w:szCs w:val="21"/>
        </w:rPr>
      </w:pPr>
      <w:r w:rsidRPr="004D7A72">
        <w:rPr>
          <w:rFonts w:asciiTheme="majorBidi" w:hAnsiTheme="majorBidi" w:cstheme="majorBidi"/>
          <w:b/>
          <w:sz w:val="21"/>
        </w:rPr>
        <w:lastRenderedPageBreak/>
        <w:t>Note 5 – Subsequent Events (Contd.)</w:t>
      </w:r>
    </w:p>
    <w:p w14:paraId="225E23F7" w14:textId="5F9DBAAB" w:rsidR="00213131" w:rsidRPr="004D7A72" w:rsidRDefault="00213131" w:rsidP="00213131">
      <w:pPr>
        <w:ind w:left="426"/>
        <w:rPr>
          <w:rFonts w:asciiTheme="majorBidi" w:hAnsiTheme="majorBidi" w:cstheme="majorBidi"/>
          <w:sz w:val="21"/>
        </w:rPr>
      </w:pPr>
      <w:r w:rsidRPr="004D7A72">
        <w:rPr>
          <w:rFonts w:asciiTheme="majorBidi" w:hAnsiTheme="majorBidi" w:cstheme="majorBidi"/>
          <w:sz w:val="21"/>
        </w:rPr>
        <w:t xml:space="preserve">The Company also undertook to refrain from a distribution if, among other things, its equity falls below the </w:t>
      </w:r>
      <w:r w:rsidR="00A663FB">
        <w:rPr>
          <w:rFonts w:asciiTheme="majorBidi" w:hAnsiTheme="majorBidi" w:cstheme="majorBidi"/>
          <w:sz w:val="21"/>
        </w:rPr>
        <w:t>NIS</w:t>
      </w:r>
      <w:r w:rsidRPr="004D7A72">
        <w:rPr>
          <w:rFonts w:asciiTheme="majorBidi" w:hAnsiTheme="majorBidi" w:cstheme="majorBidi"/>
          <w:sz w:val="21"/>
        </w:rPr>
        <w:t xml:space="preserve"> equivalent of USD 1 billion under its audited or reviewed consolidated financial statements. Furthermore, the provisions of the deed of trust of Debentures (Series T) contain other causes, which if realized, grants the debenture holders the right to call for immediate repayment of the debentures, including a change of control of the Company, calling for immediate repayment of another series marketable debentures of the Company or calling for immediate repayment of non-marketable debentures or a loan/s from a financial institution (for specific causes only) in the amount of 10% or more of the Company’s total gross financial liabilities based on its reviewed consolidated financial statements (following elapse of a remedy period), causes related to insolvency of the Company, change of operations and sale of most of the Company’s assets, recording of a going concern caveat in the Company’s financial statements for two consecutive quarters, additional causes related to breaching of the provisions concerning liens in favor of the debenture holders, among others. Furthermore, the Company undertook to refrain from creating a negative pledge on all of its assets and all of its rights, existing and future, in favor of any third party to secure any debt, unless the debenture holders are granted a floating lien of the same degree </w:t>
      </w:r>
      <w:proofErr w:type="spellStart"/>
      <w:r w:rsidRPr="004D7A72">
        <w:rPr>
          <w:rFonts w:asciiTheme="majorBidi" w:hAnsiTheme="majorBidi" w:cstheme="majorBidi"/>
          <w:sz w:val="21"/>
        </w:rPr>
        <w:t>pari</w:t>
      </w:r>
      <w:proofErr w:type="spellEnd"/>
      <w:r w:rsidRPr="004D7A72">
        <w:rPr>
          <w:rFonts w:asciiTheme="majorBidi" w:hAnsiTheme="majorBidi" w:cstheme="majorBidi"/>
          <w:sz w:val="21"/>
        </w:rPr>
        <w:t xml:space="preserve"> passu. </w:t>
      </w:r>
    </w:p>
    <w:p w14:paraId="109684B0" w14:textId="77777777" w:rsidR="00213131" w:rsidRDefault="00213131" w:rsidP="00213131">
      <w:pPr>
        <w:ind w:left="426"/>
        <w:rPr>
          <w:rFonts w:asciiTheme="majorBidi" w:hAnsiTheme="majorBidi" w:cstheme="majorBidi"/>
          <w:sz w:val="21"/>
        </w:rPr>
      </w:pPr>
      <w:r w:rsidRPr="004D7A72">
        <w:rPr>
          <w:rFonts w:asciiTheme="majorBidi" w:hAnsiTheme="majorBidi" w:cstheme="majorBidi"/>
          <w:sz w:val="21"/>
        </w:rPr>
        <w:t>In addition, as part of the Company's obligations in favor of the holders of Debentures (Series T), the Property Company and/or the Parent Company assumed several restrictions, including: (1)</w:t>
      </w:r>
      <w:r w:rsidRPr="004D7A72">
        <w:rPr>
          <w:rFonts w:asciiTheme="majorBidi" w:hAnsiTheme="majorBidi" w:cstheme="majorBidi"/>
          <w:sz w:val="21"/>
        </w:rPr>
        <w:tab/>
        <w:t>the Property Company will refrain from being a guarantor, from assuming any debt, financing, loan or other credit from any source that is not part of G City Group. Furthermore, other than as set out in the deed of trust, the Property Company will not create any encumbrance whatsoever. Should the Property Company take any loan whatsoever from G City Group, such loan will be inferior to Debentures (Series T); (2) the Property Company will refrain from engaging in a merger with another corporation other than a corporation belonging to the G City Group. Moreover, the Company will hold, directly and/or indirectly, at least 50.01% of the Parent Company and 100% of the Property Company. The Property Company will operate as an independent and separate entity from any other corporation belonging to the G City Group; (3) the Property Company will refrain from purchasing additional properties (other than the rest of the holdings in the joint properties, as defined in the deed of trust), unless as part of routine business and it will not modify its area of operations. In addition, the Property Company will not acquire or establish any companies whatsoever; (4) the Property Company will not amend its incorporation documents in a manner that will jeopardize the collateral placed under the deed of trust; (5) the Property Company may pay property management fees and operating management fees to the Company and/or any other company of the G City Group, at market terms; and (6) the Parent Company will refrain from creating and from undertaking to create a floating charge on all of its assets.</w:t>
      </w:r>
    </w:p>
    <w:p w14:paraId="04CFFD3C" w14:textId="2ACA09A5" w:rsidR="00DC55A8" w:rsidRPr="004D7A72" w:rsidRDefault="00DC55A8" w:rsidP="00213131">
      <w:pPr>
        <w:ind w:left="426"/>
        <w:rPr>
          <w:rFonts w:asciiTheme="majorBidi" w:hAnsiTheme="majorBidi" w:cstheme="majorBidi"/>
          <w:sz w:val="21"/>
        </w:rPr>
      </w:pPr>
      <w:r>
        <w:rPr>
          <w:rFonts w:asciiTheme="majorBidi" w:hAnsiTheme="majorBidi" w:cstheme="majorBidi"/>
          <w:sz w:val="21"/>
        </w:rPr>
        <w:t xml:space="preserve">For condensed information regarding </w:t>
      </w:r>
      <w:r w:rsidRPr="00DC55A8">
        <w:rPr>
          <w:rFonts w:asciiTheme="majorBidi" w:hAnsiTheme="majorBidi" w:cstheme="majorBidi"/>
          <w:sz w:val="21"/>
        </w:rPr>
        <w:t>the Property Company</w:t>
      </w:r>
      <w:r>
        <w:rPr>
          <w:rFonts w:asciiTheme="majorBidi" w:hAnsiTheme="majorBidi" w:cstheme="majorBidi"/>
          <w:sz w:val="21"/>
        </w:rPr>
        <w:t>, see Note 8.</w:t>
      </w:r>
    </w:p>
    <w:p w14:paraId="796D1220" w14:textId="77777777" w:rsidR="00213131" w:rsidRPr="004D7A72" w:rsidRDefault="00213131" w:rsidP="004D7A72">
      <w:pPr>
        <w:pStyle w:val="ListParagraph"/>
        <w:keepLines/>
        <w:numPr>
          <w:ilvl w:val="0"/>
          <w:numId w:val="62"/>
        </w:numPr>
        <w:spacing w:before="60" w:after="60" w:line="276" w:lineRule="auto"/>
        <w:rPr>
          <w:rFonts w:asciiTheme="majorBidi" w:hAnsiTheme="majorBidi" w:cstheme="majorBidi"/>
          <w:sz w:val="21"/>
        </w:rPr>
      </w:pPr>
      <w:r w:rsidRPr="004D7A72">
        <w:rPr>
          <w:rFonts w:asciiTheme="majorBidi" w:hAnsiTheme="majorBidi" w:cstheme="majorBidi"/>
          <w:sz w:val="21"/>
        </w:rPr>
        <w:t xml:space="preserve">In July 2024, the Company issued in a private placement, by means of expansion of a marketable series, NIS 200 million par value Debentures (Series N) (which are unsecured) for gross consideration of NIS 191 million and at effective interest of 6.03% (CPI-linked). </w:t>
      </w:r>
    </w:p>
    <w:p w14:paraId="685D4CAF" w14:textId="77777777" w:rsidR="00213131" w:rsidRPr="004D7A72" w:rsidRDefault="00213131" w:rsidP="004D7A72">
      <w:pPr>
        <w:pStyle w:val="ListParagraph"/>
        <w:keepLines/>
        <w:numPr>
          <w:ilvl w:val="0"/>
          <w:numId w:val="62"/>
        </w:numPr>
        <w:spacing w:before="60" w:after="60" w:line="276" w:lineRule="auto"/>
        <w:rPr>
          <w:rFonts w:asciiTheme="majorBidi" w:hAnsiTheme="majorBidi" w:cstheme="majorBidi"/>
          <w:sz w:val="21"/>
        </w:rPr>
      </w:pPr>
      <w:r w:rsidRPr="004D7A72">
        <w:rPr>
          <w:rFonts w:asciiTheme="majorBidi" w:hAnsiTheme="majorBidi" w:cstheme="majorBidi"/>
          <w:sz w:val="21"/>
        </w:rPr>
        <w:t xml:space="preserve">On July 1, 2024, </w:t>
      </w:r>
      <w:proofErr w:type="spellStart"/>
      <w:r w:rsidRPr="004D7A72">
        <w:rPr>
          <w:rFonts w:asciiTheme="majorBidi" w:hAnsiTheme="majorBidi" w:cstheme="majorBidi"/>
          <w:sz w:val="21"/>
        </w:rPr>
        <w:t>Midroog</w:t>
      </w:r>
      <w:proofErr w:type="spellEnd"/>
      <w:r w:rsidRPr="004D7A72">
        <w:rPr>
          <w:rFonts w:asciiTheme="majorBidi" w:hAnsiTheme="majorBidi" w:cstheme="majorBidi"/>
          <w:sz w:val="21"/>
        </w:rPr>
        <w:t xml:space="preserve"> rating agency set the credit rating for Debentures (Series T) of the Company as A2.il, with a stable outlook.</w:t>
      </w:r>
    </w:p>
    <w:p w14:paraId="5E53C78A" w14:textId="77777777" w:rsidR="00213131" w:rsidRPr="004D7A72" w:rsidRDefault="00213131" w:rsidP="004D7A72">
      <w:pPr>
        <w:pStyle w:val="ListParagraph"/>
        <w:keepLines/>
        <w:numPr>
          <w:ilvl w:val="0"/>
          <w:numId w:val="62"/>
        </w:numPr>
        <w:spacing w:before="60" w:after="60" w:line="276" w:lineRule="auto"/>
        <w:rPr>
          <w:rFonts w:asciiTheme="majorBidi" w:hAnsiTheme="majorBidi" w:cstheme="majorBidi"/>
          <w:sz w:val="21"/>
        </w:rPr>
      </w:pPr>
      <w:r w:rsidRPr="004D7A72">
        <w:rPr>
          <w:rFonts w:asciiTheme="majorBidi" w:hAnsiTheme="majorBidi" w:cstheme="majorBidi"/>
          <w:sz w:val="21"/>
        </w:rPr>
        <w:t xml:space="preserve">On July 1, 2024, the </w:t>
      </w:r>
      <w:proofErr w:type="spellStart"/>
      <w:r w:rsidRPr="004D7A72">
        <w:rPr>
          <w:rFonts w:asciiTheme="majorBidi" w:hAnsiTheme="majorBidi" w:cstheme="majorBidi"/>
          <w:sz w:val="21"/>
        </w:rPr>
        <w:t>Midroog</w:t>
      </w:r>
      <w:proofErr w:type="spellEnd"/>
      <w:r w:rsidRPr="004D7A72">
        <w:rPr>
          <w:rFonts w:asciiTheme="majorBidi" w:hAnsiTheme="majorBidi" w:cstheme="majorBidi"/>
          <w:sz w:val="21"/>
        </w:rPr>
        <w:t xml:space="preserve"> rating agency ratified the credit rating for Debentures (Series K, L, M, N, P, Q, and S) of the Company as A3.il, and revised the outlook from negative to stable.</w:t>
      </w:r>
    </w:p>
    <w:p w14:paraId="4F1ADD89" w14:textId="77777777" w:rsidR="00213131" w:rsidRPr="004D7A72" w:rsidRDefault="00213131" w:rsidP="00A663FB">
      <w:pPr>
        <w:pStyle w:val="ListParagraph"/>
        <w:keepLines/>
        <w:spacing w:before="60" w:after="60" w:line="276" w:lineRule="auto"/>
        <w:ind w:left="502"/>
        <w:rPr>
          <w:rFonts w:asciiTheme="majorBidi" w:hAnsiTheme="majorBidi" w:cstheme="majorBidi"/>
          <w:sz w:val="21"/>
        </w:rPr>
      </w:pPr>
      <w:r w:rsidRPr="004D7A72">
        <w:rPr>
          <w:rFonts w:asciiTheme="majorBidi" w:hAnsiTheme="majorBidi" w:cstheme="majorBidi"/>
          <w:sz w:val="21"/>
        </w:rPr>
        <w:t xml:space="preserve">On July 1, 2024, </w:t>
      </w:r>
      <w:proofErr w:type="spellStart"/>
      <w:r w:rsidRPr="004D7A72">
        <w:rPr>
          <w:rFonts w:asciiTheme="majorBidi" w:hAnsiTheme="majorBidi" w:cstheme="majorBidi"/>
          <w:sz w:val="21"/>
        </w:rPr>
        <w:t>Midroog</w:t>
      </w:r>
      <w:proofErr w:type="spellEnd"/>
      <w:r w:rsidRPr="004D7A72">
        <w:rPr>
          <w:rFonts w:asciiTheme="majorBidi" w:hAnsiTheme="majorBidi" w:cstheme="majorBidi"/>
          <w:sz w:val="21"/>
        </w:rPr>
        <w:t xml:space="preserve"> rating agency ratified the credit rating of the Company's Debentures (Series O, R) as A2.il, and revised the negative outlook to stable.</w:t>
      </w:r>
    </w:p>
    <w:p w14:paraId="54B1B9E5" w14:textId="77777777" w:rsidR="00213131" w:rsidRPr="004D7A72" w:rsidRDefault="00213131" w:rsidP="004D7A72">
      <w:pPr>
        <w:pStyle w:val="ListParagraph"/>
        <w:keepLines/>
        <w:numPr>
          <w:ilvl w:val="0"/>
          <w:numId w:val="62"/>
        </w:numPr>
        <w:spacing w:before="60" w:after="60" w:line="276" w:lineRule="auto"/>
        <w:rPr>
          <w:rFonts w:asciiTheme="majorBidi" w:hAnsiTheme="majorBidi" w:cstheme="majorBidi"/>
          <w:sz w:val="21"/>
        </w:rPr>
      </w:pPr>
      <w:r w:rsidRPr="004D7A72">
        <w:rPr>
          <w:rFonts w:asciiTheme="majorBidi" w:hAnsiTheme="majorBidi" w:cstheme="majorBidi"/>
          <w:sz w:val="21"/>
        </w:rPr>
        <w:t xml:space="preserve">On July 11, 2024, </w:t>
      </w:r>
      <w:proofErr w:type="spellStart"/>
      <w:r w:rsidRPr="004D7A72">
        <w:rPr>
          <w:rFonts w:asciiTheme="majorBidi" w:hAnsiTheme="majorBidi" w:cstheme="majorBidi"/>
          <w:sz w:val="21"/>
        </w:rPr>
        <w:t>Midroog</w:t>
      </w:r>
      <w:proofErr w:type="spellEnd"/>
      <w:r w:rsidRPr="004D7A72">
        <w:rPr>
          <w:rFonts w:asciiTheme="majorBidi" w:hAnsiTheme="majorBidi" w:cstheme="majorBidi"/>
          <w:sz w:val="21"/>
        </w:rPr>
        <w:t xml:space="preserve"> rating agency set the credit rating for Debentures (Series N) of the Company as A3.il, with a stable outlook.</w:t>
      </w:r>
    </w:p>
    <w:p w14:paraId="413559F6" w14:textId="77777777" w:rsidR="00213131" w:rsidRPr="004D7A72" w:rsidRDefault="00213131" w:rsidP="004D7A72">
      <w:pPr>
        <w:pStyle w:val="ListParagraph"/>
        <w:keepLines/>
        <w:numPr>
          <w:ilvl w:val="0"/>
          <w:numId w:val="62"/>
        </w:numPr>
        <w:spacing w:before="60" w:after="60" w:line="276" w:lineRule="auto"/>
        <w:rPr>
          <w:rFonts w:asciiTheme="majorBidi" w:hAnsiTheme="majorBidi" w:cstheme="majorBidi"/>
          <w:sz w:val="21"/>
        </w:rPr>
      </w:pPr>
      <w:r w:rsidRPr="004D7A72">
        <w:rPr>
          <w:rFonts w:asciiTheme="majorBidi" w:hAnsiTheme="majorBidi" w:cstheme="majorBidi"/>
          <w:sz w:val="21"/>
        </w:rPr>
        <w:t xml:space="preserve">On July 11, 2024, the S&amp;P </w:t>
      </w:r>
      <w:proofErr w:type="spellStart"/>
      <w:r w:rsidRPr="004D7A72">
        <w:rPr>
          <w:rFonts w:asciiTheme="majorBidi" w:hAnsiTheme="majorBidi" w:cstheme="majorBidi"/>
          <w:sz w:val="21"/>
        </w:rPr>
        <w:t>Maalot</w:t>
      </w:r>
      <w:proofErr w:type="spellEnd"/>
      <w:r w:rsidRPr="004D7A72">
        <w:rPr>
          <w:rFonts w:asciiTheme="majorBidi" w:hAnsiTheme="majorBidi" w:cstheme="majorBidi"/>
          <w:sz w:val="21"/>
        </w:rPr>
        <w:t xml:space="preserve"> rating agency set the credit rating for the Company’s Debentures (Series N) as </w:t>
      </w:r>
      <w:proofErr w:type="spellStart"/>
      <w:r w:rsidRPr="004D7A72">
        <w:rPr>
          <w:rFonts w:asciiTheme="majorBidi" w:hAnsiTheme="majorBidi" w:cstheme="majorBidi"/>
          <w:sz w:val="21"/>
        </w:rPr>
        <w:t>ilA</w:t>
      </w:r>
      <w:proofErr w:type="spellEnd"/>
      <w:r w:rsidRPr="004D7A72">
        <w:rPr>
          <w:rFonts w:asciiTheme="majorBidi" w:hAnsiTheme="majorBidi" w:cstheme="majorBidi"/>
          <w:sz w:val="21"/>
        </w:rPr>
        <w:t>-, with stable outlook.</w:t>
      </w:r>
    </w:p>
    <w:p w14:paraId="36C90F0E" w14:textId="77777777" w:rsidR="00213131" w:rsidRPr="004D7A72" w:rsidRDefault="00213131" w:rsidP="00213131">
      <w:pPr>
        <w:pStyle w:val="ListParagraph"/>
        <w:keepLines/>
        <w:tabs>
          <w:tab w:val="left" w:pos="425"/>
        </w:tabs>
        <w:ind w:left="0"/>
        <w:rPr>
          <w:rFonts w:asciiTheme="majorBidi" w:eastAsia="Calibri" w:hAnsiTheme="majorBidi" w:cstheme="majorBidi"/>
          <w:sz w:val="21"/>
          <w:szCs w:val="21"/>
          <w:bdr w:val="none" w:sz="0" w:space="0" w:color="auto" w:frame="1"/>
        </w:rPr>
      </w:pPr>
    </w:p>
    <w:p w14:paraId="5A535A03" w14:textId="77777777" w:rsidR="00213131" w:rsidRPr="004D7A72" w:rsidRDefault="00213131" w:rsidP="00213131">
      <w:pPr>
        <w:pStyle w:val="ListParagraph"/>
        <w:keepLines/>
        <w:tabs>
          <w:tab w:val="left" w:pos="425"/>
        </w:tabs>
        <w:ind w:left="0"/>
        <w:rPr>
          <w:rFonts w:asciiTheme="majorBidi" w:eastAsia="Calibri" w:hAnsiTheme="majorBidi" w:cstheme="majorBidi"/>
          <w:sz w:val="21"/>
          <w:szCs w:val="21"/>
          <w:bdr w:val="none" w:sz="0" w:space="0" w:color="auto" w:frame="1"/>
        </w:rPr>
      </w:pPr>
    </w:p>
    <w:p w14:paraId="4AB0FB55" w14:textId="1498E0A1" w:rsidR="00213131" w:rsidRPr="004D7A72" w:rsidRDefault="00213131" w:rsidP="00213131">
      <w:pPr>
        <w:keepNext/>
        <w:pageBreakBefore/>
        <w:tabs>
          <w:tab w:val="left" w:pos="1133"/>
        </w:tabs>
        <w:contextualSpacing/>
        <w:outlineLvl w:val="3"/>
        <w:rPr>
          <w:rFonts w:asciiTheme="majorBidi" w:hAnsiTheme="majorBidi" w:cstheme="majorBidi"/>
          <w:b/>
          <w:bCs/>
          <w:sz w:val="21"/>
          <w:szCs w:val="21"/>
        </w:rPr>
      </w:pPr>
      <w:bookmarkStart w:id="166" w:name="RG_MARKER_56592"/>
      <w:bookmarkStart w:id="167" w:name="RG_MARKER_56671"/>
      <w:bookmarkStart w:id="168" w:name="H4_באור_60Note_מגזרי_פעילות_0"/>
      <w:bookmarkEnd w:id="166"/>
      <w:bookmarkEnd w:id="167"/>
      <w:r w:rsidRPr="004D7A72">
        <w:rPr>
          <w:rFonts w:asciiTheme="majorBidi" w:hAnsiTheme="majorBidi" w:cstheme="majorBidi"/>
          <w:b/>
          <w:sz w:val="21"/>
        </w:rPr>
        <w:lastRenderedPageBreak/>
        <w:t>N</w:t>
      </w:r>
      <w:r w:rsidR="00381355">
        <w:rPr>
          <w:rFonts w:asciiTheme="majorBidi" w:hAnsiTheme="majorBidi" w:cstheme="majorBidi"/>
          <w:b/>
          <w:sz w:val="21"/>
        </w:rPr>
        <w:t>ote</w:t>
      </w:r>
      <w:r w:rsidRPr="004D7A72">
        <w:rPr>
          <w:rFonts w:asciiTheme="majorBidi" w:hAnsiTheme="majorBidi" w:cstheme="majorBidi"/>
          <w:b/>
          <w:sz w:val="21"/>
        </w:rPr>
        <w:t xml:space="preserve"> 6 - Operating Segments</w:t>
      </w:r>
    </w:p>
    <w:bookmarkEnd w:id="168"/>
    <w:p w14:paraId="02A6C858" w14:textId="77777777" w:rsidR="00213131" w:rsidRPr="004D7A72" w:rsidRDefault="00213131" w:rsidP="00213131">
      <w:pPr>
        <w:keepNext/>
        <w:contextualSpacing/>
        <w:rPr>
          <w:rFonts w:asciiTheme="majorBidi" w:eastAsia="Times New Roman" w:hAnsiTheme="majorBidi" w:cstheme="majorBidi"/>
          <w:sz w:val="21"/>
          <w:szCs w:val="21"/>
        </w:rPr>
      </w:pPr>
      <w:r w:rsidRPr="004D7A72">
        <w:rPr>
          <w:rFonts w:asciiTheme="majorBidi" w:hAnsiTheme="majorBidi" w:cstheme="majorBidi"/>
          <w:sz w:val="21"/>
        </w:rPr>
        <w:t>The Company reports five reportable segments pursuant to the IFRS 8 management approach.</w:t>
      </w:r>
    </w:p>
    <w:p w14:paraId="536090FD" w14:textId="77777777" w:rsidR="00213131" w:rsidRPr="004D7A72" w:rsidRDefault="00213131" w:rsidP="00213131">
      <w:pPr>
        <w:keepNext/>
        <w:contextualSpacing/>
        <w:rPr>
          <w:rFonts w:asciiTheme="majorBidi" w:eastAsia="Times New Roman" w:hAnsiTheme="majorBidi" w:cstheme="majorBidi"/>
          <w:sz w:val="21"/>
          <w:szCs w:val="21"/>
        </w:rPr>
      </w:pPr>
      <w:r w:rsidRPr="004D7A72">
        <w:rPr>
          <w:rFonts w:asciiTheme="majorBidi" w:hAnsiTheme="majorBidi" w:cstheme="majorBidi"/>
          <w:sz w:val="21"/>
        </w:rPr>
        <w:t>The Northern Europe segment is under a public subsidiary controlled by the Company, the other segments are wholly owned by the Company.</w:t>
      </w:r>
    </w:p>
    <w:p w14:paraId="3AA71C85" w14:textId="77777777" w:rsidR="00213131" w:rsidRPr="004D7A72" w:rsidRDefault="00213131" w:rsidP="00213131">
      <w:pPr>
        <w:keepNext/>
        <w:contextualSpacing/>
        <w:rPr>
          <w:rFonts w:asciiTheme="majorBidi" w:eastAsia="Times New Roman" w:hAnsiTheme="majorBidi" w:cstheme="majorBidi"/>
          <w:sz w:val="21"/>
          <w:szCs w:val="21"/>
          <w:rtl/>
        </w:rPr>
      </w:pPr>
    </w:p>
    <w:p w14:paraId="37FDE64B" w14:textId="77777777" w:rsidR="00213131" w:rsidRPr="004D7A72" w:rsidRDefault="00213131" w:rsidP="00213131">
      <w:pPr>
        <w:keepNext/>
        <w:tabs>
          <w:tab w:val="left" w:pos="1133"/>
        </w:tabs>
        <w:contextualSpacing/>
        <w:rPr>
          <w:rFonts w:asciiTheme="majorBidi" w:hAnsiTheme="majorBidi" w:cstheme="majorBidi"/>
          <w:sz w:val="21"/>
          <w:szCs w:val="21"/>
          <w:u w:val="single"/>
        </w:rPr>
      </w:pPr>
      <w:r w:rsidRPr="004D7A72">
        <w:rPr>
          <w:rFonts w:asciiTheme="majorBidi" w:hAnsiTheme="majorBidi" w:cstheme="majorBidi"/>
          <w:sz w:val="21"/>
          <w:u w:val="single"/>
        </w:rPr>
        <w:t>For the 6 months ended June 30,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tblGrid>
      <w:tr w:rsidR="00213131" w:rsidRPr="004D7A72" w14:paraId="66033235" w14:textId="77777777" w:rsidTr="00A65A6F">
        <w:trPr>
          <w:cantSplit/>
        </w:trPr>
        <w:tc>
          <w:tcPr>
            <w:tcW w:w="9921" w:type="dxa"/>
          </w:tcPr>
          <w:tbl>
            <w:tblPr>
              <w:tblStyle w:val="CDMRange1"/>
              <w:tblW w:w="9930" w:type="dxa"/>
              <w:tblLook w:val="0600" w:firstRow="0" w:lastRow="0" w:firstColumn="0" w:lastColumn="0" w:noHBand="1" w:noVBand="1"/>
            </w:tblPr>
            <w:tblGrid>
              <w:gridCol w:w="275"/>
              <w:gridCol w:w="1656"/>
              <w:gridCol w:w="861"/>
              <w:gridCol w:w="141"/>
              <w:gridCol w:w="860"/>
              <w:gridCol w:w="140"/>
              <w:gridCol w:w="860"/>
              <w:gridCol w:w="140"/>
              <w:gridCol w:w="860"/>
              <w:gridCol w:w="140"/>
              <w:gridCol w:w="860"/>
              <w:gridCol w:w="140"/>
              <w:gridCol w:w="860"/>
              <w:gridCol w:w="140"/>
              <w:gridCol w:w="912"/>
              <w:gridCol w:w="140"/>
              <w:gridCol w:w="938"/>
            </w:tblGrid>
            <w:tr w:rsidR="00213131" w:rsidRPr="004D7A72" w14:paraId="4FDAB7F3" w14:textId="77777777" w:rsidTr="00A65A6F">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2278AC2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75" w:type="dxa"/>
                  <w:tcBorders>
                    <w:top w:val="nil"/>
                    <w:left w:val="nil"/>
                    <w:bottom w:val="nil"/>
                    <w:right w:val="nil"/>
                    <w:tl2br w:val="nil"/>
                    <w:tr2bl w:val="nil"/>
                  </w:tcBorders>
                  <w:shd w:val="clear" w:color="auto" w:fill="auto"/>
                  <w:tcMar>
                    <w:left w:w="0" w:type="dxa"/>
                    <w:right w:w="0" w:type="dxa"/>
                  </w:tcMar>
                  <w:vAlign w:val="bottom"/>
                </w:tcPr>
                <w:p w14:paraId="0A70428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0FB44ADF"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Northern Europe</w:t>
                  </w:r>
                </w:p>
              </w:tc>
              <w:tc>
                <w:tcPr>
                  <w:tcW w:w="45" w:type="dxa"/>
                  <w:tcBorders>
                    <w:top w:val="nil"/>
                    <w:left w:val="nil"/>
                    <w:bottom w:val="nil"/>
                    <w:right w:val="nil"/>
                    <w:tl2br w:val="nil"/>
                    <w:tr2bl w:val="nil"/>
                  </w:tcBorders>
                  <w:shd w:val="clear" w:color="auto" w:fill="auto"/>
                  <w:tcMar>
                    <w:left w:w="0" w:type="dxa"/>
                    <w:right w:w="0" w:type="dxa"/>
                  </w:tcMar>
                  <w:vAlign w:val="bottom"/>
                </w:tcPr>
                <w:p w14:paraId="12A91818"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7C0E0457"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Central and Eastern Europe</w:t>
                  </w:r>
                </w:p>
              </w:tc>
              <w:tc>
                <w:tcPr>
                  <w:tcW w:w="45" w:type="dxa"/>
                  <w:tcBorders>
                    <w:top w:val="nil"/>
                    <w:left w:val="nil"/>
                    <w:bottom w:val="nil"/>
                    <w:right w:val="nil"/>
                    <w:tl2br w:val="nil"/>
                    <w:tr2bl w:val="nil"/>
                  </w:tcBorders>
                  <w:shd w:val="clear" w:color="auto" w:fill="auto"/>
                  <w:tcMar>
                    <w:left w:w="0" w:type="dxa"/>
                    <w:right w:w="0" w:type="dxa"/>
                  </w:tcMar>
                  <w:vAlign w:val="bottom"/>
                </w:tcPr>
                <w:p w14:paraId="40C98394"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0DC995EB"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Israel</w:t>
                  </w:r>
                </w:p>
              </w:tc>
              <w:tc>
                <w:tcPr>
                  <w:tcW w:w="45" w:type="dxa"/>
                  <w:tcBorders>
                    <w:top w:val="nil"/>
                    <w:left w:val="nil"/>
                    <w:bottom w:val="nil"/>
                    <w:right w:val="nil"/>
                    <w:tl2br w:val="nil"/>
                    <w:tr2bl w:val="nil"/>
                  </w:tcBorders>
                  <w:shd w:val="clear" w:color="auto" w:fill="auto"/>
                  <w:tcMar>
                    <w:left w:w="0" w:type="dxa"/>
                    <w:right w:w="0" w:type="dxa"/>
                  </w:tcMar>
                  <w:vAlign w:val="bottom"/>
                </w:tcPr>
                <w:p w14:paraId="098900FC"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67F78841"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Brazil</w:t>
                  </w:r>
                </w:p>
              </w:tc>
              <w:tc>
                <w:tcPr>
                  <w:tcW w:w="45" w:type="dxa"/>
                  <w:tcBorders>
                    <w:top w:val="nil"/>
                    <w:left w:val="nil"/>
                    <w:bottom w:val="nil"/>
                    <w:right w:val="nil"/>
                    <w:tl2br w:val="nil"/>
                    <w:tr2bl w:val="nil"/>
                  </w:tcBorders>
                  <w:shd w:val="clear" w:color="auto" w:fill="auto"/>
                  <w:tcMar>
                    <w:left w:w="0" w:type="dxa"/>
                    <w:right w:w="0" w:type="dxa"/>
                  </w:tcMar>
                  <w:vAlign w:val="bottom"/>
                </w:tcPr>
                <w:p w14:paraId="1E33151C"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28BD9170"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USA</w:t>
                  </w:r>
                </w:p>
              </w:tc>
              <w:tc>
                <w:tcPr>
                  <w:tcW w:w="45" w:type="dxa"/>
                  <w:tcBorders>
                    <w:top w:val="nil"/>
                    <w:left w:val="nil"/>
                    <w:bottom w:val="nil"/>
                    <w:right w:val="nil"/>
                    <w:tl2br w:val="nil"/>
                    <w:tr2bl w:val="nil"/>
                  </w:tcBorders>
                  <w:shd w:val="clear" w:color="auto" w:fill="auto"/>
                  <w:tcMar>
                    <w:left w:w="0" w:type="dxa"/>
                    <w:right w:w="0" w:type="dxa"/>
                  </w:tcMar>
                  <w:vAlign w:val="bottom"/>
                </w:tcPr>
                <w:p w14:paraId="0B814D5B"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7A816376"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Other segments</w:t>
                  </w:r>
                </w:p>
              </w:tc>
              <w:tc>
                <w:tcPr>
                  <w:tcW w:w="45" w:type="dxa"/>
                  <w:tcBorders>
                    <w:top w:val="nil"/>
                    <w:left w:val="nil"/>
                    <w:bottom w:val="nil"/>
                    <w:right w:val="nil"/>
                    <w:tl2br w:val="nil"/>
                    <w:tr2bl w:val="nil"/>
                  </w:tcBorders>
                  <w:shd w:val="clear" w:color="auto" w:fill="auto"/>
                  <w:tcMar>
                    <w:left w:w="0" w:type="dxa"/>
                    <w:right w:w="0" w:type="dxa"/>
                  </w:tcMar>
                  <w:vAlign w:val="bottom"/>
                </w:tcPr>
                <w:p w14:paraId="50D1AA0A"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16752B5C"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Adjustments to consolidated</w:t>
                  </w:r>
                </w:p>
              </w:tc>
              <w:tc>
                <w:tcPr>
                  <w:tcW w:w="45" w:type="dxa"/>
                  <w:tcBorders>
                    <w:top w:val="nil"/>
                    <w:left w:val="nil"/>
                    <w:bottom w:val="nil"/>
                    <w:right w:val="nil"/>
                    <w:tl2br w:val="nil"/>
                    <w:tr2bl w:val="nil"/>
                  </w:tcBorders>
                  <w:shd w:val="clear" w:color="auto" w:fill="auto"/>
                  <w:tcMar>
                    <w:left w:w="0" w:type="dxa"/>
                    <w:right w:w="0" w:type="dxa"/>
                  </w:tcMar>
                  <w:vAlign w:val="bottom"/>
                </w:tcPr>
                <w:p w14:paraId="280D2737"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1BA624B3"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Consolidated</w:t>
                  </w:r>
                </w:p>
              </w:tc>
            </w:tr>
            <w:tr w:rsidR="00213131" w:rsidRPr="004D7A72" w14:paraId="1B80F90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14CFC5B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75" w:type="dxa"/>
                  <w:tcBorders>
                    <w:top w:val="nil"/>
                    <w:left w:val="nil"/>
                    <w:bottom w:val="nil"/>
                    <w:right w:val="nil"/>
                    <w:tl2br w:val="nil"/>
                    <w:tr2bl w:val="nil"/>
                  </w:tcBorders>
                  <w:shd w:val="clear" w:color="auto" w:fill="auto"/>
                  <w:tcMar>
                    <w:left w:w="0" w:type="dxa"/>
                    <w:right w:w="0" w:type="dxa"/>
                  </w:tcMar>
                  <w:vAlign w:val="bottom"/>
                </w:tcPr>
                <w:p w14:paraId="01E0A83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7755" w:type="dxa"/>
                  <w:gridSpan w:val="15"/>
                  <w:tcBorders>
                    <w:top w:val="nil"/>
                    <w:left w:val="nil"/>
                    <w:bottom w:val="single" w:sz="4" w:space="0" w:color="000000"/>
                    <w:right w:val="nil"/>
                    <w:tl2br w:val="nil"/>
                    <w:tr2bl w:val="nil"/>
                  </w:tcBorders>
                  <w:shd w:val="clear" w:color="auto" w:fill="auto"/>
                  <w:tcMar>
                    <w:left w:w="40" w:type="dxa"/>
                    <w:right w:w="40" w:type="dxa"/>
                  </w:tcMar>
                  <w:vAlign w:val="bottom"/>
                </w:tcPr>
                <w:p w14:paraId="22A127CF"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Unaudited</w:t>
                  </w:r>
                </w:p>
              </w:tc>
            </w:tr>
            <w:tr w:rsidR="00213131" w:rsidRPr="004D7A72" w14:paraId="49DCBC5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3DDE87A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75" w:type="dxa"/>
                  <w:tcBorders>
                    <w:top w:val="nil"/>
                    <w:left w:val="nil"/>
                    <w:bottom w:val="nil"/>
                    <w:right w:val="nil"/>
                    <w:tl2br w:val="nil"/>
                    <w:tr2bl w:val="nil"/>
                  </w:tcBorders>
                  <w:shd w:val="clear" w:color="auto" w:fill="auto"/>
                  <w:tcMar>
                    <w:left w:w="0" w:type="dxa"/>
                    <w:right w:w="0" w:type="dxa"/>
                  </w:tcMar>
                  <w:vAlign w:val="bottom"/>
                </w:tcPr>
                <w:p w14:paraId="1D0763D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7755" w:type="dxa"/>
                  <w:gridSpan w:val="15"/>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F8E1C34"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NIS million</w:t>
                  </w:r>
                </w:p>
              </w:tc>
            </w:tr>
            <w:tr w:rsidR="00213131" w:rsidRPr="004D7A72" w14:paraId="7022B87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5" w:type="dxa"/>
                  <w:gridSpan w:val="2"/>
                  <w:tcBorders>
                    <w:top w:val="nil"/>
                    <w:left w:val="nil"/>
                    <w:bottom w:val="nil"/>
                    <w:right w:val="nil"/>
                    <w:tl2br w:val="nil"/>
                    <w:tr2bl w:val="nil"/>
                  </w:tcBorders>
                  <w:shd w:val="clear" w:color="auto" w:fill="auto"/>
                  <w:tcMar>
                    <w:left w:w="40" w:type="dxa"/>
                    <w:right w:w="40" w:type="dxa"/>
                  </w:tcMar>
                  <w:vAlign w:val="bottom"/>
                </w:tcPr>
                <w:p w14:paraId="34328AC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Segment revenues</w:t>
                  </w: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1202FC7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638</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79B301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791200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289</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5856F9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7B16307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172</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D4F46A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0556A90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89</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89F06A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7CFD6D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76</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B72C91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D98FA9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17</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0D1D25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7C7F0D8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(28)</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136B72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1B1E2FF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1,253</w:t>
                  </w:r>
                </w:p>
              </w:tc>
            </w:tr>
            <w:tr w:rsidR="00213131" w:rsidRPr="004D7A72" w14:paraId="6B74CB0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5" w:type="dxa"/>
                  <w:gridSpan w:val="2"/>
                  <w:tcBorders>
                    <w:top w:val="nil"/>
                    <w:left w:val="nil"/>
                    <w:bottom w:val="nil"/>
                    <w:right w:val="nil"/>
                    <w:tl2br w:val="nil"/>
                    <w:tr2bl w:val="nil"/>
                  </w:tcBorders>
                  <w:shd w:val="clear" w:color="auto" w:fill="auto"/>
                  <w:tcMar>
                    <w:left w:w="0" w:type="dxa"/>
                    <w:right w:w="0" w:type="dxa"/>
                  </w:tcMar>
                  <w:vAlign w:val="bottom"/>
                </w:tcPr>
                <w:p w14:paraId="7F0AE39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FC9697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CE0368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0989E4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9FCDD5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4C41A6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235224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B6FECB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FD9A8F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C33B5D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6D3D61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7C91A3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900162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35EFCB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E1289F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843C8A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0953A02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175" w:type="dxa"/>
                  <w:gridSpan w:val="2"/>
                  <w:tcBorders>
                    <w:top w:val="nil"/>
                    <w:left w:val="nil"/>
                    <w:bottom w:val="nil"/>
                    <w:right w:val="nil"/>
                    <w:tl2br w:val="nil"/>
                    <w:tr2bl w:val="nil"/>
                  </w:tcBorders>
                  <w:shd w:val="clear" w:color="auto" w:fill="auto"/>
                  <w:noWrap/>
                  <w:tcMar>
                    <w:left w:w="40" w:type="dxa"/>
                    <w:right w:w="40" w:type="dxa"/>
                  </w:tcMar>
                  <w:vAlign w:val="bottom"/>
                </w:tcPr>
                <w:p w14:paraId="7A9D1BF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Operating income, net </w:t>
                  </w: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78469F8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422</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863054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9CEBC7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202</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2B2170E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3CF647C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118</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F2C9E0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7DB701E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73</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0D0DDD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7DAB88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49</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CE4E00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3373BBC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9F8449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46D547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(17)</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14F194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2887DE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856</w:t>
                  </w:r>
                </w:p>
              </w:tc>
            </w:tr>
            <w:tr w:rsidR="00213131" w:rsidRPr="004D7A72" w14:paraId="7F61D2F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5" w:type="dxa"/>
                  <w:gridSpan w:val="2"/>
                  <w:tcBorders>
                    <w:top w:val="nil"/>
                    <w:left w:val="nil"/>
                    <w:bottom w:val="nil"/>
                    <w:right w:val="nil"/>
                    <w:tl2br w:val="nil"/>
                    <w:tr2bl w:val="nil"/>
                  </w:tcBorders>
                  <w:shd w:val="clear" w:color="auto" w:fill="auto"/>
                  <w:tcMar>
                    <w:left w:w="0" w:type="dxa"/>
                    <w:right w:w="0" w:type="dxa"/>
                  </w:tcMar>
                  <w:vAlign w:val="bottom"/>
                </w:tcPr>
                <w:p w14:paraId="6832B9D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D10ABF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3A1554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F507FA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2E3DBF6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1E4797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514495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64E14D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2C81BF6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8991A8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49C734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0FF65C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0EF537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860BD9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257064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F98AE4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7B8789F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5" w:type="dxa"/>
                  <w:gridSpan w:val="2"/>
                  <w:tcBorders>
                    <w:top w:val="nil"/>
                    <w:left w:val="nil"/>
                    <w:bottom w:val="nil"/>
                    <w:right w:val="nil"/>
                    <w:tl2br w:val="nil"/>
                    <w:tr2bl w:val="nil"/>
                  </w:tcBorders>
                  <w:shd w:val="clear" w:color="auto" w:fill="auto"/>
                  <w:tcMar>
                    <w:left w:w="40" w:type="dxa"/>
                    <w:right w:w="40" w:type="dxa"/>
                  </w:tcMar>
                  <w:vAlign w:val="bottom"/>
                </w:tcPr>
                <w:p w14:paraId="66E87A3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Profit (loss) of operating segments</w:t>
                  </w: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7FA6953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524</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4B7EA2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E9F900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96</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A6406B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A61CB6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110</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4C622F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03815B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67</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22A5682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3E9A01E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548C5C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3D9281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CE47D7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4ADCFB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394</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B05793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40" w:type="dxa"/>
                    <w:right w:w="175" w:type="dxa"/>
                  </w:tcMar>
                  <w:vAlign w:val="bottom"/>
                </w:tcPr>
                <w:p w14:paraId="1C080A8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1,199</w:t>
                  </w:r>
                </w:p>
              </w:tc>
            </w:tr>
            <w:tr w:rsidR="00213131" w:rsidRPr="004D7A72" w14:paraId="00F62AE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5" w:type="dxa"/>
                  <w:gridSpan w:val="2"/>
                  <w:tcBorders>
                    <w:top w:val="nil"/>
                    <w:left w:val="nil"/>
                    <w:bottom w:val="nil"/>
                    <w:right w:val="nil"/>
                    <w:tl2br w:val="nil"/>
                    <w:tr2bl w:val="nil"/>
                  </w:tcBorders>
                  <w:shd w:val="clear" w:color="auto" w:fill="auto"/>
                  <w:tcMar>
                    <w:left w:w="0" w:type="dxa"/>
                    <w:right w:w="0" w:type="dxa"/>
                  </w:tcMar>
                  <w:vAlign w:val="bottom"/>
                </w:tcPr>
                <w:p w14:paraId="19C4D52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F31D59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5DAEF7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B20C51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336446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3E9C6C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A7AB69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0BB04C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1B375A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CB4567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D65D6D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6EEE39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59F207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4ADE0B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D933BE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46CE76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5CABF81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5" w:type="dxa"/>
                  <w:gridSpan w:val="2"/>
                  <w:tcBorders>
                    <w:top w:val="nil"/>
                    <w:left w:val="nil"/>
                    <w:bottom w:val="nil"/>
                    <w:right w:val="nil"/>
                    <w:tl2br w:val="nil"/>
                    <w:tr2bl w:val="nil"/>
                  </w:tcBorders>
                  <w:shd w:val="clear" w:color="auto" w:fill="auto"/>
                  <w:tcMar>
                    <w:left w:w="40" w:type="dxa"/>
                    <w:right w:w="40" w:type="dxa"/>
                  </w:tcMar>
                  <w:vAlign w:val="bottom"/>
                </w:tcPr>
                <w:p w14:paraId="7ED849D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Financing expenses, net</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A949A5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1F2B31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6CD098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2F3D5F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F642E9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15CF44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6135CE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FDEA93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C0E3A1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8D6293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AF70B2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274970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DD31E7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743BDB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CD258F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(573)</w:t>
                  </w:r>
                </w:p>
              </w:tc>
            </w:tr>
            <w:tr w:rsidR="00213131" w:rsidRPr="004D7A72" w14:paraId="5D43D66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4C5A381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75" w:type="dxa"/>
                  <w:tcBorders>
                    <w:top w:val="nil"/>
                    <w:left w:val="nil"/>
                    <w:bottom w:val="nil"/>
                    <w:right w:val="nil"/>
                    <w:tl2br w:val="nil"/>
                    <w:tr2bl w:val="nil"/>
                  </w:tcBorders>
                  <w:shd w:val="clear" w:color="auto" w:fill="auto"/>
                  <w:tcMar>
                    <w:left w:w="0" w:type="dxa"/>
                    <w:right w:w="0" w:type="dxa"/>
                  </w:tcMar>
                  <w:vAlign w:val="bottom"/>
                </w:tcPr>
                <w:p w14:paraId="3C26B61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424E4E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66F3E0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4AA610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7598AB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12B261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F60D5C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0F657E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597620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B98A55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A0B218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8119FE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730C17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47B4D9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95DA09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7E73E0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3EEC599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105" w:type="dxa"/>
                  <w:gridSpan w:val="3"/>
                  <w:tcBorders>
                    <w:top w:val="nil"/>
                    <w:left w:val="nil"/>
                    <w:bottom w:val="nil"/>
                    <w:right w:val="nil"/>
                    <w:tl2br w:val="nil"/>
                    <w:tr2bl w:val="nil"/>
                  </w:tcBorders>
                  <w:shd w:val="clear" w:color="auto" w:fill="auto"/>
                  <w:tcMar>
                    <w:left w:w="40" w:type="dxa"/>
                    <w:right w:w="40" w:type="dxa"/>
                  </w:tcMar>
                  <w:vAlign w:val="bottom"/>
                </w:tcPr>
                <w:p w14:paraId="0E85264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Profit before taxes on income</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51A4B1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CC0386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541A3D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237147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61A183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21ED15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352B42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6D60E3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CEC29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B0E49D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E32A48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7DF95F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7889E9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7F38BE6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626</w:t>
                  </w:r>
                </w:p>
              </w:tc>
            </w:tr>
          </w:tbl>
          <w:p w14:paraId="0C34F0B6" w14:textId="77777777" w:rsidR="00213131" w:rsidRPr="004D7A72" w:rsidRDefault="00213131" w:rsidP="00A65A6F">
            <w:pPr>
              <w:rPr>
                <w:rFonts w:asciiTheme="majorBidi" w:hAnsiTheme="majorBidi" w:cstheme="majorBidi"/>
              </w:rPr>
            </w:pPr>
          </w:p>
        </w:tc>
      </w:tr>
    </w:tbl>
    <w:p w14:paraId="23AA0F05" w14:textId="77777777" w:rsidR="00213131" w:rsidRPr="004D7A72" w:rsidRDefault="00213131" w:rsidP="00213131">
      <w:pPr>
        <w:tabs>
          <w:tab w:val="left" w:pos="1133"/>
        </w:tabs>
        <w:contextualSpacing/>
        <w:rPr>
          <w:rFonts w:asciiTheme="majorBidi" w:hAnsiTheme="majorBidi" w:cstheme="majorBidi"/>
          <w:sz w:val="21"/>
          <w:szCs w:val="21"/>
          <w:rtl/>
        </w:rPr>
      </w:pPr>
    </w:p>
    <w:p w14:paraId="4E0EFEA5" w14:textId="77777777" w:rsidR="00213131" w:rsidRPr="004D7A72" w:rsidRDefault="00213131" w:rsidP="00213131">
      <w:pPr>
        <w:keepNext/>
        <w:tabs>
          <w:tab w:val="left" w:pos="1133"/>
        </w:tabs>
        <w:contextualSpacing/>
        <w:rPr>
          <w:rFonts w:asciiTheme="majorBidi" w:hAnsiTheme="majorBidi" w:cstheme="majorBidi"/>
          <w:sz w:val="21"/>
          <w:szCs w:val="21"/>
          <w:u w:val="single"/>
        </w:rPr>
      </w:pPr>
      <w:r w:rsidRPr="004D7A72">
        <w:rPr>
          <w:rFonts w:asciiTheme="majorBidi" w:hAnsiTheme="majorBidi" w:cstheme="majorBidi"/>
          <w:sz w:val="21"/>
          <w:u w:val="single"/>
        </w:rPr>
        <w:t>For the 6 months ended June 30,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tblGrid>
      <w:tr w:rsidR="00213131" w:rsidRPr="004D7A72" w14:paraId="43CDBF42" w14:textId="77777777" w:rsidTr="00A65A6F">
        <w:trPr>
          <w:cantSplit/>
        </w:trPr>
        <w:tc>
          <w:tcPr>
            <w:tcW w:w="9921" w:type="dxa"/>
          </w:tcPr>
          <w:tbl>
            <w:tblPr>
              <w:tblStyle w:val="CDMRange2"/>
              <w:tblW w:w="9930" w:type="dxa"/>
              <w:tblLook w:val="0600" w:firstRow="0" w:lastRow="0" w:firstColumn="0" w:lastColumn="0" w:noHBand="1" w:noVBand="1"/>
            </w:tblPr>
            <w:tblGrid>
              <w:gridCol w:w="275"/>
              <w:gridCol w:w="1656"/>
              <w:gridCol w:w="861"/>
              <w:gridCol w:w="141"/>
              <w:gridCol w:w="860"/>
              <w:gridCol w:w="140"/>
              <w:gridCol w:w="860"/>
              <w:gridCol w:w="140"/>
              <w:gridCol w:w="860"/>
              <w:gridCol w:w="140"/>
              <w:gridCol w:w="860"/>
              <w:gridCol w:w="140"/>
              <w:gridCol w:w="860"/>
              <w:gridCol w:w="140"/>
              <w:gridCol w:w="912"/>
              <w:gridCol w:w="140"/>
              <w:gridCol w:w="938"/>
            </w:tblGrid>
            <w:tr w:rsidR="00213131" w:rsidRPr="004D7A72" w14:paraId="0BC6F61A" w14:textId="77777777" w:rsidTr="00A65A6F">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304BD2E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75" w:type="dxa"/>
                  <w:tcBorders>
                    <w:top w:val="nil"/>
                    <w:left w:val="nil"/>
                    <w:bottom w:val="nil"/>
                    <w:right w:val="nil"/>
                    <w:tl2br w:val="nil"/>
                    <w:tr2bl w:val="nil"/>
                  </w:tcBorders>
                  <w:shd w:val="clear" w:color="auto" w:fill="auto"/>
                  <w:tcMar>
                    <w:left w:w="0" w:type="dxa"/>
                    <w:right w:w="0" w:type="dxa"/>
                  </w:tcMar>
                  <w:vAlign w:val="bottom"/>
                </w:tcPr>
                <w:p w14:paraId="67E62B3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041524F8"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Northern Europe</w:t>
                  </w:r>
                </w:p>
              </w:tc>
              <w:tc>
                <w:tcPr>
                  <w:tcW w:w="45" w:type="dxa"/>
                  <w:tcBorders>
                    <w:top w:val="nil"/>
                    <w:left w:val="nil"/>
                    <w:bottom w:val="nil"/>
                    <w:right w:val="nil"/>
                    <w:tl2br w:val="nil"/>
                    <w:tr2bl w:val="nil"/>
                  </w:tcBorders>
                  <w:shd w:val="clear" w:color="auto" w:fill="auto"/>
                  <w:tcMar>
                    <w:left w:w="0" w:type="dxa"/>
                    <w:right w:w="0" w:type="dxa"/>
                  </w:tcMar>
                  <w:vAlign w:val="bottom"/>
                </w:tcPr>
                <w:p w14:paraId="3A37E9DA"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0E132D09"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Central and Eastern Europe</w:t>
                  </w:r>
                </w:p>
              </w:tc>
              <w:tc>
                <w:tcPr>
                  <w:tcW w:w="45" w:type="dxa"/>
                  <w:tcBorders>
                    <w:top w:val="nil"/>
                    <w:left w:val="nil"/>
                    <w:bottom w:val="nil"/>
                    <w:right w:val="nil"/>
                    <w:tl2br w:val="nil"/>
                    <w:tr2bl w:val="nil"/>
                  </w:tcBorders>
                  <w:shd w:val="clear" w:color="auto" w:fill="auto"/>
                  <w:tcMar>
                    <w:left w:w="0" w:type="dxa"/>
                    <w:right w:w="0" w:type="dxa"/>
                  </w:tcMar>
                  <w:vAlign w:val="bottom"/>
                </w:tcPr>
                <w:p w14:paraId="10B367C6"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4DA0BE91"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Israel</w:t>
                  </w:r>
                </w:p>
              </w:tc>
              <w:tc>
                <w:tcPr>
                  <w:tcW w:w="45" w:type="dxa"/>
                  <w:tcBorders>
                    <w:top w:val="nil"/>
                    <w:left w:val="nil"/>
                    <w:bottom w:val="nil"/>
                    <w:right w:val="nil"/>
                    <w:tl2br w:val="nil"/>
                    <w:tr2bl w:val="nil"/>
                  </w:tcBorders>
                  <w:shd w:val="clear" w:color="auto" w:fill="auto"/>
                  <w:tcMar>
                    <w:left w:w="0" w:type="dxa"/>
                    <w:right w:w="0" w:type="dxa"/>
                  </w:tcMar>
                  <w:vAlign w:val="bottom"/>
                </w:tcPr>
                <w:p w14:paraId="2ABB9DE3"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7AA4E5CD"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Brazil</w:t>
                  </w:r>
                </w:p>
              </w:tc>
              <w:tc>
                <w:tcPr>
                  <w:tcW w:w="45" w:type="dxa"/>
                  <w:tcBorders>
                    <w:top w:val="nil"/>
                    <w:left w:val="nil"/>
                    <w:bottom w:val="nil"/>
                    <w:right w:val="nil"/>
                    <w:tl2br w:val="nil"/>
                    <w:tr2bl w:val="nil"/>
                  </w:tcBorders>
                  <w:shd w:val="clear" w:color="auto" w:fill="auto"/>
                  <w:tcMar>
                    <w:left w:w="0" w:type="dxa"/>
                    <w:right w:w="0" w:type="dxa"/>
                  </w:tcMar>
                  <w:vAlign w:val="bottom"/>
                </w:tcPr>
                <w:p w14:paraId="2310EF99"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5BC47974"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USA</w:t>
                  </w:r>
                </w:p>
              </w:tc>
              <w:tc>
                <w:tcPr>
                  <w:tcW w:w="45" w:type="dxa"/>
                  <w:tcBorders>
                    <w:top w:val="nil"/>
                    <w:left w:val="nil"/>
                    <w:bottom w:val="nil"/>
                    <w:right w:val="nil"/>
                    <w:tl2br w:val="nil"/>
                    <w:tr2bl w:val="nil"/>
                  </w:tcBorders>
                  <w:shd w:val="clear" w:color="auto" w:fill="auto"/>
                  <w:tcMar>
                    <w:left w:w="0" w:type="dxa"/>
                    <w:right w:w="0" w:type="dxa"/>
                  </w:tcMar>
                  <w:vAlign w:val="bottom"/>
                </w:tcPr>
                <w:p w14:paraId="1B742BD0"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52C187C7"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Other segments</w:t>
                  </w:r>
                </w:p>
              </w:tc>
              <w:tc>
                <w:tcPr>
                  <w:tcW w:w="45" w:type="dxa"/>
                  <w:tcBorders>
                    <w:top w:val="nil"/>
                    <w:left w:val="nil"/>
                    <w:bottom w:val="nil"/>
                    <w:right w:val="nil"/>
                    <w:tl2br w:val="nil"/>
                    <w:tr2bl w:val="nil"/>
                  </w:tcBorders>
                  <w:shd w:val="clear" w:color="auto" w:fill="auto"/>
                  <w:tcMar>
                    <w:left w:w="0" w:type="dxa"/>
                    <w:right w:w="0" w:type="dxa"/>
                  </w:tcMar>
                  <w:vAlign w:val="bottom"/>
                </w:tcPr>
                <w:p w14:paraId="6582C67E"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6505AA82"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Adjustments to consolidated</w:t>
                  </w:r>
                </w:p>
              </w:tc>
              <w:tc>
                <w:tcPr>
                  <w:tcW w:w="45" w:type="dxa"/>
                  <w:tcBorders>
                    <w:top w:val="nil"/>
                    <w:left w:val="nil"/>
                    <w:bottom w:val="nil"/>
                    <w:right w:val="nil"/>
                    <w:tl2br w:val="nil"/>
                    <w:tr2bl w:val="nil"/>
                  </w:tcBorders>
                  <w:shd w:val="clear" w:color="auto" w:fill="auto"/>
                  <w:tcMar>
                    <w:left w:w="0" w:type="dxa"/>
                    <w:right w:w="0" w:type="dxa"/>
                  </w:tcMar>
                  <w:vAlign w:val="bottom"/>
                </w:tcPr>
                <w:p w14:paraId="256B3C28"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1DEF98D5"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Consolidated</w:t>
                  </w:r>
                </w:p>
              </w:tc>
            </w:tr>
            <w:tr w:rsidR="00213131" w:rsidRPr="004D7A72" w14:paraId="5B00651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6ADC0B4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75" w:type="dxa"/>
                  <w:tcBorders>
                    <w:top w:val="nil"/>
                    <w:left w:val="nil"/>
                    <w:bottom w:val="nil"/>
                    <w:right w:val="nil"/>
                    <w:tl2br w:val="nil"/>
                    <w:tr2bl w:val="nil"/>
                  </w:tcBorders>
                  <w:shd w:val="clear" w:color="auto" w:fill="auto"/>
                  <w:tcMar>
                    <w:left w:w="0" w:type="dxa"/>
                    <w:right w:w="0" w:type="dxa"/>
                  </w:tcMar>
                  <w:vAlign w:val="bottom"/>
                </w:tcPr>
                <w:p w14:paraId="16AA6A3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7755" w:type="dxa"/>
                  <w:gridSpan w:val="15"/>
                  <w:tcBorders>
                    <w:top w:val="nil"/>
                    <w:left w:val="nil"/>
                    <w:bottom w:val="single" w:sz="4" w:space="0" w:color="000000"/>
                    <w:right w:val="nil"/>
                    <w:tl2br w:val="nil"/>
                    <w:tr2bl w:val="nil"/>
                  </w:tcBorders>
                  <w:shd w:val="clear" w:color="auto" w:fill="auto"/>
                  <w:tcMar>
                    <w:left w:w="40" w:type="dxa"/>
                    <w:right w:w="40" w:type="dxa"/>
                  </w:tcMar>
                  <w:vAlign w:val="bottom"/>
                </w:tcPr>
                <w:p w14:paraId="22BA2A95"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Unaudited</w:t>
                  </w:r>
                </w:p>
              </w:tc>
            </w:tr>
            <w:tr w:rsidR="00213131" w:rsidRPr="004D7A72" w14:paraId="12A283A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3933818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75" w:type="dxa"/>
                  <w:tcBorders>
                    <w:top w:val="nil"/>
                    <w:left w:val="nil"/>
                    <w:bottom w:val="nil"/>
                    <w:right w:val="nil"/>
                    <w:tl2br w:val="nil"/>
                    <w:tr2bl w:val="nil"/>
                  </w:tcBorders>
                  <w:shd w:val="clear" w:color="auto" w:fill="auto"/>
                  <w:tcMar>
                    <w:left w:w="0" w:type="dxa"/>
                    <w:right w:w="0" w:type="dxa"/>
                  </w:tcMar>
                  <w:vAlign w:val="bottom"/>
                </w:tcPr>
                <w:p w14:paraId="07FC947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7755" w:type="dxa"/>
                  <w:gridSpan w:val="15"/>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FD7BE0A"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NIS million</w:t>
                  </w:r>
                </w:p>
              </w:tc>
            </w:tr>
            <w:tr w:rsidR="00213131" w:rsidRPr="004D7A72" w14:paraId="7E30FFD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5" w:type="dxa"/>
                  <w:gridSpan w:val="2"/>
                  <w:tcBorders>
                    <w:top w:val="nil"/>
                    <w:left w:val="nil"/>
                    <w:bottom w:val="nil"/>
                    <w:right w:val="nil"/>
                    <w:tl2br w:val="nil"/>
                    <w:tr2bl w:val="nil"/>
                  </w:tcBorders>
                  <w:shd w:val="clear" w:color="auto" w:fill="auto"/>
                  <w:tcMar>
                    <w:left w:w="40" w:type="dxa"/>
                    <w:right w:w="40" w:type="dxa"/>
                  </w:tcMar>
                  <w:vAlign w:val="bottom"/>
                </w:tcPr>
                <w:p w14:paraId="7FA1D85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Segment revenues</w:t>
                  </w: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7EF460C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585</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032C6D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702A6E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341</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BCAD23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2EEFD42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138</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1AB01A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586C79C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100</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488B40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1B6EC67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71</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3BF670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0DFE45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19</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8488A7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1F3F5E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(65)</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72D8B7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594D1BD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1,189</w:t>
                  </w:r>
                </w:p>
              </w:tc>
            </w:tr>
            <w:tr w:rsidR="00213131" w:rsidRPr="004D7A72" w14:paraId="21C0D78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5" w:type="dxa"/>
                  <w:gridSpan w:val="2"/>
                  <w:tcBorders>
                    <w:top w:val="nil"/>
                    <w:left w:val="nil"/>
                    <w:bottom w:val="nil"/>
                    <w:right w:val="nil"/>
                    <w:tl2br w:val="nil"/>
                    <w:tr2bl w:val="nil"/>
                  </w:tcBorders>
                  <w:shd w:val="clear" w:color="auto" w:fill="auto"/>
                  <w:tcMar>
                    <w:left w:w="0" w:type="dxa"/>
                    <w:right w:w="0" w:type="dxa"/>
                  </w:tcMar>
                  <w:vAlign w:val="bottom"/>
                </w:tcPr>
                <w:p w14:paraId="38D47A1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A5C457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0E24EF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4FBED9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FD6728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0F37EA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84DB01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768644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ADADC0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938DD6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5937E6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666280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819E41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44F260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2B71FFA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F699D3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311F12E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175" w:type="dxa"/>
                  <w:gridSpan w:val="2"/>
                  <w:tcBorders>
                    <w:top w:val="nil"/>
                    <w:left w:val="nil"/>
                    <w:bottom w:val="nil"/>
                    <w:right w:val="nil"/>
                    <w:tl2br w:val="nil"/>
                    <w:tr2bl w:val="nil"/>
                  </w:tcBorders>
                  <w:shd w:val="clear" w:color="auto" w:fill="auto"/>
                  <w:noWrap/>
                  <w:tcMar>
                    <w:left w:w="40" w:type="dxa"/>
                    <w:right w:w="40" w:type="dxa"/>
                  </w:tcMar>
                  <w:vAlign w:val="bottom"/>
                </w:tcPr>
                <w:p w14:paraId="7E19A87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Operating income, net</w:t>
                  </w: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395FD2B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388</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2C22897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400B12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232</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9985EC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57A15E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102</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7A6E53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8B3F52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85</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ACFA26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A96BBE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49</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3B2C53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C4488F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11</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C47A91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42E17F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(39)</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75A454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D21B4B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828</w:t>
                  </w:r>
                </w:p>
              </w:tc>
            </w:tr>
            <w:tr w:rsidR="00213131" w:rsidRPr="004D7A72" w14:paraId="4A5C4CA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5" w:type="dxa"/>
                  <w:gridSpan w:val="2"/>
                  <w:tcBorders>
                    <w:top w:val="nil"/>
                    <w:left w:val="nil"/>
                    <w:bottom w:val="nil"/>
                    <w:right w:val="nil"/>
                    <w:tl2br w:val="nil"/>
                    <w:tr2bl w:val="nil"/>
                  </w:tcBorders>
                  <w:shd w:val="clear" w:color="auto" w:fill="auto"/>
                  <w:tcMar>
                    <w:left w:w="0" w:type="dxa"/>
                    <w:right w:w="0" w:type="dxa"/>
                  </w:tcMar>
                  <w:vAlign w:val="bottom"/>
                </w:tcPr>
                <w:p w14:paraId="1025A8E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FCE40A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691FA4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93AC8C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F34B46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3F901B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2C4D6A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46C7FF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1760DC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8FA9BF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13D964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2BA722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25B994D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B8FB3B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2EDD1B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89229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1B204A1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5" w:type="dxa"/>
                  <w:gridSpan w:val="2"/>
                  <w:tcBorders>
                    <w:top w:val="nil"/>
                    <w:left w:val="nil"/>
                    <w:bottom w:val="nil"/>
                    <w:right w:val="nil"/>
                    <w:tl2br w:val="nil"/>
                    <w:tr2bl w:val="nil"/>
                  </w:tcBorders>
                  <w:shd w:val="clear" w:color="auto" w:fill="auto"/>
                  <w:tcMar>
                    <w:left w:w="40" w:type="dxa"/>
                    <w:right w:w="40" w:type="dxa"/>
                  </w:tcMar>
                  <w:vAlign w:val="bottom"/>
                </w:tcPr>
                <w:p w14:paraId="51F5DFA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Profit (loss) of operating segments</w:t>
                  </w: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0914DC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324</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162864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7BC6B66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(469)</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150480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FE776B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95</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DC29D0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E0EFF1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75</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05DF93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02D97B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39</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022ACF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7D53276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A1B52D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545D36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261</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2CBF36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40" w:type="dxa"/>
                    <w:right w:w="175" w:type="dxa"/>
                  </w:tcMar>
                  <w:vAlign w:val="bottom"/>
                </w:tcPr>
                <w:p w14:paraId="4545A03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333</w:t>
                  </w:r>
                </w:p>
              </w:tc>
            </w:tr>
            <w:tr w:rsidR="00213131" w:rsidRPr="004D7A72" w14:paraId="3BCB35F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5" w:type="dxa"/>
                  <w:gridSpan w:val="2"/>
                  <w:tcBorders>
                    <w:top w:val="nil"/>
                    <w:left w:val="nil"/>
                    <w:bottom w:val="nil"/>
                    <w:right w:val="nil"/>
                    <w:tl2br w:val="nil"/>
                    <w:tr2bl w:val="nil"/>
                  </w:tcBorders>
                  <w:shd w:val="clear" w:color="auto" w:fill="auto"/>
                  <w:tcMar>
                    <w:left w:w="0" w:type="dxa"/>
                    <w:right w:w="0" w:type="dxa"/>
                  </w:tcMar>
                  <w:vAlign w:val="bottom"/>
                </w:tcPr>
                <w:p w14:paraId="40C7A56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621581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83CD42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0A4A52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7619F9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734417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ABF60D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AF4162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1032A3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1775B7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AFCDC1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195365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452F12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CFAA34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656145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F57F12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1A556E0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5" w:type="dxa"/>
                  <w:gridSpan w:val="2"/>
                  <w:tcBorders>
                    <w:top w:val="nil"/>
                    <w:left w:val="nil"/>
                    <w:bottom w:val="nil"/>
                    <w:right w:val="nil"/>
                    <w:tl2br w:val="nil"/>
                    <w:tr2bl w:val="nil"/>
                  </w:tcBorders>
                  <w:shd w:val="clear" w:color="auto" w:fill="auto"/>
                  <w:tcMar>
                    <w:left w:w="40" w:type="dxa"/>
                    <w:right w:w="40" w:type="dxa"/>
                  </w:tcMar>
                  <w:vAlign w:val="bottom"/>
                </w:tcPr>
                <w:p w14:paraId="7DE1310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Financing expenses, net</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32372A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1F31E1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6D6C1A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7D1222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D18FCC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2A53AE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7D0772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377A32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FB9F6E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C42454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56784B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F5B197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4EE261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F38B52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D8A366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(596)</w:t>
                  </w:r>
                </w:p>
              </w:tc>
            </w:tr>
            <w:tr w:rsidR="00213131" w:rsidRPr="004D7A72" w14:paraId="1B04C4B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5A6AB1E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75" w:type="dxa"/>
                  <w:tcBorders>
                    <w:top w:val="nil"/>
                    <w:left w:val="nil"/>
                    <w:bottom w:val="nil"/>
                    <w:right w:val="nil"/>
                    <w:tl2br w:val="nil"/>
                    <w:tr2bl w:val="nil"/>
                  </w:tcBorders>
                  <w:shd w:val="clear" w:color="auto" w:fill="auto"/>
                  <w:tcMar>
                    <w:left w:w="0" w:type="dxa"/>
                    <w:right w:w="0" w:type="dxa"/>
                  </w:tcMar>
                  <w:vAlign w:val="bottom"/>
                </w:tcPr>
                <w:p w14:paraId="4A37969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19967D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530768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F40A67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E3FC3C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F46963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1FE800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B8316A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F0A3EF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71E929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AEBD89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4E027C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66346A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99944A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7EBEDB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10C96D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1ECBECF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105" w:type="dxa"/>
                  <w:gridSpan w:val="3"/>
                  <w:tcBorders>
                    <w:top w:val="nil"/>
                    <w:left w:val="nil"/>
                    <w:bottom w:val="nil"/>
                    <w:right w:val="nil"/>
                    <w:tl2br w:val="nil"/>
                    <w:tr2bl w:val="nil"/>
                  </w:tcBorders>
                  <w:shd w:val="clear" w:color="auto" w:fill="auto"/>
                  <w:tcMar>
                    <w:left w:w="40" w:type="dxa"/>
                    <w:right w:w="40" w:type="dxa"/>
                  </w:tcMar>
                  <w:vAlign w:val="bottom"/>
                </w:tcPr>
                <w:p w14:paraId="20FBD3A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Profit before income tax</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7F2D34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9A12EE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79220F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C07D95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42A5D4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849A29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BEE87D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8DE23E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D14958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9BA68B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F4FFF2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AFD8B9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BE0C75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94C4A5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(263)</w:t>
                  </w:r>
                </w:p>
              </w:tc>
            </w:tr>
          </w:tbl>
          <w:p w14:paraId="104F0DB6" w14:textId="77777777" w:rsidR="00213131" w:rsidRPr="004D7A72" w:rsidRDefault="00213131" w:rsidP="00A65A6F">
            <w:pPr>
              <w:rPr>
                <w:rFonts w:asciiTheme="majorBidi" w:hAnsiTheme="majorBidi" w:cstheme="majorBidi"/>
              </w:rPr>
            </w:pPr>
          </w:p>
        </w:tc>
      </w:tr>
    </w:tbl>
    <w:p w14:paraId="472F0D09" w14:textId="77777777" w:rsidR="00213131" w:rsidRPr="004D7A72" w:rsidRDefault="00213131" w:rsidP="00213131">
      <w:pPr>
        <w:tabs>
          <w:tab w:val="left" w:pos="1133"/>
        </w:tabs>
        <w:contextualSpacing/>
        <w:rPr>
          <w:rFonts w:asciiTheme="majorBidi" w:hAnsiTheme="majorBidi" w:cstheme="majorBidi"/>
          <w:sz w:val="21"/>
          <w:szCs w:val="21"/>
          <w:rtl/>
        </w:rPr>
      </w:pPr>
    </w:p>
    <w:p w14:paraId="7313E5BD" w14:textId="17F0E410" w:rsidR="00213131" w:rsidRPr="004D7A72" w:rsidRDefault="00213131" w:rsidP="00381355">
      <w:pPr>
        <w:keepNext/>
        <w:pageBreakBefore/>
        <w:contextualSpacing/>
        <w:outlineLvl w:val="3"/>
        <w:rPr>
          <w:rFonts w:asciiTheme="majorBidi" w:eastAsia="Calibri" w:hAnsiTheme="majorBidi" w:cstheme="majorBidi"/>
          <w:b/>
          <w:bCs/>
          <w:sz w:val="21"/>
          <w:szCs w:val="21"/>
        </w:rPr>
      </w:pPr>
      <w:r w:rsidRPr="004D7A72">
        <w:rPr>
          <w:rFonts w:asciiTheme="majorBidi" w:hAnsiTheme="majorBidi" w:cstheme="majorBidi"/>
          <w:b/>
          <w:sz w:val="21"/>
        </w:rPr>
        <w:lastRenderedPageBreak/>
        <w:t>N</w:t>
      </w:r>
      <w:r w:rsidR="00381355">
        <w:rPr>
          <w:rFonts w:asciiTheme="majorBidi" w:hAnsiTheme="majorBidi" w:cstheme="majorBidi"/>
          <w:b/>
          <w:sz w:val="21"/>
        </w:rPr>
        <w:t>ote</w:t>
      </w:r>
      <w:r w:rsidRPr="004D7A72">
        <w:rPr>
          <w:rFonts w:asciiTheme="majorBidi" w:hAnsiTheme="majorBidi" w:cstheme="majorBidi"/>
          <w:b/>
          <w:sz w:val="21"/>
        </w:rPr>
        <w:t xml:space="preserve"> 6 -</w:t>
      </w:r>
      <w:r w:rsidR="00381355">
        <w:rPr>
          <w:rFonts w:asciiTheme="majorBidi" w:hAnsiTheme="majorBidi" w:cstheme="majorBidi"/>
          <w:b/>
          <w:sz w:val="21"/>
        </w:rPr>
        <w:t xml:space="preserve"> </w:t>
      </w:r>
      <w:r w:rsidRPr="004D7A72">
        <w:rPr>
          <w:rFonts w:asciiTheme="majorBidi" w:hAnsiTheme="majorBidi" w:cstheme="majorBidi"/>
          <w:b/>
          <w:sz w:val="21"/>
        </w:rPr>
        <w:t>Operating Segments (contd.)</w:t>
      </w:r>
    </w:p>
    <w:p w14:paraId="5D616AD6" w14:textId="77777777" w:rsidR="00213131" w:rsidRPr="004D7A72" w:rsidRDefault="00213131" w:rsidP="00213131">
      <w:pPr>
        <w:keepNext/>
        <w:tabs>
          <w:tab w:val="left" w:pos="1133"/>
        </w:tabs>
        <w:contextualSpacing/>
        <w:rPr>
          <w:rFonts w:asciiTheme="majorBidi" w:hAnsiTheme="majorBidi" w:cstheme="majorBidi"/>
          <w:sz w:val="21"/>
          <w:szCs w:val="21"/>
          <w:u w:val="single"/>
        </w:rPr>
      </w:pPr>
      <w:r w:rsidRPr="004D7A72">
        <w:rPr>
          <w:rFonts w:asciiTheme="majorBidi" w:hAnsiTheme="majorBidi" w:cstheme="majorBidi"/>
          <w:sz w:val="21"/>
          <w:u w:val="single"/>
        </w:rPr>
        <w:t>For the 3 months ended June 30,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tblGrid>
      <w:tr w:rsidR="00213131" w:rsidRPr="004D7A72" w14:paraId="191A68FD" w14:textId="77777777" w:rsidTr="00A65A6F">
        <w:trPr>
          <w:cantSplit/>
        </w:trPr>
        <w:tc>
          <w:tcPr>
            <w:tcW w:w="9921" w:type="dxa"/>
          </w:tcPr>
          <w:tbl>
            <w:tblPr>
              <w:tblStyle w:val="CDMRange1"/>
              <w:tblW w:w="9915" w:type="dxa"/>
              <w:tblLook w:val="0600" w:firstRow="0" w:lastRow="0" w:firstColumn="0" w:lastColumn="0" w:noHBand="1" w:noVBand="1"/>
            </w:tblPr>
            <w:tblGrid>
              <w:gridCol w:w="274"/>
              <w:gridCol w:w="1645"/>
              <w:gridCol w:w="862"/>
              <w:gridCol w:w="140"/>
              <w:gridCol w:w="862"/>
              <w:gridCol w:w="140"/>
              <w:gridCol w:w="862"/>
              <w:gridCol w:w="140"/>
              <w:gridCol w:w="862"/>
              <w:gridCol w:w="140"/>
              <w:gridCol w:w="862"/>
              <w:gridCol w:w="140"/>
              <w:gridCol w:w="862"/>
              <w:gridCol w:w="140"/>
              <w:gridCol w:w="913"/>
              <w:gridCol w:w="140"/>
              <w:gridCol w:w="939"/>
            </w:tblGrid>
            <w:tr w:rsidR="00213131" w:rsidRPr="004D7A72" w14:paraId="65A48DE0" w14:textId="77777777" w:rsidTr="00A65A6F">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7D4C723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60" w:type="dxa"/>
                  <w:tcBorders>
                    <w:top w:val="nil"/>
                    <w:left w:val="nil"/>
                    <w:bottom w:val="nil"/>
                    <w:right w:val="nil"/>
                    <w:tl2br w:val="nil"/>
                    <w:tr2bl w:val="nil"/>
                  </w:tcBorders>
                  <w:shd w:val="clear" w:color="auto" w:fill="auto"/>
                  <w:tcMar>
                    <w:left w:w="0" w:type="dxa"/>
                    <w:right w:w="0" w:type="dxa"/>
                  </w:tcMar>
                  <w:vAlign w:val="bottom"/>
                </w:tcPr>
                <w:p w14:paraId="78C6F6C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03F63D16"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Northern Europe</w:t>
                  </w:r>
                </w:p>
              </w:tc>
              <w:tc>
                <w:tcPr>
                  <w:tcW w:w="45" w:type="dxa"/>
                  <w:tcBorders>
                    <w:top w:val="nil"/>
                    <w:left w:val="nil"/>
                    <w:bottom w:val="nil"/>
                    <w:right w:val="nil"/>
                    <w:tl2br w:val="nil"/>
                    <w:tr2bl w:val="nil"/>
                  </w:tcBorders>
                  <w:shd w:val="clear" w:color="auto" w:fill="auto"/>
                  <w:tcMar>
                    <w:left w:w="0" w:type="dxa"/>
                    <w:right w:w="0" w:type="dxa"/>
                  </w:tcMar>
                  <w:vAlign w:val="bottom"/>
                </w:tcPr>
                <w:p w14:paraId="18923429"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3BE7C117"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Central Europe</w:t>
                  </w:r>
                </w:p>
              </w:tc>
              <w:tc>
                <w:tcPr>
                  <w:tcW w:w="45" w:type="dxa"/>
                  <w:tcBorders>
                    <w:top w:val="nil"/>
                    <w:left w:val="nil"/>
                    <w:bottom w:val="nil"/>
                    <w:right w:val="nil"/>
                    <w:tl2br w:val="nil"/>
                    <w:tr2bl w:val="nil"/>
                  </w:tcBorders>
                  <w:shd w:val="clear" w:color="auto" w:fill="auto"/>
                  <w:tcMar>
                    <w:left w:w="0" w:type="dxa"/>
                    <w:right w:w="0" w:type="dxa"/>
                  </w:tcMar>
                  <w:vAlign w:val="bottom"/>
                </w:tcPr>
                <w:p w14:paraId="44E77209"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7E0EA592"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Israel</w:t>
                  </w:r>
                </w:p>
              </w:tc>
              <w:tc>
                <w:tcPr>
                  <w:tcW w:w="45" w:type="dxa"/>
                  <w:tcBorders>
                    <w:top w:val="nil"/>
                    <w:left w:val="nil"/>
                    <w:bottom w:val="nil"/>
                    <w:right w:val="nil"/>
                    <w:tl2br w:val="nil"/>
                    <w:tr2bl w:val="nil"/>
                  </w:tcBorders>
                  <w:shd w:val="clear" w:color="auto" w:fill="auto"/>
                  <w:tcMar>
                    <w:left w:w="0" w:type="dxa"/>
                    <w:right w:w="0" w:type="dxa"/>
                  </w:tcMar>
                  <w:vAlign w:val="bottom"/>
                </w:tcPr>
                <w:p w14:paraId="12F2DE3C"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0A445195"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Brazil</w:t>
                  </w:r>
                </w:p>
              </w:tc>
              <w:tc>
                <w:tcPr>
                  <w:tcW w:w="45" w:type="dxa"/>
                  <w:tcBorders>
                    <w:top w:val="nil"/>
                    <w:left w:val="nil"/>
                    <w:bottom w:val="nil"/>
                    <w:right w:val="nil"/>
                    <w:tl2br w:val="nil"/>
                    <w:tr2bl w:val="nil"/>
                  </w:tcBorders>
                  <w:shd w:val="clear" w:color="auto" w:fill="auto"/>
                  <w:tcMar>
                    <w:left w:w="0" w:type="dxa"/>
                    <w:right w:w="0" w:type="dxa"/>
                  </w:tcMar>
                  <w:vAlign w:val="bottom"/>
                </w:tcPr>
                <w:p w14:paraId="79FA73ED"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183E5126"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USA</w:t>
                  </w:r>
                </w:p>
              </w:tc>
              <w:tc>
                <w:tcPr>
                  <w:tcW w:w="45" w:type="dxa"/>
                  <w:tcBorders>
                    <w:top w:val="nil"/>
                    <w:left w:val="nil"/>
                    <w:bottom w:val="nil"/>
                    <w:right w:val="nil"/>
                    <w:tl2br w:val="nil"/>
                    <w:tr2bl w:val="nil"/>
                  </w:tcBorders>
                  <w:shd w:val="clear" w:color="auto" w:fill="auto"/>
                  <w:tcMar>
                    <w:left w:w="0" w:type="dxa"/>
                    <w:right w:w="0" w:type="dxa"/>
                  </w:tcMar>
                  <w:vAlign w:val="bottom"/>
                </w:tcPr>
                <w:p w14:paraId="29BBD0A2"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253FA8AD"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Other segments</w:t>
                  </w:r>
                </w:p>
              </w:tc>
              <w:tc>
                <w:tcPr>
                  <w:tcW w:w="45" w:type="dxa"/>
                  <w:tcBorders>
                    <w:top w:val="nil"/>
                    <w:left w:val="nil"/>
                    <w:bottom w:val="nil"/>
                    <w:right w:val="nil"/>
                    <w:tl2br w:val="nil"/>
                    <w:tr2bl w:val="nil"/>
                  </w:tcBorders>
                  <w:shd w:val="clear" w:color="auto" w:fill="auto"/>
                  <w:tcMar>
                    <w:left w:w="0" w:type="dxa"/>
                    <w:right w:w="0" w:type="dxa"/>
                  </w:tcMar>
                  <w:vAlign w:val="bottom"/>
                </w:tcPr>
                <w:p w14:paraId="1636B5D0"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4BE9B28C"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Adjustments to consolidated</w:t>
                  </w:r>
                </w:p>
              </w:tc>
              <w:tc>
                <w:tcPr>
                  <w:tcW w:w="45" w:type="dxa"/>
                  <w:tcBorders>
                    <w:top w:val="nil"/>
                    <w:left w:val="nil"/>
                    <w:bottom w:val="nil"/>
                    <w:right w:val="nil"/>
                    <w:tl2br w:val="nil"/>
                    <w:tr2bl w:val="nil"/>
                  </w:tcBorders>
                  <w:shd w:val="clear" w:color="auto" w:fill="auto"/>
                  <w:tcMar>
                    <w:left w:w="0" w:type="dxa"/>
                    <w:right w:w="0" w:type="dxa"/>
                  </w:tcMar>
                  <w:vAlign w:val="bottom"/>
                </w:tcPr>
                <w:p w14:paraId="5F73715C"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6AD0C1B8"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Consolidated</w:t>
                  </w:r>
                </w:p>
              </w:tc>
            </w:tr>
            <w:tr w:rsidR="00213131" w:rsidRPr="004D7A72" w14:paraId="3AEF4C2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74E3C91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60" w:type="dxa"/>
                  <w:tcBorders>
                    <w:top w:val="nil"/>
                    <w:left w:val="nil"/>
                    <w:bottom w:val="nil"/>
                    <w:right w:val="nil"/>
                    <w:tl2br w:val="nil"/>
                    <w:tr2bl w:val="nil"/>
                  </w:tcBorders>
                  <w:shd w:val="clear" w:color="auto" w:fill="auto"/>
                  <w:tcMar>
                    <w:left w:w="0" w:type="dxa"/>
                    <w:right w:w="0" w:type="dxa"/>
                  </w:tcMar>
                  <w:vAlign w:val="bottom"/>
                </w:tcPr>
                <w:p w14:paraId="61A5E40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7755" w:type="dxa"/>
                  <w:gridSpan w:val="15"/>
                  <w:tcBorders>
                    <w:top w:val="nil"/>
                    <w:left w:val="nil"/>
                    <w:bottom w:val="single" w:sz="4" w:space="0" w:color="000000"/>
                    <w:right w:val="nil"/>
                    <w:tl2br w:val="nil"/>
                    <w:tr2bl w:val="nil"/>
                  </w:tcBorders>
                  <w:shd w:val="clear" w:color="auto" w:fill="auto"/>
                  <w:tcMar>
                    <w:left w:w="40" w:type="dxa"/>
                    <w:right w:w="40" w:type="dxa"/>
                  </w:tcMar>
                  <w:vAlign w:val="bottom"/>
                </w:tcPr>
                <w:p w14:paraId="3429996A"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Unaudited</w:t>
                  </w:r>
                </w:p>
              </w:tc>
            </w:tr>
            <w:tr w:rsidR="00213131" w:rsidRPr="004D7A72" w14:paraId="6DB67AE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094A3DE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60" w:type="dxa"/>
                  <w:tcBorders>
                    <w:top w:val="nil"/>
                    <w:left w:val="nil"/>
                    <w:bottom w:val="nil"/>
                    <w:right w:val="nil"/>
                    <w:tl2br w:val="nil"/>
                    <w:tr2bl w:val="nil"/>
                  </w:tcBorders>
                  <w:shd w:val="clear" w:color="auto" w:fill="auto"/>
                  <w:tcMar>
                    <w:left w:w="0" w:type="dxa"/>
                    <w:right w:w="0" w:type="dxa"/>
                  </w:tcMar>
                  <w:vAlign w:val="bottom"/>
                </w:tcPr>
                <w:p w14:paraId="0036964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7755" w:type="dxa"/>
                  <w:gridSpan w:val="15"/>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930BC59"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NIS million</w:t>
                  </w:r>
                </w:p>
              </w:tc>
            </w:tr>
            <w:tr w:rsidR="00213131" w:rsidRPr="004D7A72" w14:paraId="5579684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60" w:type="dxa"/>
                  <w:gridSpan w:val="2"/>
                  <w:tcBorders>
                    <w:top w:val="nil"/>
                    <w:left w:val="nil"/>
                    <w:bottom w:val="nil"/>
                    <w:right w:val="nil"/>
                    <w:tl2br w:val="nil"/>
                    <w:tr2bl w:val="nil"/>
                  </w:tcBorders>
                  <w:shd w:val="clear" w:color="auto" w:fill="auto"/>
                  <w:tcMar>
                    <w:left w:w="40" w:type="dxa"/>
                    <w:right w:w="40" w:type="dxa"/>
                  </w:tcMar>
                  <w:vAlign w:val="bottom"/>
                </w:tcPr>
                <w:p w14:paraId="0C95A63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Segment revenues</w:t>
                  </w: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417668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323</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0C4FFE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5099A62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143</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1889F7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15A0B3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88</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66C3FC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11D77B2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45</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29B5F8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DAD97C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39</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7A3F12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2766380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77F875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1277A33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(14)</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2BD5EE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05EFA42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632</w:t>
                  </w:r>
                </w:p>
              </w:tc>
            </w:tr>
            <w:tr w:rsidR="00213131" w:rsidRPr="004D7A72" w14:paraId="5CB1CF1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60" w:type="dxa"/>
                  <w:gridSpan w:val="2"/>
                  <w:tcBorders>
                    <w:top w:val="nil"/>
                    <w:left w:val="nil"/>
                    <w:bottom w:val="nil"/>
                    <w:right w:val="nil"/>
                    <w:tl2br w:val="nil"/>
                    <w:tr2bl w:val="nil"/>
                  </w:tcBorders>
                  <w:shd w:val="clear" w:color="auto" w:fill="auto"/>
                  <w:tcMar>
                    <w:left w:w="0" w:type="dxa"/>
                    <w:right w:w="0" w:type="dxa"/>
                  </w:tcMar>
                  <w:vAlign w:val="bottom"/>
                </w:tcPr>
                <w:p w14:paraId="2DA1314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BED067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F1E564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9E1BBF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3F4AD1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CA1851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B7C1B4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3301F2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829091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94FA2D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F26BB8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BF5882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574428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828845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569D4E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819467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5C940CB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160" w:type="dxa"/>
                  <w:gridSpan w:val="2"/>
                  <w:tcBorders>
                    <w:top w:val="nil"/>
                    <w:left w:val="nil"/>
                    <w:bottom w:val="nil"/>
                    <w:right w:val="nil"/>
                    <w:tl2br w:val="nil"/>
                    <w:tr2bl w:val="nil"/>
                  </w:tcBorders>
                  <w:shd w:val="clear" w:color="auto" w:fill="auto"/>
                  <w:noWrap/>
                  <w:tcMar>
                    <w:left w:w="40" w:type="dxa"/>
                    <w:right w:w="40" w:type="dxa"/>
                  </w:tcMar>
                  <w:vAlign w:val="bottom"/>
                </w:tcPr>
                <w:p w14:paraId="2C62D9E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Operating income, net </w:t>
                  </w: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74F763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219</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E773EB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FAE2D2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100</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806107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BB1CDF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61</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F3658F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2FEC6A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36</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316E75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0B651E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26</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D6FB14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0EF9CE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362E35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3B78A5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(9)</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344203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795100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438</w:t>
                  </w:r>
                </w:p>
              </w:tc>
            </w:tr>
            <w:tr w:rsidR="00213131" w:rsidRPr="004D7A72" w14:paraId="3AAAB9F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60" w:type="dxa"/>
                  <w:gridSpan w:val="2"/>
                  <w:tcBorders>
                    <w:top w:val="nil"/>
                    <w:left w:val="nil"/>
                    <w:bottom w:val="nil"/>
                    <w:right w:val="nil"/>
                    <w:tl2br w:val="nil"/>
                    <w:tr2bl w:val="nil"/>
                  </w:tcBorders>
                  <w:shd w:val="clear" w:color="auto" w:fill="auto"/>
                  <w:tcMar>
                    <w:left w:w="0" w:type="dxa"/>
                    <w:right w:w="0" w:type="dxa"/>
                  </w:tcMar>
                  <w:vAlign w:val="bottom"/>
                </w:tcPr>
                <w:p w14:paraId="36B9DB1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31619A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1E30CE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E72258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C1757D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691566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0AC86F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5C2412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84AD22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96C3AB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814780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44EB68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ABD6C8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FF8565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514703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C22B5F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122D4BE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60" w:type="dxa"/>
                  <w:gridSpan w:val="2"/>
                  <w:tcBorders>
                    <w:top w:val="nil"/>
                    <w:left w:val="nil"/>
                    <w:bottom w:val="nil"/>
                    <w:right w:val="nil"/>
                    <w:tl2br w:val="nil"/>
                    <w:tr2bl w:val="nil"/>
                  </w:tcBorders>
                  <w:shd w:val="clear" w:color="auto" w:fill="auto"/>
                  <w:tcMar>
                    <w:left w:w="40" w:type="dxa"/>
                    <w:right w:w="40" w:type="dxa"/>
                  </w:tcMar>
                  <w:vAlign w:val="bottom"/>
                </w:tcPr>
                <w:p w14:paraId="42AD034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Profit of operating segments</w:t>
                  </w: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263D71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185</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B3F89D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F96BF1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97</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52DAD9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346A858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70</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592556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9E4235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32</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02BC9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7AEB412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20</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2E2E6AC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5C31B6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8FF005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9BD76E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407</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4875F9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40" w:type="dxa"/>
                    <w:right w:w="175" w:type="dxa"/>
                  </w:tcMar>
                  <w:vAlign w:val="bottom"/>
                </w:tcPr>
                <w:p w14:paraId="286A543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815</w:t>
                  </w:r>
                </w:p>
              </w:tc>
            </w:tr>
            <w:tr w:rsidR="00213131" w:rsidRPr="004D7A72" w14:paraId="0437A05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60" w:type="dxa"/>
                  <w:gridSpan w:val="2"/>
                  <w:tcBorders>
                    <w:top w:val="nil"/>
                    <w:left w:val="nil"/>
                    <w:bottom w:val="nil"/>
                    <w:right w:val="nil"/>
                    <w:tl2br w:val="nil"/>
                    <w:tr2bl w:val="nil"/>
                  </w:tcBorders>
                  <w:shd w:val="clear" w:color="auto" w:fill="auto"/>
                  <w:tcMar>
                    <w:left w:w="0" w:type="dxa"/>
                    <w:right w:w="0" w:type="dxa"/>
                  </w:tcMar>
                  <w:vAlign w:val="bottom"/>
                </w:tcPr>
                <w:p w14:paraId="6EC482F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3E0956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9D10E8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4261C2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513650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4179B5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8AFB56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7CFAF0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57A5B4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20BEA5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E29CCB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49F82D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66B3D5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B1CCDC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B102F3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6EFAFC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4D9A313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60" w:type="dxa"/>
                  <w:gridSpan w:val="2"/>
                  <w:tcBorders>
                    <w:top w:val="nil"/>
                    <w:left w:val="nil"/>
                    <w:bottom w:val="nil"/>
                    <w:right w:val="nil"/>
                    <w:tl2br w:val="nil"/>
                    <w:tr2bl w:val="nil"/>
                  </w:tcBorders>
                  <w:shd w:val="clear" w:color="auto" w:fill="auto"/>
                  <w:tcMar>
                    <w:left w:w="40" w:type="dxa"/>
                    <w:right w:w="40" w:type="dxa"/>
                  </w:tcMar>
                  <w:vAlign w:val="bottom"/>
                </w:tcPr>
                <w:p w14:paraId="650E054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Financing expenses, net</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5EDB4C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B3C5E4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5F8AD0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013592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14F5AE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C5EF27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18868A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9242CC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BD5D0A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4B1E5F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7D00C0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36A0D1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685B73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2D2EDA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0F3373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(319)</w:t>
                  </w:r>
                </w:p>
              </w:tc>
            </w:tr>
            <w:tr w:rsidR="00213131" w:rsidRPr="004D7A72" w14:paraId="13A6BFB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2F5FDF7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60" w:type="dxa"/>
                  <w:tcBorders>
                    <w:top w:val="nil"/>
                    <w:left w:val="nil"/>
                    <w:bottom w:val="nil"/>
                    <w:right w:val="nil"/>
                    <w:tl2br w:val="nil"/>
                    <w:tr2bl w:val="nil"/>
                  </w:tcBorders>
                  <w:shd w:val="clear" w:color="auto" w:fill="auto"/>
                  <w:tcMar>
                    <w:left w:w="0" w:type="dxa"/>
                    <w:right w:w="0" w:type="dxa"/>
                  </w:tcMar>
                  <w:vAlign w:val="bottom"/>
                </w:tcPr>
                <w:p w14:paraId="0C0C4D5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F00DC0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F05B9F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9BBB56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12C3D7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93EC56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8283C6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AA27E3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6D1817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E60788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5FC21F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4AFDB8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986430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EC6541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994A33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6472D6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36FE5A7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90" w:type="dxa"/>
                  <w:gridSpan w:val="3"/>
                  <w:tcBorders>
                    <w:top w:val="nil"/>
                    <w:left w:val="nil"/>
                    <w:bottom w:val="nil"/>
                    <w:right w:val="nil"/>
                    <w:tl2br w:val="nil"/>
                    <w:tr2bl w:val="nil"/>
                  </w:tcBorders>
                  <w:shd w:val="clear" w:color="auto" w:fill="auto"/>
                  <w:tcMar>
                    <w:left w:w="40" w:type="dxa"/>
                    <w:right w:w="40" w:type="dxa"/>
                  </w:tcMar>
                  <w:vAlign w:val="bottom"/>
                </w:tcPr>
                <w:p w14:paraId="7F1662E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Profit before taxes on income</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8DDA02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9549B8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DDE805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BEDCF8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D3F9D6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C85473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009CC9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2F9AA8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F0F93F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3AC814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BE7BDF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46F38F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9E866B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3B878C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496</w:t>
                  </w:r>
                </w:p>
              </w:tc>
            </w:tr>
          </w:tbl>
          <w:p w14:paraId="56E1377C" w14:textId="77777777" w:rsidR="00213131" w:rsidRPr="004D7A72" w:rsidRDefault="00213131" w:rsidP="00A65A6F">
            <w:pPr>
              <w:rPr>
                <w:rFonts w:asciiTheme="majorBidi" w:hAnsiTheme="majorBidi" w:cstheme="majorBidi"/>
              </w:rPr>
            </w:pPr>
          </w:p>
        </w:tc>
      </w:tr>
    </w:tbl>
    <w:p w14:paraId="253A7CB1" w14:textId="77777777" w:rsidR="00213131" w:rsidRPr="004D7A72" w:rsidRDefault="00213131" w:rsidP="00213131">
      <w:pPr>
        <w:tabs>
          <w:tab w:val="left" w:pos="1133"/>
        </w:tabs>
        <w:contextualSpacing/>
        <w:rPr>
          <w:rFonts w:asciiTheme="majorBidi" w:hAnsiTheme="majorBidi" w:cstheme="majorBidi"/>
          <w:sz w:val="21"/>
          <w:szCs w:val="21"/>
          <w:rtl/>
        </w:rPr>
      </w:pPr>
    </w:p>
    <w:p w14:paraId="4FCE506A" w14:textId="77777777" w:rsidR="00213131" w:rsidRPr="004D7A72" w:rsidRDefault="00213131" w:rsidP="00213131">
      <w:pPr>
        <w:keepNext/>
        <w:tabs>
          <w:tab w:val="left" w:pos="1133"/>
        </w:tabs>
        <w:contextualSpacing/>
        <w:rPr>
          <w:rFonts w:asciiTheme="majorBidi" w:hAnsiTheme="majorBidi" w:cstheme="majorBidi"/>
          <w:sz w:val="21"/>
          <w:szCs w:val="21"/>
          <w:u w:val="single"/>
        </w:rPr>
      </w:pPr>
      <w:r w:rsidRPr="004D7A72">
        <w:rPr>
          <w:rFonts w:asciiTheme="majorBidi" w:hAnsiTheme="majorBidi" w:cstheme="majorBidi"/>
          <w:sz w:val="21"/>
          <w:u w:val="single"/>
        </w:rPr>
        <w:t>For the 3 months ended June 30,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tblGrid>
      <w:tr w:rsidR="00213131" w:rsidRPr="004D7A72" w14:paraId="3FDB65E6" w14:textId="77777777" w:rsidTr="00A65A6F">
        <w:trPr>
          <w:cantSplit/>
        </w:trPr>
        <w:tc>
          <w:tcPr>
            <w:tcW w:w="9921" w:type="dxa"/>
          </w:tcPr>
          <w:tbl>
            <w:tblPr>
              <w:tblStyle w:val="CDMRange2"/>
              <w:tblW w:w="9945" w:type="dxa"/>
              <w:tblLook w:val="0600" w:firstRow="0" w:lastRow="0" w:firstColumn="0" w:lastColumn="0" w:noHBand="1" w:noVBand="1"/>
            </w:tblPr>
            <w:tblGrid>
              <w:gridCol w:w="275"/>
              <w:gridCol w:w="1666"/>
              <w:gridCol w:w="860"/>
              <w:gridCol w:w="140"/>
              <w:gridCol w:w="859"/>
              <w:gridCol w:w="140"/>
              <w:gridCol w:w="859"/>
              <w:gridCol w:w="140"/>
              <w:gridCol w:w="859"/>
              <w:gridCol w:w="140"/>
              <w:gridCol w:w="859"/>
              <w:gridCol w:w="140"/>
              <w:gridCol w:w="859"/>
              <w:gridCol w:w="140"/>
              <w:gridCol w:w="910"/>
              <w:gridCol w:w="140"/>
              <w:gridCol w:w="937"/>
            </w:tblGrid>
            <w:tr w:rsidR="00213131" w:rsidRPr="004D7A72" w14:paraId="164B1A20" w14:textId="77777777" w:rsidTr="00A65A6F">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38EFE29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90" w:type="dxa"/>
                  <w:tcBorders>
                    <w:top w:val="nil"/>
                    <w:left w:val="nil"/>
                    <w:bottom w:val="nil"/>
                    <w:right w:val="nil"/>
                    <w:tl2br w:val="nil"/>
                    <w:tr2bl w:val="nil"/>
                  </w:tcBorders>
                  <w:shd w:val="clear" w:color="auto" w:fill="auto"/>
                  <w:tcMar>
                    <w:left w:w="0" w:type="dxa"/>
                    <w:right w:w="0" w:type="dxa"/>
                  </w:tcMar>
                  <w:vAlign w:val="bottom"/>
                </w:tcPr>
                <w:p w14:paraId="65D4FD9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37118D48"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Northern Europe</w:t>
                  </w:r>
                </w:p>
              </w:tc>
              <w:tc>
                <w:tcPr>
                  <w:tcW w:w="45" w:type="dxa"/>
                  <w:tcBorders>
                    <w:top w:val="nil"/>
                    <w:left w:val="nil"/>
                    <w:bottom w:val="nil"/>
                    <w:right w:val="nil"/>
                    <w:tl2br w:val="nil"/>
                    <w:tr2bl w:val="nil"/>
                  </w:tcBorders>
                  <w:shd w:val="clear" w:color="auto" w:fill="auto"/>
                  <w:tcMar>
                    <w:left w:w="0" w:type="dxa"/>
                    <w:right w:w="0" w:type="dxa"/>
                  </w:tcMar>
                  <w:vAlign w:val="bottom"/>
                </w:tcPr>
                <w:p w14:paraId="3765CD90"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578BCEF3"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Central and Eastern Europe</w:t>
                  </w:r>
                </w:p>
              </w:tc>
              <w:tc>
                <w:tcPr>
                  <w:tcW w:w="45" w:type="dxa"/>
                  <w:tcBorders>
                    <w:top w:val="nil"/>
                    <w:left w:val="nil"/>
                    <w:bottom w:val="nil"/>
                    <w:right w:val="nil"/>
                    <w:tl2br w:val="nil"/>
                    <w:tr2bl w:val="nil"/>
                  </w:tcBorders>
                  <w:shd w:val="clear" w:color="auto" w:fill="auto"/>
                  <w:tcMar>
                    <w:left w:w="0" w:type="dxa"/>
                    <w:right w:w="0" w:type="dxa"/>
                  </w:tcMar>
                  <w:vAlign w:val="bottom"/>
                </w:tcPr>
                <w:p w14:paraId="298F1E9D"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72963ACF"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Israel</w:t>
                  </w:r>
                </w:p>
              </w:tc>
              <w:tc>
                <w:tcPr>
                  <w:tcW w:w="45" w:type="dxa"/>
                  <w:tcBorders>
                    <w:top w:val="nil"/>
                    <w:left w:val="nil"/>
                    <w:bottom w:val="nil"/>
                    <w:right w:val="nil"/>
                    <w:tl2br w:val="nil"/>
                    <w:tr2bl w:val="nil"/>
                  </w:tcBorders>
                  <w:shd w:val="clear" w:color="auto" w:fill="auto"/>
                  <w:tcMar>
                    <w:left w:w="0" w:type="dxa"/>
                    <w:right w:w="0" w:type="dxa"/>
                  </w:tcMar>
                  <w:vAlign w:val="bottom"/>
                </w:tcPr>
                <w:p w14:paraId="085B05DF"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26FCFA6E"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Brazil</w:t>
                  </w:r>
                </w:p>
              </w:tc>
              <w:tc>
                <w:tcPr>
                  <w:tcW w:w="45" w:type="dxa"/>
                  <w:tcBorders>
                    <w:top w:val="nil"/>
                    <w:left w:val="nil"/>
                    <w:bottom w:val="nil"/>
                    <w:right w:val="nil"/>
                    <w:tl2br w:val="nil"/>
                    <w:tr2bl w:val="nil"/>
                  </w:tcBorders>
                  <w:shd w:val="clear" w:color="auto" w:fill="auto"/>
                  <w:tcMar>
                    <w:left w:w="0" w:type="dxa"/>
                    <w:right w:w="0" w:type="dxa"/>
                  </w:tcMar>
                  <w:vAlign w:val="bottom"/>
                </w:tcPr>
                <w:p w14:paraId="52200D33"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32A7430E"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USA</w:t>
                  </w:r>
                </w:p>
              </w:tc>
              <w:tc>
                <w:tcPr>
                  <w:tcW w:w="45" w:type="dxa"/>
                  <w:tcBorders>
                    <w:top w:val="nil"/>
                    <w:left w:val="nil"/>
                    <w:bottom w:val="nil"/>
                    <w:right w:val="nil"/>
                    <w:tl2br w:val="nil"/>
                    <w:tr2bl w:val="nil"/>
                  </w:tcBorders>
                  <w:shd w:val="clear" w:color="auto" w:fill="auto"/>
                  <w:tcMar>
                    <w:left w:w="0" w:type="dxa"/>
                    <w:right w:w="0" w:type="dxa"/>
                  </w:tcMar>
                  <w:vAlign w:val="bottom"/>
                </w:tcPr>
                <w:p w14:paraId="55C44EA5"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6709F29F"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Other segments</w:t>
                  </w:r>
                </w:p>
              </w:tc>
              <w:tc>
                <w:tcPr>
                  <w:tcW w:w="45" w:type="dxa"/>
                  <w:tcBorders>
                    <w:top w:val="nil"/>
                    <w:left w:val="nil"/>
                    <w:bottom w:val="nil"/>
                    <w:right w:val="nil"/>
                    <w:tl2br w:val="nil"/>
                    <w:tr2bl w:val="nil"/>
                  </w:tcBorders>
                  <w:shd w:val="clear" w:color="auto" w:fill="auto"/>
                  <w:tcMar>
                    <w:left w:w="0" w:type="dxa"/>
                    <w:right w:w="0" w:type="dxa"/>
                  </w:tcMar>
                  <w:vAlign w:val="bottom"/>
                </w:tcPr>
                <w:p w14:paraId="03ADA012"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36E29201"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Adjustments to consolidated</w:t>
                  </w:r>
                </w:p>
              </w:tc>
              <w:tc>
                <w:tcPr>
                  <w:tcW w:w="45" w:type="dxa"/>
                  <w:tcBorders>
                    <w:top w:val="nil"/>
                    <w:left w:val="nil"/>
                    <w:bottom w:val="nil"/>
                    <w:right w:val="nil"/>
                    <w:tl2br w:val="nil"/>
                    <w:tr2bl w:val="nil"/>
                  </w:tcBorders>
                  <w:shd w:val="clear" w:color="auto" w:fill="auto"/>
                  <w:tcMar>
                    <w:left w:w="0" w:type="dxa"/>
                    <w:right w:w="0" w:type="dxa"/>
                  </w:tcMar>
                  <w:vAlign w:val="bottom"/>
                </w:tcPr>
                <w:p w14:paraId="2D08046F"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279EE886"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Consolidated</w:t>
                  </w:r>
                </w:p>
              </w:tc>
            </w:tr>
            <w:tr w:rsidR="00213131" w:rsidRPr="004D7A72" w14:paraId="51AC7B6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5A35EF0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90" w:type="dxa"/>
                  <w:tcBorders>
                    <w:top w:val="nil"/>
                    <w:left w:val="nil"/>
                    <w:bottom w:val="nil"/>
                    <w:right w:val="nil"/>
                    <w:tl2br w:val="nil"/>
                    <w:tr2bl w:val="nil"/>
                  </w:tcBorders>
                  <w:shd w:val="clear" w:color="auto" w:fill="auto"/>
                  <w:tcMar>
                    <w:left w:w="0" w:type="dxa"/>
                    <w:right w:w="0" w:type="dxa"/>
                  </w:tcMar>
                  <w:vAlign w:val="bottom"/>
                </w:tcPr>
                <w:p w14:paraId="621EC7B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7755" w:type="dxa"/>
                  <w:gridSpan w:val="15"/>
                  <w:tcBorders>
                    <w:top w:val="nil"/>
                    <w:left w:val="nil"/>
                    <w:bottom w:val="single" w:sz="4" w:space="0" w:color="000000"/>
                    <w:right w:val="nil"/>
                    <w:tl2br w:val="nil"/>
                    <w:tr2bl w:val="nil"/>
                  </w:tcBorders>
                  <w:shd w:val="clear" w:color="auto" w:fill="auto"/>
                  <w:tcMar>
                    <w:left w:w="40" w:type="dxa"/>
                    <w:right w:w="40" w:type="dxa"/>
                  </w:tcMar>
                  <w:vAlign w:val="bottom"/>
                </w:tcPr>
                <w:p w14:paraId="51E17759"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Unaudited</w:t>
                  </w:r>
                </w:p>
              </w:tc>
            </w:tr>
            <w:tr w:rsidR="00213131" w:rsidRPr="004D7A72" w14:paraId="670D10B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61080C9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90" w:type="dxa"/>
                  <w:tcBorders>
                    <w:top w:val="nil"/>
                    <w:left w:val="nil"/>
                    <w:bottom w:val="nil"/>
                    <w:right w:val="nil"/>
                    <w:tl2br w:val="nil"/>
                    <w:tr2bl w:val="nil"/>
                  </w:tcBorders>
                  <w:shd w:val="clear" w:color="auto" w:fill="auto"/>
                  <w:tcMar>
                    <w:left w:w="0" w:type="dxa"/>
                    <w:right w:w="0" w:type="dxa"/>
                  </w:tcMar>
                  <w:vAlign w:val="bottom"/>
                </w:tcPr>
                <w:p w14:paraId="0CD7F0B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7755" w:type="dxa"/>
                  <w:gridSpan w:val="15"/>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339AF75"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NIS million</w:t>
                  </w:r>
                </w:p>
              </w:tc>
            </w:tr>
            <w:tr w:rsidR="00213131" w:rsidRPr="004D7A72" w14:paraId="598B0A4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90" w:type="dxa"/>
                  <w:gridSpan w:val="2"/>
                  <w:tcBorders>
                    <w:top w:val="nil"/>
                    <w:left w:val="nil"/>
                    <w:bottom w:val="nil"/>
                    <w:right w:val="nil"/>
                    <w:tl2br w:val="nil"/>
                    <w:tr2bl w:val="nil"/>
                  </w:tcBorders>
                  <w:shd w:val="clear" w:color="auto" w:fill="auto"/>
                  <w:tcMar>
                    <w:left w:w="40" w:type="dxa"/>
                    <w:right w:w="40" w:type="dxa"/>
                  </w:tcMar>
                  <w:vAlign w:val="bottom"/>
                </w:tcPr>
                <w:p w14:paraId="7B46336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Segment revenues</w:t>
                  </w: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4F30210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292</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471207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02F7D4F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153</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8B1F01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5D55169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67</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451C86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7080D2F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54</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929D0C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743C338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37</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4924AF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B53B08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11</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4A875C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1DBC00E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(29)</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07A958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09C8059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585</w:t>
                  </w:r>
                </w:p>
              </w:tc>
            </w:tr>
            <w:tr w:rsidR="00213131" w:rsidRPr="004D7A72" w14:paraId="2974168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90" w:type="dxa"/>
                  <w:gridSpan w:val="2"/>
                  <w:tcBorders>
                    <w:top w:val="nil"/>
                    <w:left w:val="nil"/>
                    <w:bottom w:val="nil"/>
                    <w:right w:val="nil"/>
                    <w:tl2br w:val="nil"/>
                    <w:tr2bl w:val="nil"/>
                  </w:tcBorders>
                  <w:shd w:val="clear" w:color="auto" w:fill="auto"/>
                  <w:tcMar>
                    <w:left w:w="0" w:type="dxa"/>
                    <w:right w:w="0" w:type="dxa"/>
                  </w:tcMar>
                  <w:vAlign w:val="bottom"/>
                </w:tcPr>
                <w:p w14:paraId="46164E3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0C44B1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581450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B4347E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F29977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9A4C5C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1449F2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099E9D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BADAF8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134C67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0AF4C1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0075F1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5D86AC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A83F65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38EDA2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A53BC8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04705B3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190" w:type="dxa"/>
                  <w:gridSpan w:val="2"/>
                  <w:tcBorders>
                    <w:top w:val="nil"/>
                    <w:left w:val="nil"/>
                    <w:bottom w:val="nil"/>
                    <w:right w:val="nil"/>
                    <w:tl2br w:val="nil"/>
                    <w:tr2bl w:val="nil"/>
                  </w:tcBorders>
                  <w:shd w:val="clear" w:color="auto" w:fill="auto"/>
                  <w:noWrap/>
                  <w:tcMar>
                    <w:left w:w="40" w:type="dxa"/>
                    <w:right w:w="40" w:type="dxa"/>
                  </w:tcMar>
                  <w:vAlign w:val="bottom"/>
                </w:tcPr>
                <w:p w14:paraId="6592101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Operating income, net </w:t>
                  </w: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F7F24C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200</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BB2E6D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94FC72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105</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4985B0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3E9851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49</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0A3CA3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691EB1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47</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6F57B7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28F875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26</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746C92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1A0974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8D80D5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3384327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(16)</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19209F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A94AAF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418</w:t>
                  </w:r>
                </w:p>
              </w:tc>
            </w:tr>
            <w:tr w:rsidR="00213131" w:rsidRPr="004D7A72" w14:paraId="429D305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90" w:type="dxa"/>
                  <w:gridSpan w:val="2"/>
                  <w:tcBorders>
                    <w:top w:val="nil"/>
                    <w:left w:val="nil"/>
                    <w:bottom w:val="nil"/>
                    <w:right w:val="nil"/>
                    <w:tl2br w:val="nil"/>
                    <w:tr2bl w:val="nil"/>
                  </w:tcBorders>
                  <w:shd w:val="clear" w:color="auto" w:fill="auto"/>
                  <w:tcMar>
                    <w:left w:w="0" w:type="dxa"/>
                    <w:right w:w="0" w:type="dxa"/>
                  </w:tcMar>
                  <w:vAlign w:val="bottom"/>
                </w:tcPr>
                <w:p w14:paraId="656731E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2F15EB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0CBE52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923E6D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215C54E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E31C04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5A9B9D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B4B050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80BF56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DD1EB1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934FBE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0B0438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51C5D5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C370DF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71F410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50D846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5F08566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90" w:type="dxa"/>
                  <w:gridSpan w:val="2"/>
                  <w:tcBorders>
                    <w:top w:val="nil"/>
                    <w:left w:val="nil"/>
                    <w:bottom w:val="nil"/>
                    <w:right w:val="nil"/>
                    <w:tl2br w:val="nil"/>
                    <w:tr2bl w:val="nil"/>
                  </w:tcBorders>
                  <w:shd w:val="clear" w:color="auto" w:fill="auto"/>
                  <w:tcMar>
                    <w:left w:w="40" w:type="dxa"/>
                    <w:right w:w="40" w:type="dxa"/>
                  </w:tcMar>
                  <w:vAlign w:val="bottom"/>
                </w:tcPr>
                <w:p w14:paraId="235574E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Profit (loss) of operating segments</w:t>
                  </w: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0723A8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174</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93B1B0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B882C1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(64)</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2112F3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84C892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46</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B35630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A2595B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42</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EED0C2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6F743D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20</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6F2D15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C55096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557CEA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49FA2A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196</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B2FAD2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40" w:type="dxa"/>
                    <w:right w:w="175" w:type="dxa"/>
                  </w:tcMar>
                  <w:vAlign w:val="bottom"/>
                </w:tcPr>
                <w:p w14:paraId="3F1335E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419</w:t>
                  </w:r>
                </w:p>
              </w:tc>
            </w:tr>
            <w:tr w:rsidR="00213131" w:rsidRPr="004D7A72" w14:paraId="1C22647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90" w:type="dxa"/>
                  <w:gridSpan w:val="2"/>
                  <w:tcBorders>
                    <w:top w:val="nil"/>
                    <w:left w:val="nil"/>
                    <w:bottom w:val="nil"/>
                    <w:right w:val="nil"/>
                    <w:tl2br w:val="nil"/>
                    <w:tr2bl w:val="nil"/>
                  </w:tcBorders>
                  <w:shd w:val="clear" w:color="auto" w:fill="auto"/>
                  <w:tcMar>
                    <w:left w:w="0" w:type="dxa"/>
                    <w:right w:w="0" w:type="dxa"/>
                  </w:tcMar>
                  <w:vAlign w:val="bottom"/>
                </w:tcPr>
                <w:p w14:paraId="5DE7AC0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BC0212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4C4920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422437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1825BC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106F85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371294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74920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B7DE41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7A36C1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375A6B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38A5CF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E1DC52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720427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BA2303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82059D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7057517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90" w:type="dxa"/>
                  <w:gridSpan w:val="2"/>
                  <w:tcBorders>
                    <w:top w:val="nil"/>
                    <w:left w:val="nil"/>
                    <w:bottom w:val="nil"/>
                    <w:right w:val="nil"/>
                    <w:tl2br w:val="nil"/>
                    <w:tr2bl w:val="nil"/>
                  </w:tcBorders>
                  <w:shd w:val="clear" w:color="auto" w:fill="auto"/>
                  <w:tcMar>
                    <w:left w:w="40" w:type="dxa"/>
                    <w:right w:w="40" w:type="dxa"/>
                  </w:tcMar>
                  <w:vAlign w:val="bottom"/>
                </w:tcPr>
                <w:p w14:paraId="6E7421C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Financing expenses, net</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840001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A5072D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B53292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05F999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E93DB1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9490C1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262EA6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7C6ABB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BB727F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C85BC8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19F241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1379EE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DD6FD7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BC7D03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B8BE18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(248)</w:t>
                  </w:r>
                </w:p>
              </w:tc>
            </w:tr>
            <w:tr w:rsidR="00213131" w:rsidRPr="004D7A72" w14:paraId="02C55F3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60DCBA83"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90" w:type="dxa"/>
                  <w:tcBorders>
                    <w:top w:val="nil"/>
                    <w:left w:val="nil"/>
                    <w:bottom w:val="nil"/>
                    <w:right w:val="nil"/>
                    <w:tl2br w:val="nil"/>
                    <w:tr2bl w:val="nil"/>
                  </w:tcBorders>
                  <w:shd w:val="clear" w:color="auto" w:fill="auto"/>
                  <w:tcMar>
                    <w:left w:w="0" w:type="dxa"/>
                    <w:right w:w="0" w:type="dxa"/>
                  </w:tcMar>
                  <w:vAlign w:val="bottom"/>
                </w:tcPr>
                <w:p w14:paraId="0EEC18A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27B333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B6959D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3A86D2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F70B8D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2705FD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C184F2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BA18BE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F80C34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9D07AF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E0B5A4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494621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B83DA9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C6551E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603172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F9C1B0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11BEA62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120" w:type="dxa"/>
                  <w:gridSpan w:val="3"/>
                  <w:tcBorders>
                    <w:top w:val="nil"/>
                    <w:left w:val="nil"/>
                    <w:bottom w:val="nil"/>
                    <w:right w:val="nil"/>
                    <w:tl2br w:val="nil"/>
                    <w:tr2bl w:val="nil"/>
                  </w:tcBorders>
                  <w:shd w:val="clear" w:color="auto" w:fill="auto"/>
                  <w:tcMar>
                    <w:left w:w="40" w:type="dxa"/>
                    <w:right w:w="40" w:type="dxa"/>
                  </w:tcMar>
                  <w:vAlign w:val="bottom"/>
                </w:tcPr>
                <w:p w14:paraId="68E296F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Profit before taxes on income</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7C7A28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0B4245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9E2CFA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D4546C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5B85B7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C98C52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BD077E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794DA1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47FAA4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0B349C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922C3D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5BFF9E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0E2005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934982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171</w:t>
                  </w:r>
                </w:p>
              </w:tc>
            </w:tr>
          </w:tbl>
          <w:p w14:paraId="59F8FBA9" w14:textId="77777777" w:rsidR="00213131" w:rsidRPr="004D7A72" w:rsidRDefault="00213131" w:rsidP="00A65A6F">
            <w:pPr>
              <w:rPr>
                <w:rFonts w:asciiTheme="majorBidi" w:hAnsiTheme="majorBidi" w:cstheme="majorBidi"/>
              </w:rPr>
            </w:pPr>
          </w:p>
        </w:tc>
      </w:tr>
    </w:tbl>
    <w:p w14:paraId="5EE10AC9" w14:textId="77777777" w:rsidR="00213131" w:rsidRPr="004D7A72" w:rsidRDefault="00213131" w:rsidP="00213131">
      <w:pPr>
        <w:tabs>
          <w:tab w:val="left" w:pos="1133"/>
        </w:tabs>
        <w:contextualSpacing/>
        <w:rPr>
          <w:rFonts w:asciiTheme="majorBidi" w:hAnsiTheme="majorBidi" w:cstheme="majorBidi"/>
          <w:sz w:val="21"/>
          <w:szCs w:val="21"/>
          <w:rtl/>
        </w:rPr>
      </w:pPr>
    </w:p>
    <w:p w14:paraId="7A679FE0" w14:textId="17085912" w:rsidR="00213131" w:rsidRPr="004D7A72" w:rsidRDefault="00213131" w:rsidP="00213131">
      <w:pPr>
        <w:keepNext/>
        <w:pageBreakBefore/>
        <w:pBdr>
          <w:top w:val="nil"/>
          <w:left w:val="nil"/>
          <w:bottom w:val="nil"/>
          <w:right w:val="nil"/>
          <w:between w:val="nil"/>
          <w:bar w:val="nil"/>
        </w:pBdr>
        <w:tabs>
          <w:tab w:val="left" w:pos="1133"/>
        </w:tabs>
        <w:contextualSpacing/>
        <w:outlineLvl w:val="3"/>
        <w:rPr>
          <w:rFonts w:asciiTheme="majorBidi" w:eastAsia="Calibri" w:hAnsiTheme="majorBidi" w:cstheme="majorBidi"/>
          <w:b/>
          <w:bCs/>
          <w:sz w:val="21"/>
          <w:szCs w:val="21"/>
        </w:rPr>
      </w:pPr>
      <w:r w:rsidRPr="004D7A72">
        <w:rPr>
          <w:rFonts w:asciiTheme="majorBidi" w:hAnsiTheme="majorBidi" w:cstheme="majorBidi"/>
          <w:b/>
          <w:sz w:val="21"/>
        </w:rPr>
        <w:lastRenderedPageBreak/>
        <w:t>N</w:t>
      </w:r>
      <w:r w:rsidR="00381355">
        <w:rPr>
          <w:rFonts w:asciiTheme="majorBidi" w:hAnsiTheme="majorBidi" w:cstheme="majorBidi"/>
          <w:b/>
          <w:sz w:val="21"/>
        </w:rPr>
        <w:t>ote</w:t>
      </w:r>
      <w:r w:rsidRPr="004D7A72">
        <w:rPr>
          <w:rFonts w:asciiTheme="majorBidi" w:hAnsiTheme="majorBidi" w:cstheme="majorBidi"/>
          <w:b/>
          <w:sz w:val="21"/>
        </w:rPr>
        <w:t xml:space="preserve"> 6 -</w:t>
      </w:r>
      <w:r w:rsidR="00381355">
        <w:rPr>
          <w:rFonts w:asciiTheme="majorBidi" w:hAnsiTheme="majorBidi" w:cstheme="majorBidi"/>
          <w:b/>
          <w:sz w:val="21"/>
        </w:rPr>
        <w:t xml:space="preserve"> </w:t>
      </w:r>
      <w:r w:rsidRPr="004D7A72">
        <w:rPr>
          <w:rFonts w:asciiTheme="majorBidi" w:hAnsiTheme="majorBidi" w:cstheme="majorBidi"/>
          <w:b/>
          <w:sz w:val="21"/>
        </w:rPr>
        <w:t>Operating Segments (contd.)</w:t>
      </w:r>
    </w:p>
    <w:p w14:paraId="746D52ED" w14:textId="77777777" w:rsidR="00213131" w:rsidRPr="004D7A72" w:rsidRDefault="00213131" w:rsidP="00213131">
      <w:pPr>
        <w:keepNext/>
        <w:tabs>
          <w:tab w:val="left" w:pos="1133"/>
        </w:tabs>
        <w:contextualSpacing/>
        <w:rPr>
          <w:rFonts w:asciiTheme="majorBidi" w:hAnsiTheme="majorBidi" w:cstheme="majorBidi"/>
          <w:sz w:val="21"/>
          <w:szCs w:val="21"/>
          <w:u w:val="single"/>
        </w:rPr>
      </w:pPr>
      <w:r w:rsidRPr="004D7A72">
        <w:rPr>
          <w:rFonts w:asciiTheme="majorBidi" w:hAnsiTheme="majorBidi" w:cstheme="majorBidi"/>
          <w:sz w:val="21"/>
          <w:u w:val="single"/>
        </w:rPr>
        <w:t>For the year ended December 31,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tblGrid>
      <w:tr w:rsidR="00213131" w:rsidRPr="004D7A72" w14:paraId="51B0BE05" w14:textId="77777777" w:rsidTr="00A65A6F">
        <w:trPr>
          <w:cantSplit/>
        </w:trPr>
        <w:tc>
          <w:tcPr>
            <w:tcW w:w="9921" w:type="dxa"/>
          </w:tcPr>
          <w:tbl>
            <w:tblPr>
              <w:tblStyle w:val="CDMRange1"/>
              <w:tblW w:w="9945" w:type="dxa"/>
              <w:tblLook w:val="0600" w:firstRow="0" w:lastRow="0" w:firstColumn="0" w:lastColumn="0" w:noHBand="1" w:noVBand="1"/>
            </w:tblPr>
            <w:tblGrid>
              <w:gridCol w:w="275"/>
              <w:gridCol w:w="1666"/>
              <w:gridCol w:w="860"/>
              <w:gridCol w:w="140"/>
              <w:gridCol w:w="859"/>
              <w:gridCol w:w="140"/>
              <w:gridCol w:w="859"/>
              <w:gridCol w:w="140"/>
              <w:gridCol w:w="859"/>
              <w:gridCol w:w="140"/>
              <w:gridCol w:w="859"/>
              <w:gridCol w:w="140"/>
              <w:gridCol w:w="859"/>
              <w:gridCol w:w="140"/>
              <w:gridCol w:w="910"/>
              <w:gridCol w:w="140"/>
              <w:gridCol w:w="937"/>
            </w:tblGrid>
            <w:tr w:rsidR="00213131" w:rsidRPr="004D7A72" w14:paraId="35D24640" w14:textId="77777777" w:rsidTr="00A65A6F">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2113465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90" w:type="dxa"/>
                  <w:tcBorders>
                    <w:top w:val="nil"/>
                    <w:left w:val="nil"/>
                    <w:bottom w:val="nil"/>
                    <w:right w:val="nil"/>
                    <w:tl2br w:val="nil"/>
                    <w:tr2bl w:val="nil"/>
                  </w:tcBorders>
                  <w:shd w:val="clear" w:color="auto" w:fill="auto"/>
                  <w:tcMar>
                    <w:left w:w="0" w:type="dxa"/>
                    <w:right w:w="0" w:type="dxa"/>
                  </w:tcMar>
                  <w:vAlign w:val="bottom"/>
                </w:tcPr>
                <w:p w14:paraId="7B7EFF6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5219E7CA"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Northern Europe</w:t>
                  </w:r>
                </w:p>
              </w:tc>
              <w:tc>
                <w:tcPr>
                  <w:tcW w:w="45" w:type="dxa"/>
                  <w:tcBorders>
                    <w:top w:val="nil"/>
                    <w:left w:val="nil"/>
                    <w:bottom w:val="nil"/>
                    <w:right w:val="nil"/>
                    <w:tl2br w:val="nil"/>
                    <w:tr2bl w:val="nil"/>
                  </w:tcBorders>
                  <w:shd w:val="clear" w:color="auto" w:fill="auto"/>
                  <w:tcMar>
                    <w:left w:w="0" w:type="dxa"/>
                    <w:right w:w="0" w:type="dxa"/>
                  </w:tcMar>
                  <w:vAlign w:val="bottom"/>
                </w:tcPr>
                <w:p w14:paraId="46DE1F80"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526B59A6"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Central and Eastern Europe</w:t>
                  </w:r>
                </w:p>
              </w:tc>
              <w:tc>
                <w:tcPr>
                  <w:tcW w:w="45" w:type="dxa"/>
                  <w:tcBorders>
                    <w:top w:val="nil"/>
                    <w:left w:val="nil"/>
                    <w:bottom w:val="nil"/>
                    <w:right w:val="nil"/>
                    <w:tl2br w:val="nil"/>
                    <w:tr2bl w:val="nil"/>
                  </w:tcBorders>
                  <w:shd w:val="clear" w:color="auto" w:fill="auto"/>
                  <w:tcMar>
                    <w:left w:w="0" w:type="dxa"/>
                    <w:right w:w="0" w:type="dxa"/>
                  </w:tcMar>
                  <w:vAlign w:val="bottom"/>
                </w:tcPr>
                <w:p w14:paraId="7B5B2193"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7223F04C"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Israel</w:t>
                  </w:r>
                </w:p>
              </w:tc>
              <w:tc>
                <w:tcPr>
                  <w:tcW w:w="45" w:type="dxa"/>
                  <w:tcBorders>
                    <w:top w:val="nil"/>
                    <w:left w:val="nil"/>
                    <w:bottom w:val="nil"/>
                    <w:right w:val="nil"/>
                    <w:tl2br w:val="nil"/>
                    <w:tr2bl w:val="nil"/>
                  </w:tcBorders>
                  <w:shd w:val="clear" w:color="auto" w:fill="auto"/>
                  <w:tcMar>
                    <w:left w:w="0" w:type="dxa"/>
                    <w:right w:w="0" w:type="dxa"/>
                  </w:tcMar>
                  <w:vAlign w:val="bottom"/>
                </w:tcPr>
                <w:p w14:paraId="67C68307"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459D8147"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Brazil</w:t>
                  </w:r>
                </w:p>
              </w:tc>
              <w:tc>
                <w:tcPr>
                  <w:tcW w:w="45" w:type="dxa"/>
                  <w:tcBorders>
                    <w:top w:val="nil"/>
                    <w:left w:val="nil"/>
                    <w:bottom w:val="nil"/>
                    <w:right w:val="nil"/>
                    <w:tl2br w:val="nil"/>
                    <w:tr2bl w:val="nil"/>
                  </w:tcBorders>
                  <w:shd w:val="clear" w:color="auto" w:fill="auto"/>
                  <w:tcMar>
                    <w:left w:w="0" w:type="dxa"/>
                    <w:right w:w="0" w:type="dxa"/>
                  </w:tcMar>
                  <w:vAlign w:val="bottom"/>
                </w:tcPr>
                <w:p w14:paraId="4675638C"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2078DB23"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USA</w:t>
                  </w:r>
                </w:p>
              </w:tc>
              <w:tc>
                <w:tcPr>
                  <w:tcW w:w="45" w:type="dxa"/>
                  <w:tcBorders>
                    <w:top w:val="nil"/>
                    <w:left w:val="nil"/>
                    <w:bottom w:val="nil"/>
                    <w:right w:val="nil"/>
                    <w:tl2br w:val="nil"/>
                    <w:tr2bl w:val="nil"/>
                  </w:tcBorders>
                  <w:shd w:val="clear" w:color="auto" w:fill="auto"/>
                  <w:tcMar>
                    <w:left w:w="0" w:type="dxa"/>
                    <w:right w:w="0" w:type="dxa"/>
                  </w:tcMar>
                  <w:vAlign w:val="bottom"/>
                </w:tcPr>
                <w:p w14:paraId="577B890F"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3945D8E5"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Other segments</w:t>
                  </w:r>
                </w:p>
              </w:tc>
              <w:tc>
                <w:tcPr>
                  <w:tcW w:w="45" w:type="dxa"/>
                  <w:tcBorders>
                    <w:top w:val="nil"/>
                    <w:left w:val="nil"/>
                    <w:bottom w:val="nil"/>
                    <w:right w:val="nil"/>
                    <w:tl2br w:val="nil"/>
                    <w:tr2bl w:val="nil"/>
                  </w:tcBorders>
                  <w:shd w:val="clear" w:color="auto" w:fill="auto"/>
                  <w:tcMar>
                    <w:left w:w="0" w:type="dxa"/>
                    <w:right w:w="0" w:type="dxa"/>
                  </w:tcMar>
                  <w:vAlign w:val="bottom"/>
                </w:tcPr>
                <w:p w14:paraId="479E97DE"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2A34EED9"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Adjustments to consolidated</w:t>
                  </w:r>
                </w:p>
              </w:tc>
              <w:tc>
                <w:tcPr>
                  <w:tcW w:w="45" w:type="dxa"/>
                  <w:tcBorders>
                    <w:top w:val="nil"/>
                    <w:left w:val="nil"/>
                    <w:bottom w:val="nil"/>
                    <w:right w:val="nil"/>
                    <w:tl2br w:val="nil"/>
                    <w:tr2bl w:val="nil"/>
                  </w:tcBorders>
                  <w:shd w:val="clear" w:color="auto" w:fill="auto"/>
                  <w:tcMar>
                    <w:left w:w="0" w:type="dxa"/>
                    <w:right w:w="0" w:type="dxa"/>
                  </w:tcMar>
                  <w:vAlign w:val="bottom"/>
                </w:tcPr>
                <w:p w14:paraId="4BBBD472"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7FD1FC8A"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Consolidated</w:t>
                  </w:r>
                </w:p>
              </w:tc>
            </w:tr>
            <w:tr w:rsidR="00213131" w:rsidRPr="004D7A72" w14:paraId="50ACED0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5EDDD28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90" w:type="dxa"/>
                  <w:tcBorders>
                    <w:top w:val="nil"/>
                    <w:left w:val="nil"/>
                    <w:bottom w:val="nil"/>
                    <w:right w:val="nil"/>
                    <w:tl2br w:val="nil"/>
                    <w:tr2bl w:val="nil"/>
                  </w:tcBorders>
                  <w:shd w:val="clear" w:color="auto" w:fill="auto"/>
                  <w:tcMar>
                    <w:left w:w="0" w:type="dxa"/>
                    <w:right w:w="0" w:type="dxa"/>
                  </w:tcMar>
                  <w:vAlign w:val="bottom"/>
                </w:tcPr>
                <w:p w14:paraId="7EE15CC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7755" w:type="dxa"/>
                  <w:gridSpan w:val="15"/>
                  <w:tcBorders>
                    <w:top w:val="nil"/>
                    <w:left w:val="nil"/>
                    <w:bottom w:val="single" w:sz="4" w:space="0" w:color="000000"/>
                    <w:right w:val="nil"/>
                    <w:tl2br w:val="nil"/>
                    <w:tr2bl w:val="nil"/>
                  </w:tcBorders>
                  <w:shd w:val="clear" w:color="auto" w:fill="auto"/>
                  <w:tcMar>
                    <w:left w:w="40" w:type="dxa"/>
                    <w:right w:w="40" w:type="dxa"/>
                  </w:tcMar>
                  <w:vAlign w:val="bottom"/>
                </w:tcPr>
                <w:p w14:paraId="26B0334E"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Audited</w:t>
                  </w:r>
                </w:p>
              </w:tc>
            </w:tr>
            <w:tr w:rsidR="00213131" w:rsidRPr="004D7A72" w14:paraId="18D2EF9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150F3B5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90" w:type="dxa"/>
                  <w:tcBorders>
                    <w:top w:val="nil"/>
                    <w:left w:val="nil"/>
                    <w:bottom w:val="nil"/>
                    <w:right w:val="nil"/>
                    <w:tl2br w:val="nil"/>
                    <w:tr2bl w:val="nil"/>
                  </w:tcBorders>
                  <w:shd w:val="clear" w:color="auto" w:fill="auto"/>
                  <w:tcMar>
                    <w:left w:w="0" w:type="dxa"/>
                    <w:right w:w="0" w:type="dxa"/>
                  </w:tcMar>
                  <w:vAlign w:val="bottom"/>
                </w:tcPr>
                <w:p w14:paraId="0464E2E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7755" w:type="dxa"/>
                  <w:gridSpan w:val="15"/>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D61B7BF"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NIS million</w:t>
                  </w:r>
                </w:p>
              </w:tc>
            </w:tr>
            <w:tr w:rsidR="00213131" w:rsidRPr="004D7A72" w14:paraId="6F06846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90" w:type="dxa"/>
                  <w:gridSpan w:val="2"/>
                  <w:tcBorders>
                    <w:top w:val="nil"/>
                    <w:left w:val="nil"/>
                    <w:bottom w:val="nil"/>
                    <w:right w:val="nil"/>
                    <w:tl2br w:val="nil"/>
                    <w:tr2bl w:val="nil"/>
                  </w:tcBorders>
                  <w:shd w:val="clear" w:color="auto" w:fill="auto"/>
                  <w:tcMar>
                    <w:left w:w="40" w:type="dxa"/>
                    <w:right w:w="40" w:type="dxa"/>
                  </w:tcMar>
                  <w:vAlign w:val="bottom"/>
                </w:tcPr>
                <w:p w14:paraId="6F3DEEC2"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Segment revenues</w:t>
                  </w: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5FD7B3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1,206</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86BE43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E1FBF0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662</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2F0DC6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4D43C88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305</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C71124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58D7E85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192</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DF93FA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0E0CA32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150</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5DC81D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476EBB9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38</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E1ECA6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7E47764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(115)</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691901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9514D1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2,438</w:t>
                  </w:r>
                </w:p>
              </w:tc>
            </w:tr>
            <w:tr w:rsidR="00213131" w:rsidRPr="004D7A72" w14:paraId="74FA03F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90" w:type="dxa"/>
                  <w:gridSpan w:val="2"/>
                  <w:tcBorders>
                    <w:top w:val="nil"/>
                    <w:left w:val="nil"/>
                    <w:bottom w:val="nil"/>
                    <w:right w:val="nil"/>
                    <w:tl2br w:val="nil"/>
                    <w:tr2bl w:val="nil"/>
                  </w:tcBorders>
                  <w:shd w:val="clear" w:color="auto" w:fill="auto"/>
                  <w:tcMar>
                    <w:left w:w="0" w:type="dxa"/>
                    <w:right w:w="0" w:type="dxa"/>
                  </w:tcMar>
                  <w:vAlign w:val="bottom"/>
                </w:tcPr>
                <w:p w14:paraId="68124D9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137828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9976BB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10CB3F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F61963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DCCF43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2AC2480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A5166F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FE8F83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786221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FD62E8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6C40C5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A1B60D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75E16A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F96FD1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E7977E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18D60FF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190" w:type="dxa"/>
                  <w:gridSpan w:val="2"/>
                  <w:tcBorders>
                    <w:top w:val="nil"/>
                    <w:left w:val="nil"/>
                    <w:bottom w:val="nil"/>
                    <w:right w:val="nil"/>
                    <w:tl2br w:val="nil"/>
                    <w:tr2bl w:val="nil"/>
                  </w:tcBorders>
                  <w:shd w:val="clear" w:color="auto" w:fill="auto"/>
                  <w:noWrap/>
                  <w:tcMar>
                    <w:left w:w="40" w:type="dxa"/>
                    <w:right w:w="40" w:type="dxa"/>
                  </w:tcMar>
                  <w:vAlign w:val="bottom"/>
                </w:tcPr>
                <w:p w14:paraId="367781F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Operating income, net </w:t>
                  </w: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1C182D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807</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7C4A4E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DF814D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450</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144D99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95C735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197</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AC273C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70E06D9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162</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CD8FA9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B1270A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97</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D78DC5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0A99A0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21</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586967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7466B1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(67)</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386CC0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354E531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1,667</w:t>
                  </w:r>
                </w:p>
              </w:tc>
            </w:tr>
            <w:tr w:rsidR="00213131" w:rsidRPr="004D7A72" w14:paraId="3D10D9F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90" w:type="dxa"/>
                  <w:gridSpan w:val="2"/>
                  <w:tcBorders>
                    <w:top w:val="nil"/>
                    <w:left w:val="nil"/>
                    <w:bottom w:val="nil"/>
                    <w:right w:val="nil"/>
                    <w:tl2br w:val="nil"/>
                    <w:tr2bl w:val="nil"/>
                  </w:tcBorders>
                  <w:shd w:val="clear" w:color="auto" w:fill="auto"/>
                  <w:tcMar>
                    <w:left w:w="0" w:type="dxa"/>
                    <w:right w:w="0" w:type="dxa"/>
                  </w:tcMar>
                  <w:vAlign w:val="bottom"/>
                </w:tcPr>
                <w:p w14:paraId="6730421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16341E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7E3BF1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7279BF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5974A2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8051BA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701B85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808EA8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291ABEB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2138C1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2F1E96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594043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2A727CC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52902F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1633AB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6D10DF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42A469D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90" w:type="dxa"/>
                  <w:gridSpan w:val="2"/>
                  <w:tcBorders>
                    <w:top w:val="nil"/>
                    <w:left w:val="nil"/>
                    <w:bottom w:val="nil"/>
                    <w:right w:val="nil"/>
                    <w:tl2br w:val="nil"/>
                    <w:tr2bl w:val="nil"/>
                  </w:tcBorders>
                  <w:shd w:val="clear" w:color="auto" w:fill="auto"/>
                  <w:tcMar>
                    <w:left w:w="40" w:type="dxa"/>
                    <w:right w:w="40" w:type="dxa"/>
                  </w:tcMar>
                  <w:vAlign w:val="bottom"/>
                </w:tcPr>
                <w:p w14:paraId="4A87163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Profit (loss) of operating segments</w:t>
                  </w: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3B6C70B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681</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A2CAE1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F1F762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(282)</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503BEA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BB617B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181</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3B965E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A88451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140</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8D0218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73A2460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71</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3645CA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C43F0E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16</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57D8D2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7C9D1D0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(939)</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270A70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40" w:type="dxa"/>
                    <w:right w:w="175" w:type="dxa"/>
                  </w:tcMar>
                  <w:vAlign w:val="bottom"/>
                </w:tcPr>
                <w:p w14:paraId="26C3DA8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(132)</w:t>
                  </w:r>
                </w:p>
              </w:tc>
            </w:tr>
            <w:tr w:rsidR="00213131" w:rsidRPr="004D7A72" w14:paraId="2F103E5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90" w:type="dxa"/>
                  <w:gridSpan w:val="2"/>
                  <w:tcBorders>
                    <w:top w:val="nil"/>
                    <w:left w:val="nil"/>
                    <w:bottom w:val="nil"/>
                    <w:right w:val="nil"/>
                    <w:tl2br w:val="nil"/>
                    <w:tr2bl w:val="nil"/>
                  </w:tcBorders>
                  <w:shd w:val="clear" w:color="auto" w:fill="auto"/>
                  <w:tcMar>
                    <w:left w:w="0" w:type="dxa"/>
                    <w:right w:w="0" w:type="dxa"/>
                  </w:tcMar>
                  <w:vAlign w:val="bottom"/>
                </w:tcPr>
                <w:p w14:paraId="387CC79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60233C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D88B15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008D10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D4761F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6852C1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DF8A05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62C998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80A9B0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9EAEE6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4C7E2F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35B14D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83C5B4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E87337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3CF748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8B5BC9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7FF6C83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90" w:type="dxa"/>
                  <w:gridSpan w:val="2"/>
                  <w:tcBorders>
                    <w:top w:val="nil"/>
                    <w:left w:val="nil"/>
                    <w:bottom w:val="nil"/>
                    <w:right w:val="nil"/>
                    <w:tl2br w:val="nil"/>
                    <w:tr2bl w:val="nil"/>
                  </w:tcBorders>
                  <w:shd w:val="clear" w:color="auto" w:fill="auto"/>
                  <w:tcMar>
                    <w:left w:w="40" w:type="dxa"/>
                    <w:right w:w="40" w:type="dxa"/>
                  </w:tcMar>
                  <w:vAlign w:val="bottom"/>
                </w:tcPr>
                <w:p w14:paraId="1D33D7B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Financing expenses, net</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8E7279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6E7FC0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CBD007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9C6F61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0DAF68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B3007F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CAE325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1CD585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DC2F8A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BCA83A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32954B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3A4C3E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2FC6EA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92EDA0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5704AE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(1,068)</w:t>
                  </w:r>
                </w:p>
              </w:tc>
            </w:tr>
            <w:tr w:rsidR="00213131" w:rsidRPr="004D7A72" w14:paraId="69E1156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396B3A86"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90" w:type="dxa"/>
                  <w:tcBorders>
                    <w:top w:val="nil"/>
                    <w:left w:val="nil"/>
                    <w:bottom w:val="nil"/>
                    <w:right w:val="nil"/>
                    <w:tl2br w:val="nil"/>
                    <w:tr2bl w:val="nil"/>
                  </w:tcBorders>
                  <w:shd w:val="clear" w:color="auto" w:fill="auto"/>
                  <w:tcMar>
                    <w:left w:w="0" w:type="dxa"/>
                    <w:right w:w="0" w:type="dxa"/>
                  </w:tcMar>
                  <w:vAlign w:val="bottom"/>
                </w:tcPr>
                <w:p w14:paraId="61B0F308"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C68574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9E8B1F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F00C1B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B13CFD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21A10F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D0A096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518AD2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EB7D37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D38405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20927B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44576B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7E81F2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EFFEF6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B8F891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C8B5FA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0CEA2CF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120" w:type="dxa"/>
                  <w:gridSpan w:val="3"/>
                  <w:tcBorders>
                    <w:top w:val="nil"/>
                    <w:left w:val="nil"/>
                    <w:bottom w:val="nil"/>
                    <w:right w:val="nil"/>
                    <w:tl2br w:val="nil"/>
                    <w:tr2bl w:val="nil"/>
                  </w:tcBorders>
                  <w:shd w:val="clear" w:color="auto" w:fill="auto"/>
                  <w:tcMar>
                    <w:left w:w="40" w:type="dxa"/>
                    <w:right w:w="40" w:type="dxa"/>
                  </w:tcMar>
                  <w:vAlign w:val="bottom"/>
                </w:tcPr>
                <w:p w14:paraId="7B000AA7"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Profit before income tax</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BA5A5D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CD949E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6F61B3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A7EA1B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70F8F3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AF5729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538F2D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4C873C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90F4F9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B6C748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ABFF6E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16FBFC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71E0B0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69A6A3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(1,200)</w:t>
                  </w:r>
                </w:p>
              </w:tc>
            </w:tr>
          </w:tbl>
          <w:p w14:paraId="0ECC60F8" w14:textId="77777777" w:rsidR="00213131" w:rsidRPr="004D7A72" w:rsidRDefault="00213131" w:rsidP="00A65A6F">
            <w:pPr>
              <w:rPr>
                <w:rFonts w:asciiTheme="majorBidi" w:hAnsiTheme="majorBidi" w:cstheme="majorBidi"/>
              </w:rPr>
            </w:pPr>
          </w:p>
        </w:tc>
      </w:tr>
    </w:tbl>
    <w:p w14:paraId="04769AF0" w14:textId="77777777" w:rsidR="00213131" w:rsidRPr="004D7A72" w:rsidRDefault="00213131" w:rsidP="00213131">
      <w:pPr>
        <w:tabs>
          <w:tab w:val="left" w:pos="1133"/>
        </w:tabs>
        <w:contextualSpacing/>
        <w:rPr>
          <w:rFonts w:asciiTheme="majorBidi" w:hAnsiTheme="majorBidi" w:cstheme="majorBidi"/>
          <w:sz w:val="21"/>
          <w:szCs w:val="21"/>
          <w:rtl/>
        </w:rPr>
      </w:pPr>
    </w:p>
    <w:p w14:paraId="5522A9DA" w14:textId="77777777" w:rsidR="00213131" w:rsidRPr="004D7A72" w:rsidRDefault="00213131" w:rsidP="00213131">
      <w:pPr>
        <w:keepNext/>
        <w:tabs>
          <w:tab w:val="left" w:pos="1133"/>
        </w:tabs>
        <w:contextualSpacing/>
        <w:rPr>
          <w:rFonts w:asciiTheme="majorBidi" w:hAnsiTheme="majorBidi" w:cstheme="majorBidi"/>
          <w:sz w:val="21"/>
          <w:szCs w:val="21"/>
          <w:u w:val="single"/>
        </w:rPr>
      </w:pPr>
      <w:r w:rsidRPr="004D7A72">
        <w:rPr>
          <w:rFonts w:asciiTheme="majorBidi" w:hAnsiTheme="majorBidi" w:cstheme="majorBidi"/>
          <w:sz w:val="21"/>
          <w:u w:val="single"/>
        </w:rPr>
        <w:t>Segment assets: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tblGrid>
      <w:tr w:rsidR="00213131" w:rsidRPr="004D7A72" w14:paraId="110CC86A" w14:textId="77777777" w:rsidTr="00A65A6F">
        <w:trPr>
          <w:cantSplit/>
        </w:trPr>
        <w:tc>
          <w:tcPr>
            <w:tcW w:w="9921" w:type="dxa"/>
          </w:tcPr>
          <w:tbl>
            <w:tblPr>
              <w:tblStyle w:val="CDMRange2"/>
              <w:tblW w:w="9945" w:type="dxa"/>
              <w:tblLook w:val="0600" w:firstRow="0" w:lastRow="0" w:firstColumn="0" w:lastColumn="0" w:noHBand="1" w:noVBand="1"/>
            </w:tblPr>
            <w:tblGrid>
              <w:gridCol w:w="276"/>
              <w:gridCol w:w="1676"/>
              <w:gridCol w:w="856"/>
              <w:gridCol w:w="140"/>
              <w:gridCol w:w="856"/>
              <w:gridCol w:w="140"/>
              <w:gridCol w:w="856"/>
              <w:gridCol w:w="140"/>
              <w:gridCol w:w="856"/>
              <w:gridCol w:w="140"/>
              <w:gridCol w:w="856"/>
              <w:gridCol w:w="140"/>
              <w:gridCol w:w="856"/>
              <w:gridCol w:w="140"/>
              <w:gridCol w:w="914"/>
              <w:gridCol w:w="140"/>
              <w:gridCol w:w="941"/>
            </w:tblGrid>
            <w:tr w:rsidR="00213131" w:rsidRPr="004D7A72" w14:paraId="49B76C42" w14:textId="77777777" w:rsidTr="00A65A6F">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2DDAE0A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90" w:type="dxa"/>
                  <w:tcBorders>
                    <w:top w:val="nil"/>
                    <w:left w:val="nil"/>
                    <w:bottom w:val="nil"/>
                    <w:right w:val="nil"/>
                    <w:tl2br w:val="nil"/>
                    <w:tr2bl w:val="nil"/>
                  </w:tcBorders>
                  <w:shd w:val="clear" w:color="auto" w:fill="auto"/>
                  <w:tcMar>
                    <w:left w:w="0" w:type="dxa"/>
                    <w:right w:w="0" w:type="dxa"/>
                  </w:tcMar>
                  <w:vAlign w:val="bottom"/>
                </w:tcPr>
                <w:p w14:paraId="40E9DD1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66D43E9B"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Northern Europe</w:t>
                  </w:r>
                </w:p>
              </w:tc>
              <w:tc>
                <w:tcPr>
                  <w:tcW w:w="45" w:type="dxa"/>
                  <w:tcBorders>
                    <w:top w:val="nil"/>
                    <w:left w:val="nil"/>
                    <w:bottom w:val="nil"/>
                    <w:right w:val="nil"/>
                    <w:tl2br w:val="nil"/>
                    <w:tr2bl w:val="nil"/>
                  </w:tcBorders>
                  <w:shd w:val="clear" w:color="auto" w:fill="auto"/>
                  <w:tcMar>
                    <w:left w:w="0" w:type="dxa"/>
                    <w:right w:w="0" w:type="dxa"/>
                  </w:tcMar>
                  <w:vAlign w:val="bottom"/>
                </w:tcPr>
                <w:p w14:paraId="7772AC6D"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054DD5ED"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Central and Eastern Europe</w:t>
                  </w:r>
                </w:p>
              </w:tc>
              <w:tc>
                <w:tcPr>
                  <w:tcW w:w="45" w:type="dxa"/>
                  <w:tcBorders>
                    <w:top w:val="nil"/>
                    <w:left w:val="nil"/>
                    <w:bottom w:val="nil"/>
                    <w:right w:val="nil"/>
                    <w:tl2br w:val="nil"/>
                    <w:tr2bl w:val="nil"/>
                  </w:tcBorders>
                  <w:shd w:val="clear" w:color="auto" w:fill="auto"/>
                  <w:tcMar>
                    <w:left w:w="0" w:type="dxa"/>
                    <w:right w:w="0" w:type="dxa"/>
                  </w:tcMar>
                  <w:vAlign w:val="bottom"/>
                </w:tcPr>
                <w:p w14:paraId="1614902F"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2DEC1F8F"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Israel</w:t>
                  </w:r>
                </w:p>
              </w:tc>
              <w:tc>
                <w:tcPr>
                  <w:tcW w:w="45" w:type="dxa"/>
                  <w:tcBorders>
                    <w:top w:val="nil"/>
                    <w:left w:val="nil"/>
                    <w:bottom w:val="nil"/>
                    <w:right w:val="nil"/>
                    <w:tl2br w:val="nil"/>
                    <w:tr2bl w:val="nil"/>
                  </w:tcBorders>
                  <w:shd w:val="clear" w:color="auto" w:fill="auto"/>
                  <w:tcMar>
                    <w:left w:w="0" w:type="dxa"/>
                    <w:right w:w="0" w:type="dxa"/>
                  </w:tcMar>
                  <w:vAlign w:val="bottom"/>
                </w:tcPr>
                <w:p w14:paraId="56838B89"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0F8CF7C4"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Brazil</w:t>
                  </w:r>
                </w:p>
              </w:tc>
              <w:tc>
                <w:tcPr>
                  <w:tcW w:w="45" w:type="dxa"/>
                  <w:tcBorders>
                    <w:top w:val="nil"/>
                    <w:left w:val="nil"/>
                    <w:bottom w:val="nil"/>
                    <w:right w:val="nil"/>
                    <w:tl2br w:val="nil"/>
                    <w:tr2bl w:val="nil"/>
                  </w:tcBorders>
                  <w:shd w:val="clear" w:color="auto" w:fill="auto"/>
                  <w:tcMar>
                    <w:left w:w="0" w:type="dxa"/>
                    <w:right w:w="0" w:type="dxa"/>
                  </w:tcMar>
                  <w:vAlign w:val="bottom"/>
                </w:tcPr>
                <w:p w14:paraId="2E09CA62"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48A5E393"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USA</w:t>
                  </w:r>
                </w:p>
              </w:tc>
              <w:tc>
                <w:tcPr>
                  <w:tcW w:w="45" w:type="dxa"/>
                  <w:tcBorders>
                    <w:top w:val="nil"/>
                    <w:left w:val="nil"/>
                    <w:bottom w:val="nil"/>
                    <w:right w:val="nil"/>
                    <w:tl2br w:val="nil"/>
                    <w:tr2bl w:val="nil"/>
                  </w:tcBorders>
                  <w:shd w:val="clear" w:color="auto" w:fill="auto"/>
                  <w:tcMar>
                    <w:left w:w="0" w:type="dxa"/>
                    <w:right w:w="0" w:type="dxa"/>
                  </w:tcMar>
                  <w:vAlign w:val="bottom"/>
                </w:tcPr>
                <w:p w14:paraId="1F184D4E"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025A6715"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Other segments</w:t>
                  </w:r>
                </w:p>
              </w:tc>
              <w:tc>
                <w:tcPr>
                  <w:tcW w:w="45" w:type="dxa"/>
                  <w:tcBorders>
                    <w:top w:val="nil"/>
                    <w:left w:val="nil"/>
                    <w:bottom w:val="nil"/>
                    <w:right w:val="nil"/>
                    <w:tl2br w:val="nil"/>
                    <w:tr2bl w:val="nil"/>
                  </w:tcBorders>
                  <w:shd w:val="clear" w:color="auto" w:fill="auto"/>
                  <w:tcMar>
                    <w:left w:w="0" w:type="dxa"/>
                    <w:right w:w="0" w:type="dxa"/>
                  </w:tcMar>
                  <w:vAlign w:val="bottom"/>
                </w:tcPr>
                <w:p w14:paraId="61313784"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382BA736"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Adjustments to consolidated</w:t>
                  </w:r>
                </w:p>
              </w:tc>
              <w:tc>
                <w:tcPr>
                  <w:tcW w:w="45" w:type="dxa"/>
                  <w:tcBorders>
                    <w:top w:val="nil"/>
                    <w:left w:val="nil"/>
                    <w:bottom w:val="nil"/>
                    <w:right w:val="nil"/>
                    <w:tl2br w:val="nil"/>
                    <w:tr2bl w:val="nil"/>
                  </w:tcBorders>
                  <w:shd w:val="clear" w:color="auto" w:fill="auto"/>
                  <w:tcMar>
                    <w:left w:w="0" w:type="dxa"/>
                    <w:right w:w="0" w:type="dxa"/>
                  </w:tcMar>
                  <w:vAlign w:val="bottom"/>
                </w:tcPr>
                <w:p w14:paraId="7DBA8E71"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78F77E5B"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Consolidated</w:t>
                  </w:r>
                </w:p>
              </w:tc>
            </w:tr>
            <w:tr w:rsidR="00213131" w:rsidRPr="004D7A72" w14:paraId="38B92A5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1CC0FBE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90" w:type="dxa"/>
                  <w:tcBorders>
                    <w:top w:val="nil"/>
                    <w:left w:val="nil"/>
                    <w:bottom w:val="nil"/>
                    <w:right w:val="nil"/>
                    <w:tl2br w:val="nil"/>
                    <w:tr2bl w:val="nil"/>
                  </w:tcBorders>
                  <w:shd w:val="clear" w:color="auto" w:fill="auto"/>
                  <w:tcMar>
                    <w:left w:w="0" w:type="dxa"/>
                    <w:right w:w="0" w:type="dxa"/>
                  </w:tcMar>
                  <w:vAlign w:val="bottom"/>
                </w:tcPr>
                <w:p w14:paraId="328D14F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7755" w:type="dxa"/>
                  <w:gridSpan w:val="15"/>
                  <w:tcBorders>
                    <w:top w:val="nil"/>
                    <w:left w:val="nil"/>
                    <w:bottom w:val="single" w:sz="4" w:space="0" w:color="000000"/>
                    <w:right w:val="nil"/>
                    <w:tl2br w:val="nil"/>
                    <w:tr2bl w:val="nil"/>
                  </w:tcBorders>
                  <w:shd w:val="clear" w:color="auto" w:fill="auto"/>
                  <w:tcMar>
                    <w:left w:w="40" w:type="dxa"/>
                    <w:right w:w="40" w:type="dxa"/>
                  </w:tcMar>
                  <w:vAlign w:val="bottom"/>
                </w:tcPr>
                <w:p w14:paraId="696A93E8"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Unaudited</w:t>
                  </w:r>
                </w:p>
              </w:tc>
            </w:tr>
            <w:tr w:rsidR="00213131" w:rsidRPr="004D7A72" w14:paraId="5A13147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00" w:type="dxa"/>
                  <w:tcBorders>
                    <w:top w:val="nil"/>
                    <w:left w:val="nil"/>
                    <w:bottom w:val="nil"/>
                    <w:right w:val="nil"/>
                    <w:tl2br w:val="nil"/>
                    <w:tr2bl w:val="nil"/>
                  </w:tcBorders>
                  <w:shd w:val="clear" w:color="auto" w:fill="auto"/>
                  <w:tcMar>
                    <w:left w:w="0" w:type="dxa"/>
                    <w:right w:w="0" w:type="dxa"/>
                  </w:tcMar>
                  <w:vAlign w:val="bottom"/>
                </w:tcPr>
                <w:p w14:paraId="329AE7A9"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890" w:type="dxa"/>
                  <w:tcBorders>
                    <w:top w:val="nil"/>
                    <w:left w:val="nil"/>
                    <w:bottom w:val="nil"/>
                    <w:right w:val="nil"/>
                    <w:tl2br w:val="nil"/>
                    <w:tr2bl w:val="nil"/>
                  </w:tcBorders>
                  <w:shd w:val="clear" w:color="auto" w:fill="auto"/>
                  <w:tcMar>
                    <w:left w:w="0" w:type="dxa"/>
                    <w:right w:w="0" w:type="dxa"/>
                  </w:tcMar>
                  <w:vAlign w:val="bottom"/>
                </w:tcPr>
                <w:p w14:paraId="7BB608DF"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7755" w:type="dxa"/>
                  <w:gridSpan w:val="15"/>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17F41FC" w14:textId="77777777" w:rsidR="00213131" w:rsidRPr="004D7A72" w:rsidRDefault="00213131" w:rsidP="00A65A6F">
                  <w:pPr>
                    <w:keepNext/>
                    <w:spacing w:before="0" w:after="0"/>
                    <w:ind w:left="-57" w:right="-57"/>
                    <w:jc w:val="center"/>
                    <w:rPr>
                      <w:rFonts w:asciiTheme="majorBidi" w:eastAsia="Ploni ML Medium AAA Medium" w:hAnsiTheme="majorBidi" w:cstheme="majorBidi"/>
                      <w:b/>
                      <w:color w:val="000000"/>
                      <w:sz w:val="18"/>
                      <w:szCs w:val="18"/>
                    </w:rPr>
                  </w:pPr>
                  <w:r w:rsidRPr="004D7A72">
                    <w:rPr>
                      <w:rFonts w:asciiTheme="majorBidi" w:hAnsiTheme="majorBidi" w:cstheme="majorBidi"/>
                      <w:b/>
                      <w:color w:val="000000"/>
                      <w:sz w:val="18"/>
                      <w:szCs w:val="18"/>
                    </w:rPr>
                    <w:t>NIS million</w:t>
                  </w:r>
                </w:p>
              </w:tc>
            </w:tr>
            <w:tr w:rsidR="00213131" w:rsidRPr="004D7A72" w14:paraId="1BF7F1A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90" w:type="dxa"/>
                  <w:gridSpan w:val="2"/>
                  <w:tcBorders>
                    <w:top w:val="nil"/>
                    <w:left w:val="nil"/>
                    <w:bottom w:val="nil"/>
                    <w:right w:val="nil"/>
                    <w:tl2br w:val="nil"/>
                    <w:tr2bl w:val="nil"/>
                  </w:tcBorders>
                  <w:shd w:val="clear" w:color="auto" w:fill="auto"/>
                  <w:tcMar>
                    <w:left w:w="40" w:type="dxa"/>
                    <w:right w:w="40" w:type="dxa"/>
                  </w:tcMar>
                  <w:vAlign w:val="bottom"/>
                </w:tcPr>
                <w:p w14:paraId="29053B1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June 30,  2024</w:t>
                  </w: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48B82EE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17,441</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CED30E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127B1DD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8,660</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833780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098F5DC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4,984</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C0CB96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F32CEF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2,316</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B3B767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033C495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3,464</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AD6321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464DACD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363</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CECECA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183FAB1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1,583</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D947FA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24F311A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38,811</w:t>
                  </w:r>
                </w:p>
              </w:tc>
            </w:tr>
            <w:tr w:rsidR="00213131" w:rsidRPr="004D7A72" w14:paraId="41D270A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90" w:type="dxa"/>
                  <w:gridSpan w:val="2"/>
                  <w:tcBorders>
                    <w:top w:val="nil"/>
                    <w:left w:val="nil"/>
                    <w:bottom w:val="nil"/>
                    <w:right w:val="nil"/>
                    <w:tl2br w:val="nil"/>
                    <w:tr2bl w:val="nil"/>
                  </w:tcBorders>
                  <w:shd w:val="clear" w:color="auto" w:fill="auto"/>
                  <w:tcMar>
                    <w:left w:w="0" w:type="dxa"/>
                    <w:right w:w="0" w:type="dxa"/>
                  </w:tcMar>
                  <w:vAlign w:val="bottom"/>
                </w:tcPr>
                <w:p w14:paraId="11FF6FC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F70481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18B4F0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864DA1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00EECC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79DB0D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796AE5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AABA90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67F844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50337E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7840F5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04CD9C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F4AFC4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ABD4C7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B2B6A2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B94AD8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2BF2DDE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190" w:type="dxa"/>
                  <w:gridSpan w:val="2"/>
                  <w:tcBorders>
                    <w:top w:val="nil"/>
                    <w:left w:val="nil"/>
                    <w:bottom w:val="nil"/>
                    <w:right w:val="nil"/>
                    <w:tl2br w:val="nil"/>
                    <w:tr2bl w:val="nil"/>
                  </w:tcBorders>
                  <w:shd w:val="clear" w:color="auto" w:fill="auto"/>
                  <w:noWrap/>
                  <w:tcMar>
                    <w:left w:w="40" w:type="dxa"/>
                    <w:right w:w="40" w:type="dxa"/>
                  </w:tcMar>
                  <w:vAlign w:val="bottom"/>
                </w:tcPr>
                <w:p w14:paraId="4137C71A"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June 30,  2023</w:t>
                  </w: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3DDF88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17,477</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59422D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F097D1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9,099</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A1136F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176B0D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4,876</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16B25C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69474C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2,990</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850759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1BD164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3,621</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E0B65A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647675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393</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C53A2B6"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6F95E58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1,612</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49240F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9D3C329"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40,068</w:t>
                  </w:r>
                </w:p>
              </w:tc>
            </w:tr>
            <w:tr w:rsidR="00213131" w:rsidRPr="004D7A72" w14:paraId="55520E2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90" w:type="dxa"/>
                  <w:gridSpan w:val="2"/>
                  <w:tcBorders>
                    <w:top w:val="nil"/>
                    <w:left w:val="nil"/>
                    <w:bottom w:val="nil"/>
                    <w:right w:val="nil"/>
                    <w:tl2br w:val="nil"/>
                    <w:tr2bl w:val="nil"/>
                  </w:tcBorders>
                  <w:shd w:val="clear" w:color="auto" w:fill="auto"/>
                  <w:tcMar>
                    <w:left w:w="0" w:type="dxa"/>
                    <w:right w:w="0" w:type="dxa"/>
                  </w:tcMar>
                  <w:vAlign w:val="bottom"/>
                </w:tcPr>
                <w:p w14:paraId="1F37B0E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6893F9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A586E6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D8F246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77460DB"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6B4787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47D5A7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803A79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F42614A"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09B4E9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123CB4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5395DE0"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4D3050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E74052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03F58FF2"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E9FD8E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r>
            <w:tr w:rsidR="00213131" w:rsidRPr="004D7A72" w14:paraId="257BBC0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90" w:type="dxa"/>
                  <w:gridSpan w:val="2"/>
                  <w:tcBorders>
                    <w:top w:val="nil"/>
                    <w:left w:val="nil"/>
                    <w:bottom w:val="nil"/>
                    <w:right w:val="nil"/>
                    <w:tl2br w:val="nil"/>
                    <w:tr2bl w:val="nil"/>
                  </w:tcBorders>
                  <w:shd w:val="clear" w:color="auto" w:fill="auto"/>
                  <w:tcMar>
                    <w:left w:w="40" w:type="dxa"/>
                    <w:right w:w="40" w:type="dxa"/>
                  </w:tcMar>
                  <w:vAlign w:val="bottom"/>
                </w:tcPr>
                <w:p w14:paraId="47F508F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December 31, 2023 (Audited)</w:t>
                  </w: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E64D02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17,102</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C934B4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9BACE9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9,454</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E941F64"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385236F"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4,820</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5AD2693"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3EADB9A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2,530</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29B83D38"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C11695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3,706</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303A3FE"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DB7429C"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365</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1A830D67"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30A5DAC5"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896</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65C693CD"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p>
              </w:tc>
              <w:tc>
                <w:tcPr>
                  <w:tcW w:w="93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E211051" w14:textId="77777777" w:rsidR="00213131" w:rsidRPr="004D7A72" w:rsidRDefault="00213131" w:rsidP="00A65A6F">
                  <w:pPr>
                    <w:keepNext/>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38,873</w:t>
                  </w:r>
                </w:p>
              </w:tc>
            </w:tr>
          </w:tbl>
          <w:p w14:paraId="16E9591F" w14:textId="77777777" w:rsidR="00213131" w:rsidRPr="004D7A72" w:rsidRDefault="00213131" w:rsidP="00A65A6F">
            <w:pPr>
              <w:rPr>
                <w:rFonts w:asciiTheme="majorBidi" w:hAnsiTheme="majorBidi" w:cstheme="majorBidi"/>
              </w:rPr>
            </w:pPr>
          </w:p>
        </w:tc>
      </w:tr>
    </w:tbl>
    <w:p w14:paraId="32714F4B" w14:textId="77777777" w:rsidR="00213131" w:rsidRPr="004D7A72" w:rsidRDefault="00213131" w:rsidP="00213131">
      <w:pPr>
        <w:keepNext/>
        <w:tabs>
          <w:tab w:val="left" w:pos="-4254"/>
        </w:tabs>
        <w:contextualSpacing/>
        <w:outlineLvl w:val="3"/>
        <w:rPr>
          <w:rFonts w:asciiTheme="majorBidi" w:hAnsiTheme="majorBidi" w:cstheme="majorBidi"/>
          <w:b/>
          <w:bCs/>
          <w:sz w:val="21"/>
          <w:szCs w:val="21"/>
        </w:rPr>
      </w:pPr>
      <w:bookmarkStart w:id="169" w:name="RG_MARKER_56605"/>
      <w:bookmarkStart w:id="170" w:name="RG_MARKER_56709"/>
      <w:bookmarkStart w:id="171" w:name="H4_באור_60Note_מגזרי_פעילות_1"/>
      <w:bookmarkEnd w:id="169"/>
      <w:bookmarkEnd w:id="170"/>
    </w:p>
    <w:p w14:paraId="3FFBC058" w14:textId="410F1481" w:rsidR="00A663FB" w:rsidRDefault="00A663FB">
      <w:pPr>
        <w:spacing w:before="0" w:after="200"/>
        <w:jc w:val="left"/>
        <w:rPr>
          <w:rFonts w:asciiTheme="majorBidi" w:hAnsiTheme="majorBidi" w:cstheme="majorBidi"/>
          <w:b/>
          <w:bCs/>
          <w:sz w:val="21"/>
          <w:szCs w:val="21"/>
        </w:rPr>
      </w:pPr>
      <w:r>
        <w:rPr>
          <w:rFonts w:asciiTheme="majorBidi" w:hAnsiTheme="majorBidi" w:cstheme="majorBidi"/>
          <w:b/>
          <w:bCs/>
          <w:sz w:val="21"/>
          <w:szCs w:val="21"/>
        </w:rPr>
        <w:br w:type="page"/>
      </w:r>
    </w:p>
    <w:p w14:paraId="380ED07A" w14:textId="77777777" w:rsidR="00213131" w:rsidRPr="004D7A72" w:rsidRDefault="00213131" w:rsidP="00A663FB">
      <w:pPr>
        <w:tabs>
          <w:tab w:val="left" w:pos="-4254"/>
        </w:tabs>
        <w:contextualSpacing/>
        <w:outlineLvl w:val="3"/>
        <w:rPr>
          <w:rFonts w:asciiTheme="majorBidi" w:hAnsiTheme="majorBidi" w:cstheme="majorBidi"/>
          <w:b/>
          <w:bCs/>
          <w:sz w:val="21"/>
          <w:szCs w:val="21"/>
        </w:rPr>
      </w:pPr>
      <w:r w:rsidRPr="004D7A72">
        <w:rPr>
          <w:rFonts w:asciiTheme="majorBidi" w:hAnsiTheme="majorBidi" w:cstheme="majorBidi"/>
          <w:b/>
          <w:sz w:val="21"/>
        </w:rPr>
        <w:lastRenderedPageBreak/>
        <w:t>Note 7 - Condensed Financial Information of G Alpha</w:t>
      </w:r>
      <w:bookmarkEnd w:id="171"/>
    </w:p>
    <w:p w14:paraId="2B60B05D" w14:textId="77777777" w:rsidR="00213131" w:rsidRPr="004D7A72" w:rsidRDefault="00213131" w:rsidP="00A663FB">
      <w:pPr>
        <w:tabs>
          <w:tab w:val="left" w:pos="425"/>
          <w:tab w:val="left" w:pos="1700"/>
          <w:tab w:val="left" w:pos="1789"/>
          <w:tab w:val="left" w:pos="1842"/>
          <w:tab w:val="left" w:pos="2267"/>
          <w:tab w:val="left" w:pos="2409"/>
        </w:tabs>
        <w:rPr>
          <w:rFonts w:asciiTheme="majorBidi" w:hAnsiTheme="majorBidi" w:cstheme="majorBidi"/>
          <w:sz w:val="21"/>
          <w:szCs w:val="21"/>
        </w:rPr>
      </w:pPr>
      <w:r w:rsidRPr="004D7A72">
        <w:rPr>
          <w:rFonts w:asciiTheme="majorBidi" w:hAnsiTheme="majorBidi" w:cstheme="majorBidi"/>
          <w:sz w:val="21"/>
        </w:rPr>
        <w:t>In February 2024 the Company issued to the public NIS 410 million par value Debentures (Series R) are secured by a fixed first degree lien on all of the Company’s holdings in GHI Alpha Portfolio LLC (“G Alpha”), which are held by the Company through Gazit Horizons Inc., a wholly-owned subsidiary of the Company (indirect) and related rights, as well as a single lien on the bank account established and held by G Alpha.</w:t>
      </w:r>
    </w:p>
    <w:p w14:paraId="2B45C6B1" w14:textId="77777777" w:rsidR="00213131" w:rsidRPr="004D7A72" w:rsidRDefault="00213131" w:rsidP="00A663FB">
      <w:pPr>
        <w:pStyle w:val="ListParagraph"/>
        <w:tabs>
          <w:tab w:val="left" w:pos="425"/>
          <w:tab w:val="left" w:pos="1700"/>
          <w:tab w:val="left" w:pos="1789"/>
          <w:tab w:val="left" w:pos="1842"/>
          <w:tab w:val="left" w:pos="2267"/>
          <w:tab w:val="left" w:pos="2409"/>
        </w:tabs>
        <w:ind w:left="0"/>
        <w:contextualSpacing w:val="0"/>
        <w:rPr>
          <w:rFonts w:asciiTheme="majorBidi" w:hAnsiTheme="majorBidi" w:cstheme="majorBidi"/>
          <w:sz w:val="21"/>
          <w:szCs w:val="21"/>
          <w:u w:val="single"/>
        </w:rPr>
      </w:pPr>
      <w:r w:rsidRPr="004D7A72">
        <w:rPr>
          <w:rFonts w:asciiTheme="majorBidi" w:hAnsiTheme="majorBidi" w:cstheme="majorBidi"/>
          <w:sz w:val="21"/>
          <w:u w:val="single"/>
        </w:rPr>
        <w:t>Breakdown of Condensed Financial Information of G Alpha and key notes:</w:t>
      </w:r>
    </w:p>
    <w:p w14:paraId="2EE43989" w14:textId="77777777" w:rsidR="00213131" w:rsidRPr="004D7A72" w:rsidRDefault="00213131" w:rsidP="00A663FB">
      <w:pPr>
        <w:pStyle w:val="ListParagraph"/>
        <w:tabs>
          <w:tab w:val="left" w:pos="425"/>
          <w:tab w:val="left" w:pos="1700"/>
          <w:tab w:val="left" w:pos="1789"/>
          <w:tab w:val="left" w:pos="1842"/>
          <w:tab w:val="left" w:pos="2267"/>
          <w:tab w:val="left" w:pos="2409"/>
        </w:tabs>
        <w:ind w:left="0"/>
        <w:contextualSpacing w:val="0"/>
        <w:rPr>
          <w:rFonts w:asciiTheme="majorBidi" w:eastAsia="Calibri" w:hAnsiTheme="majorBidi" w:cstheme="majorBidi"/>
          <w:b/>
          <w:bCs/>
          <w:sz w:val="21"/>
          <w:szCs w:val="21"/>
        </w:rPr>
      </w:pPr>
      <w:r w:rsidRPr="004D7A72">
        <w:rPr>
          <w:rFonts w:asciiTheme="majorBidi" w:hAnsiTheme="majorBidi" w:cstheme="majorBidi"/>
          <w:sz w:val="21"/>
        </w:rPr>
        <w:t xml:space="preserve">Condensed financial information of financial position -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13131" w:rsidRPr="004D7A72" w14:paraId="71B06A36" w14:textId="77777777" w:rsidTr="00A65A6F">
        <w:trPr>
          <w:cantSplit/>
        </w:trPr>
        <w:tc>
          <w:tcPr>
            <w:tcW w:w="5000" w:type="pct"/>
          </w:tcPr>
          <w:tbl>
            <w:tblPr>
              <w:tblStyle w:val="CDMRange1"/>
              <w:tblW w:w="9922" w:type="dxa"/>
              <w:tblLook w:val="0600" w:firstRow="0" w:lastRow="0" w:firstColumn="0" w:lastColumn="0" w:noHBand="1" w:noVBand="1"/>
            </w:tblPr>
            <w:tblGrid>
              <w:gridCol w:w="4900"/>
              <w:gridCol w:w="1372"/>
              <w:gridCol w:w="301"/>
              <w:gridCol w:w="1298"/>
              <w:gridCol w:w="309"/>
              <w:gridCol w:w="1527"/>
            </w:tblGrid>
            <w:tr w:rsidR="00213131" w:rsidRPr="004D7A72" w14:paraId="5AF0F081" w14:textId="77777777" w:rsidTr="00A65A6F">
              <w:trPr>
                <w:trHeight w:hRule="exact" w:val="300"/>
              </w:trPr>
              <w:tc>
                <w:tcPr>
                  <w:tcW w:w="5056" w:type="dxa"/>
                  <w:tcBorders>
                    <w:top w:val="nil"/>
                    <w:left w:val="nil"/>
                    <w:bottom w:val="nil"/>
                    <w:right w:val="nil"/>
                    <w:tl2br w:val="nil"/>
                    <w:tr2bl w:val="nil"/>
                  </w:tcBorders>
                  <w:shd w:val="clear" w:color="auto" w:fill="auto"/>
                  <w:noWrap/>
                  <w:tcMar>
                    <w:left w:w="0" w:type="dxa"/>
                    <w:right w:w="0" w:type="dxa"/>
                  </w:tcMar>
                  <w:vAlign w:val="bottom"/>
                </w:tcPr>
                <w:p w14:paraId="04801052" w14:textId="77777777" w:rsidR="00213131" w:rsidRPr="004D7A72" w:rsidRDefault="00213131" w:rsidP="00A663FB">
                  <w:pPr>
                    <w:spacing w:before="0" w:after="0"/>
                    <w:jc w:val="left"/>
                    <w:rPr>
                      <w:rFonts w:asciiTheme="majorBidi" w:eastAsia="Ploni ML Medium AAA Medium" w:hAnsiTheme="majorBidi" w:cstheme="majorBidi"/>
                      <w:color w:val="000000"/>
                      <w:sz w:val="21"/>
                      <w:u w:val="single"/>
                    </w:rPr>
                  </w:pPr>
                </w:p>
              </w:tc>
              <w:tc>
                <w:tcPr>
                  <w:tcW w:w="1397" w:type="dxa"/>
                  <w:tcBorders>
                    <w:top w:val="nil"/>
                    <w:left w:val="nil"/>
                    <w:bottom w:val="nil"/>
                    <w:right w:val="nil"/>
                    <w:tl2br w:val="nil"/>
                    <w:tr2bl w:val="nil"/>
                  </w:tcBorders>
                  <w:shd w:val="clear" w:color="auto" w:fill="auto"/>
                  <w:noWrap/>
                  <w:tcMar>
                    <w:left w:w="0" w:type="dxa"/>
                    <w:right w:w="0" w:type="dxa"/>
                  </w:tcMar>
                  <w:vAlign w:val="bottom"/>
                </w:tcPr>
                <w:p w14:paraId="3FFEBB35" w14:textId="77777777" w:rsidR="00213131" w:rsidRPr="004D7A72" w:rsidRDefault="00213131" w:rsidP="00A663FB">
                  <w:pPr>
                    <w:spacing w:before="0" w:after="0"/>
                    <w:jc w:val="left"/>
                    <w:rPr>
                      <w:rFonts w:asciiTheme="majorBidi" w:eastAsia="Ploni ML Medium AAA Medium" w:hAnsiTheme="majorBidi" w:cstheme="majorBidi"/>
                      <w:color w:val="000000"/>
                      <w:u w:val="single"/>
                    </w:rPr>
                  </w:pPr>
                </w:p>
              </w:tc>
              <w:tc>
                <w:tcPr>
                  <w:tcW w:w="291" w:type="dxa"/>
                  <w:tcBorders>
                    <w:top w:val="nil"/>
                    <w:left w:val="nil"/>
                    <w:bottom w:val="nil"/>
                    <w:right w:val="nil"/>
                    <w:tl2br w:val="nil"/>
                    <w:tr2bl w:val="nil"/>
                  </w:tcBorders>
                  <w:shd w:val="clear" w:color="auto" w:fill="auto"/>
                  <w:noWrap/>
                  <w:tcMar>
                    <w:left w:w="0" w:type="dxa"/>
                    <w:right w:w="0" w:type="dxa"/>
                  </w:tcMar>
                  <w:vAlign w:val="bottom"/>
                </w:tcPr>
                <w:p w14:paraId="2A60BA8B" w14:textId="77777777" w:rsidR="00213131" w:rsidRPr="004D7A72" w:rsidRDefault="00213131" w:rsidP="00A663FB">
                  <w:pPr>
                    <w:spacing w:before="0" w:after="0"/>
                    <w:jc w:val="left"/>
                    <w:rPr>
                      <w:rFonts w:asciiTheme="majorBidi" w:eastAsia="Ploni ML Medium AAA Medium" w:hAnsiTheme="majorBidi" w:cstheme="majorBidi"/>
                      <w:color w:val="000000"/>
                      <w:u w:val="single"/>
                    </w:rPr>
                  </w:pPr>
                </w:p>
              </w:tc>
              <w:tc>
                <w:tcPr>
                  <w:tcW w:w="1320" w:type="dxa"/>
                  <w:tcBorders>
                    <w:top w:val="nil"/>
                    <w:left w:val="nil"/>
                    <w:bottom w:val="nil"/>
                    <w:right w:val="nil"/>
                    <w:tl2br w:val="nil"/>
                    <w:tr2bl w:val="nil"/>
                  </w:tcBorders>
                  <w:shd w:val="clear" w:color="auto" w:fill="auto"/>
                  <w:noWrap/>
                  <w:tcMar>
                    <w:left w:w="0" w:type="dxa"/>
                    <w:right w:w="0" w:type="dxa"/>
                  </w:tcMar>
                  <w:vAlign w:val="bottom"/>
                </w:tcPr>
                <w:p w14:paraId="5BE13B9D" w14:textId="77777777" w:rsidR="00213131" w:rsidRPr="004D7A72" w:rsidRDefault="00213131" w:rsidP="00A663FB">
                  <w:pPr>
                    <w:spacing w:before="0" w:after="0"/>
                    <w:jc w:val="left"/>
                    <w:rPr>
                      <w:rFonts w:asciiTheme="majorBidi" w:eastAsia="Ploni ML Medium AAA Medium" w:hAnsiTheme="majorBidi" w:cstheme="majorBidi"/>
                      <w:color w:val="000000"/>
                      <w:u w:val="single"/>
                    </w:rPr>
                  </w:pPr>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6AB8DD0F" w14:textId="77777777" w:rsidR="00213131" w:rsidRPr="004D7A72" w:rsidRDefault="00213131" w:rsidP="00A663FB">
                  <w:pPr>
                    <w:spacing w:before="0" w:after="0"/>
                    <w:jc w:val="left"/>
                    <w:rPr>
                      <w:rFonts w:asciiTheme="majorBidi" w:eastAsia="Ploni ML Medium AAA Medium" w:hAnsiTheme="majorBidi" w:cstheme="majorBidi"/>
                      <w:color w:val="000000"/>
                      <w:u w:val="single"/>
                    </w:rPr>
                  </w:pPr>
                </w:p>
              </w:tc>
              <w:tc>
                <w:tcPr>
                  <w:tcW w:w="1558" w:type="dxa"/>
                  <w:tcBorders>
                    <w:top w:val="nil"/>
                    <w:left w:val="nil"/>
                    <w:bottom w:val="nil"/>
                    <w:right w:val="nil"/>
                    <w:tl2br w:val="nil"/>
                    <w:tr2bl w:val="nil"/>
                  </w:tcBorders>
                  <w:shd w:val="clear" w:color="auto" w:fill="auto"/>
                  <w:noWrap/>
                  <w:tcMar>
                    <w:left w:w="40" w:type="dxa"/>
                    <w:right w:w="40" w:type="dxa"/>
                  </w:tcMar>
                  <w:vAlign w:val="bottom"/>
                </w:tcPr>
                <w:p w14:paraId="51057F49" w14:textId="77777777" w:rsidR="00213131" w:rsidRPr="004D7A72" w:rsidRDefault="00213131" w:rsidP="00A663FB">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At</w:t>
                  </w:r>
                </w:p>
              </w:tc>
            </w:tr>
            <w:tr w:rsidR="00213131" w:rsidRPr="004D7A72" w14:paraId="0E063D4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0" w:type="dxa"/>
                    <w:right w:w="0" w:type="dxa"/>
                  </w:tcMar>
                  <w:vAlign w:val="bottom"/>
                </w:tcPr>
                <w:p w14:paraId="68476EA9"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p>
              </w:tc>
              <w:tc>
                <w:tcPr>
                  <w:tcW w:w="3008"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176D3585" w14:textId="77777777" w:rsidR="00213131" w:rsidRPr="004D7A72" w:rsidRDefault="00213131" w:rsidP="00A663FB">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June 30</w:t>
                  </w:r>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53AAE6EA" w14:textId="77777777" w:rsidR="00213131" w:rsidRPr="004D7A72" w:rsidRDefault="00213131" w:rsidP="00A663FB">
                  <w:pPr>
                    <w:spacing w:before="0" w:after="0"/>
                    <w:jc w:val="center"/>
                    <w:rPr>
                      <w:rFonts w:asciiTheme="majorBidi" w:eastAsia="Ploni ML Medium AAA Medium" w:hAnsiTheme="majorBidi" w:cstheme="majorBidi"/>
                      <w:b/>
                      <w:color w:val="000000"/>
                    </w:rPr>
                  </w:pPr>
                </w:p>
              </w:tc>
              <w:tc>
                <w:tcPr>
                  <w:tcW w:w="1558" w:type="dxa"/>
                  <w:tcBorders>
                    <w:top w:val="nil"/>
                    <w:left w:val="nil"/>
                    <w:bottom w:val="nil"/>
                    <w:right w:val="nil"/>
                    <w:tl2br w:val="nil"/>
                    <w:tr2bl w:val="nil"/>
                  </w:tcBorders>
                  <w:shd w:val="clear" w:color="auto" w:fill="auto"/>
                  <w:noWrap/>
                  <w:tcMar>
                    <w:left w:w="40" w:type="dxa"/>
                    <w:right w:w="40" w:type="dxa"/>
                  </w:tcMar>
                  <w:vAlign w:val="bottom"/>
                </w:tcPr>
                <w:p w14:paraId="5E69704E" w14:textId="77777777" w:rsidR="00213131" w:rsidRPr="004D7A72" w:rsidRDefault="00213131" w:rsidP="00A663FB">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December 31</w:t>
                  </w:r>
                </w:p>
              </w:tc>
            </w:tr>
            <w:tr w:rsidR="00213131" w:rsidRPr="004D7A72" w14:paraId="3D69881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56" w:type="dxa"/>
                  <w:tcBorders>
                    <w:top w:val="nil"/>
                    <w:left w:val="nil"/>
                    <w:bottom w:val="nil"/>
                    <w:right w:val="nil"/>
                    <w:tl2br w:val="nil"/>
                    <w:tr2bl w:val="nil"/>
                  </w:tcBorders>
                  <w:shd w:val="clear" w:color="auto" w:fill="auto"/>
                  <w:noWrap/>
                  <w:tcMar>
                    <w:left w:w="0" w:type="dxa"/>
                    <w:right w:w="0" w:type="dxa"/>
                  </w:tcMar>
                  <w:vAlign w:val="bottom"/>
                </w:tcPr>
                <w:p w14:paraId="20687CB8"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p>
              </w:tc>
              <w:tc>
                <w:tcPr>
                  <w:tcW w:w="1397"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38568B9" w14:textId="77777777" w:rsidR="00213131" w:rsidRPr="004D7A72" w:rsidRDefault="00213131" w:rsidP="00A663FB">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2024</w:t>
                  </w:r>
                </w:p>
              </w:tc>
              <w:tc>
                <w:tcPr>
                  <w:tcW w:w="29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0F5ECC" w14:textId="77777777" w:rsidR="00213131" w:rsidRPr="004D7A72" w:rsidRDefault="00213131" w:rsidP="00A663FB">
                  <w:pPr>
                    <w:spacing w:before="0" w:after="0"/>
                    <w:jc w:val="center"/>
                    <w:rPr>
                      <w:rFonts w:asciiTheme="majorBidi" w:eastAsia="Ploni ML Medium AAA Medium" w:hAnsiTheme="majorBidi" w:cstheme="majorBidi"/>
                      <w:b/>
                      <w:color w:val="000000"/>
                    </w:rPr>
                  </w:pPr>
                </w:p>
              </w:tc>
              <w:tc>
                <w:tcPr>
                  <w:tcW w:w="13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8B46691" w14:textId="77777777" w:rsidR="00213131" w:rsidRPr="004D7A72" w:rsidRDefault="00213131" w:rsidP="00A663FB">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c>
                <w:tcPr>
                  <w:tcW w:w="300" w:type="dxa"/>
                  <w:tcBorders>
                    <w:top w:val="nil"/>
                    <w:left w:val="nil"/>
                    <w:bottom w:val="single" w:sz="4" w:space="0" w:color="000000"/>
                    <w:right w:val="nil"/>
                    <w:tl2br w:val="nil"/>
                    <w:tr2bl w:val="nil"/>
                  </w:tcBorders>
                  <w:shd w:val="clear" w:color="auto" w:fill="auto"/>
                  <w:tcMar>
                    <w:left w:w="0" w:type="dxa"/>
                    <w:right w:w="0" w:type="dxa"/>
                  </w:tcMar>
                  <w:vAlign w:val="bottom"/>
                </w:tcPr>
                <w:p w14:paraId="7BCF93D3" w14:textId="77777777" w:rsidR="00213131" w:rsidRPr="004D7A72" w:rsidRDefault="00213131" w:rsidP="00A663FB">
                  <w:pPr>
                    <w:spacing w:before="0" w:after="0"/>
                    <w:jc w:val="center"/>
                    <w:rPr>
                      <w:rFonts w:asciiTheme="majorBidi" w:eastAsia="Ploni ML Medium AAA Medium" w:hAnsiTheme="majorBidi" w:cstheme="majorBidi"/>
                      <w:b/>
                      <w:color w:val="000000"/>
                    </w:rPr>
                  </w:pPr>
                </w:p>
              </w:tc>
              <w:tc>
                <w:tcPr>
                  <w:tcW w:w="1558" w:type="dxa"/>
                  <w:tcBorders>
                    <w:top w:val="nil"/>
                    <w:left w:val="nil"/>
                    <w:bottom w:val="single" w:sz="4" w:space="0" w:color="000000"/>
                    <w:right w:val="nil"/>
                    <w:tl2br w:val="nil"/>
                    <w:tr2bl w:val="nil"/>
                  </w:tcBorders>
                  <w:shd w:val="clear" w:color="auto" w:fill="auto"/>
                  <w:tcMar>
                    <w:left w:w="40" w:type="dxa"/>
                    <w:right w:w="40" w:type="dxa"/>
                  </w:tcMar>
                  <w:vAlign w:val="bottom"/>
                </w:tcPr>
                <w:p w14:paraId="65670CF9" w14:textId="77777777" w:rsidR="00213131" w:rsidRPr="004D7A72" w:rsidRDefault="00213131" w:rsidP="00A663FB">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r>
            <w:tr w:rsidR="00213131" w:rsidRPr="004D7A72" w14:paraId="09F3BFF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0" w:type="dxa"/>
                    <w:right w:w="0" w:type="dxa"/>
                  </w:tcMar>
                  <w:vAlign w:val="bottom"/>
                </w:tcPr>
                <w:p w14:paraId="1496E02E"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p>
              </w:tc>
              <w:tc>
                <w:tcPr>
                  <w:tcW w:w="4866" w:type="dxa"/>
                  <w:gridSpan w:val="5"/>
                  <w:tcBorders>
                    <w:top w:val="nil"/>
                    <w:left w:val="nil"/>
                    <w:bottom w:val="single" w:sz="4" w:space="0" w:color="000000"/>
                    <w:right w:val="nil"/>
                    <w:tl2br w:val="nil"/>
                    <w:tr2bl w:val="nil"/>
                  </w:tcBorders>
                  <w:shd w:val="clear" w:color="auto" w:fill="auto"/>
                  <w:noWrap/>
                  <w:tcMar>
                    <w:left w:w="40" w:type="dxa"/>
                    <w:right w:w="40" w:type="dxa"/>
                  </w:tcMar>
                  <w:vAlign w:val="bottom"/>
                </w:tcPr>
                <w:p w14:paraId="7B2307EB" w14:textId="77777777" w:rsidR="00213131" w:rsidRPr="004D7A72" w:rsidRDefault="00213131" w:rsidP="00A663FB">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USD thousand</w:t>
                  </w:r>
                </w:p>
              </w:tc>
            </w:tr>
            <w:tr w:rsidR="00213131" w:rsidRPr="004D7A72" w14:paraId="7555DC2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6717B799" w14:textId="77777777" w:rsidR="00213131" w:rsidRPr="004D7A72" w:rsidRDefault="00213131" w:rsidP="00A663FB">
                  <w:pPr>
                    <w:spacing w:before="0" w:after="0"/>
                    <w:jc w:val="left"/>
                    <w:rPr>
                      <w:rFonts w:asciiTheme="majorBidi" w:eastAsia="Ploni ML Medium AAA Medium" w:hAnsiTheme="majorBidi" w:cstheme="majorBidi"/>
                      <w:color w:val="000000"/>
                      <w:sz w:val="21"/>
                      <w:u w:val="single"/>
                    </w:rPr>
                  </w:pPr>
                  <w:r w:rsidRPr="004D7A72">
                    <w:rPr>
                      <w:rFonts w:asciiTheme="majorBidi" w:hAnsiTheme="majorBidi" w:cstheme="majorBidi"/>
                      <w:color w:val="000000"/>
                      <w:sz w:val="21"/>
                      <w:u w:val="single"/>
                    </w:rPr>
                    <w:t>Properties</w:t>
                  </w:r>
                </w:p>
              </w:tc>
              <w:tc>
                <w:tcPr>
                  <w:tcW w:w="1397"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EB5F1F" w14:textId="77777777" w:rsidR="00213131" w:rsidRPr="004D7A72" w:rsidRDefault="00213131" w:rsidP="00A663FB">
                  <w:pPr>
                    <w:spacing w:before="0" w:after="0"/>
                    <w:jc w:val="center"/>
                    <w:rPr>
                      <w:rFonts w:asciiTheme="majorBidi" w:eastAsia="Ploni ML Medium AAA Medium" w:hAnsiTheme="majorBidi" w:cstheme="majorBidi"/>
                      <w:b/>
                      <w:color w:val="000000"/>
                      <w:sz w:val="21"/>
                    </w:rPr>
                  </w:pPr>
                </w:p>
              </w:tc>
              <w:tc>
                <w:tcPr>
                  <w:tcW w:w="29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ACE960" w14:textId="77777777" w:rsidR="00213131" w:rsidRPr="004D7A72" w:rsidRDefault="00213131" w:rsidP="00A663FB">
                  <w:pPr>
                    <w:spacing w:before="0" w:after="0"/>
                    <w:jc w:val="center"/>
                    <w:rPr>
                      <w:rFonts w:asciiTheme="majorBidi" w:eastAsia="Ploni ML Medium AAA Medium" w:hAnsiTheme="majorBidi" w:cstheme="majorBidi"/>
                      <w:b/>
                      <w:color w:val="000000"/>
                      <w:sz w:val="21"/>
                    </w:rPr>
                  </w:pPr>
                </w:p>
              </w:tc>
              <w:tc>
                <w:tcPr>
                  <w:tcW w:w="13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81DBCB" w14:textId="77777777" w:rsidR="00213131" w:rsidRPr="004D7A72" w:rsidRDefault="00213131" w:rsidP="00A663FB">
                  <w:pPr>
                    <w:spacing w:before="0" w:after="0"/>
                    <w:jc w:val="center"/>
                    <w:rPr>
                      <w:rFonts w:asciiTheme="majorBidi" w:eastAsia="Ploni ML Medium AAA Medium" w:hAnsiTheme="majorBidi" w:cstheme="majorBidi"/>
                      <w:b/>
                      <w:color w:val="000000"/>
                      <w:sz w:val="21"/>
                    </w:rPr>
                  </w:pPr>
                </w:p>
              </w:tc>
              <w:tc>
                <w:tcPr>
                  <w:tcW w:w="3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D9E55F" w14:textId="77777777" w:rsidR="00213131" w:rsidRPr="004D7A72" w:rsidRDefault="00213131" w:rsidP="00A663FB">
                  <w:pPr>
                    <w:spacing w:before="0" w:after="0"/>
                    <w:jc w:val="center"/>
                    <w:rPr>
                      <w:rFonts w:asciiTheme="majorBidi" w:eastAsia="Ploni ML Medium AAA Medium" w:hAnsiTheme="majorBidi" w:cstheme="majorBidi"/>
                      <w:b/>
                      <w:color w:val="000000"/>
                      <w:sz w:val="21"/>
                    </w:rPr>
                  </w:pPr>
                </w:p>
              </w:tc>
              <w:tc>
                <w:tcPr>
                  <w:tcW w:w="1558"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413333"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p>
              </w:tc>
            </w:tr>
            <w:tr w:rsidR="00213131" w:rsidRPr="004D7A72" w14:paraId="059CD3A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79EBBFF2" w14:textId="77777777" w:rsidR="00213131" w:rsidRPr="004D7A72" w:rsidRDefault="00213131" w:rsidP="00A663FB">
                  <w:pPr>
                    <w:spacing w:before="0" w:after="0"/>
                    <w:jc w:val="left"/>
                    <w:rPr>
                      <w:rFonts w:asciiTheme="majorBidi" w:eastAsia="Ploni ML Medium AAA Medium" w:hAnsiTheme="majorBidi" w:cstheme="majorBidi"/>
                      <w:color w:val="000000"/>
                      <w:sz w:val="21"/>
                      <w:u w:val="single"/>
                    </w:rPr>
                  </w:pPr>
                  <w:r w:rsidRPr="004D7A72">
                    <w:rPr>
                      <w:rFonts w:asciiTheme="majorBidi" w:hAnsiTheme="majorBidi" w:cstheme="majorBidi"/>
                      <w:color w:val="000000"/>
                      <w:sz w:val="21"/>
                      <w:u w:val="single"/>
                    </w:rPr>
                    <w:t>Current assets</w:t>
                  </w:r>
                </w:p>
              </w:tc>
              <w:tc>
                <w:tcPr>
                  <w:tcW w:w="1397" w:type="dxa"/>
                  <w:tcBorders>
                    <w:top w:val="nil"/>
                    <w:left w:val="nil"/>
                    <w:bottom w:val="nil"/>
                    <w:right w:val="nil"/>
                    <w:tl2br w:val="nil"/>
                    <w:tr2bl w:val="nil"/>
                  </w:tcBorders>
                  <w:shd w:val="clear" w:color="auto" w:fill="auto"/>
                  <w:noWrap/>
                  <w:tcMar>
                    <w:left w:w="0" w:type="dxa"/>
                    <w:right w:w="0" w:type="dxa"/>
                  </w:tcMar>
                  <w:vAlign w:val="bottom"/>
                </w:tcPr>
                <w:p w14:paraId="642FA9D0" w14:textId="77777777" w:rsidR="00213131" w:rsidRPr="004D7A72" w:rsidRDefault="00213131" w:rsidP="00A663FB">
                  <w:pPr>
                    <w:spacing w:before="0" w:after="0"/>
                    <w:jc w:val="center"/>
                    <w:rPr>
                      <w:rFonts w:asciiTheme="majorBidi" w:eastAsia="Ploni ML Medium AAA Medium" w:hAnsiTheme="majorBidi" w:cstheme="majorBidi"/>
                      <w:b/>
                      <w:color w:val="000000"/>
                      <w:sz w:val="21"/>
                    </w:rPr>
                  </w:pPr>
                </w:p>
              </w:tc>
              <w:tc>
                <w:tcPr>
                  <w:tcW w:w="291" w:type="dxa"/>
                  <w:tcBorders>
                    <w:top w:val="nil"/>
                    <w:left w:val="nil"/>
                    <w:bottom w:val="nil"/>
                    <w:right w:val="nil"/>
                    <w:tl2br w:val="nil"/>
                    <w:tr2bl w:val="nil"/>
                  </w:tcBorders>
                  <w:shd w:val="clear" w:color="auto" w:fill="auto"/>
                  <w:noWrap/>
                  <w:tcMar>
                    <w:left w:w="0" w:type="dxa"/>
                    <w:right w:w="0" w:type="dxa"/>
                  </w:tcMar>
                  <w:vAlign w:val="bottom"/>
                </w:tcPr>
                <w:p w14:paraId="139276FE" w14:textId="77777777" w:rsidR="00213131" w:rsidRPr="004D7A72" w:rsidRDefault="00213131" w:rsidP="00A663FB">
                  <w:pPr>
                    <w:spacing w:before="0" w:after="0"/>
                    <w:jc w:val="center"/>
                    <w:rPr>
                      <w:rFonts w:asciiTheme="majorBidi" w:eastAsia="Ploni ML Medium AAA Medium" w:hAnsiTheme="majorBidi" w:cstheme="majorBidi"/>
                      <w:b/>
                      <w:color w:val="000000"/>
                      <w:sz w:val="21"/>
                    </w:rPr>
                  </w:pPr>
                </w:p>
              </w:tc>
              <w:tc>
                <w:tcPr>
                  <w:tcW w:w="1320" w:type="dxa"/>
                  <w:tcBorders>
                    <w:top w:val="nil"/>
                    <w:left w:val="nil"/>
                    <w:bottom w:val="nil"/>
                    <w:right w:val="nil"/>
                    <w:tl2br w:val="nil"/>
                    <w:tr2bl w:val="nil"/>
                  </w:tcBorders>
                  <w:shd w:val="clear" w:color="auto" w:fill="auto"/>
                  <w:noWrap/>
                  <w:tcMar>
                    <w:left w:w="0" w:type="dxa"/>
                    <w:right w:w="0" w:type="dxa"/>
                  </w:tcMar>
                  <w:vAlign w:val="bottom"/>
                </w:tcPr>
                <w:p w14:paraId="74EBAD5C" w14:textId="77777777" w:rsidR="00213131" w:rsidRPr="004D7A72" w:rsidRDefault="00213131" w:rsidP="00A663FB">
                  <w:pPr>
                    <w:spacing w:before="0" w:after="0"/>
                    <w:jc w:val="center"/>
                    <w:rPr>
                      <w:rFonts w:asciiTheme="majorBidi" w:eastAsia="Ploni ML Medium AAA Medium" w:hAnsiTheme="majorBidi" w:cstheme="majorBidi"/>
                      <w:b/>
                      <w:color w:val="000000"/>
                      <w:sz w:val="21"/>
                    </w:rPr>
                  </w:pPr>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1066A061" w14:textId="77777777" w:rsidR="00213131" w:rsidRPr="004D7A72" w:rsidRDefault="00213131" w:rsidP="00A663FB">
                  <w:pPr>
                    <w:spacing w:before="0" w:after="0"/>
                    <w:jc w:val="center"/>
                    <w:rPr>
                      <w:rFonts w:asciiTheme="majorBidi" w:eastAsia="Ploni ML Medium AAA Medium" w:hAnsiTheme="majorBidi" w:cstheme="majorBidi"/>
                      <w:b/>
                      <w:color w:val="000000"/>
                      <w:sz w:val="21"/>
                    </w:rPr>
                  </w:pPr>
                </w:p>
              </w:tc>
              <w:tc>
                <w:tcPr>
                  <w:tcW w:w="1558" w:type="dxa"/>
                  <w:tcBorders>
                    <w:top w:val="nil"/>
                    <w:left w:val="nil"/>
                    <w:bottom w:val="nil"/>
                    <w:right w:val="nil"/>
                    <w:tl2br w:val="nil"/>
                    <w:tr2bl w:val="nil"/>
                  </w:tcBorders>
                  <w:shd w:val="clear" w:color="auto" w:fill="auto"/>
                  <w:noWrap/>
                  <w:tcMar>
                    <w:left w:w="0" w:type="dxa"/>
                    <w:right w:w="0" w:type="dxa"/>
                  </w:tcMar>
                  <w:vAlign w:val="bottom"/>
                </w:tcPr>
                <w:p w14:paraId="4C2369C0"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p>
              </w:tc>
            </w:tr>
            <w:tr w:rsidR="00213131" w:rsidRPr="004D7A72" w14:paraId="2787721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6C706C88"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Cash and cash equivalents</w:t>
                  </w:r>
                </w:p>
              </w:tc>
              <w:tc>
                <w:tcPr>
                  <w:tcW w:w="1397" w:type="dxa"/>
                  <w:tcBorders>
                    <w:top w:val="nil"/>
                    <w:left w:val="nil"/>
                    <w:bottom w:val="nil"/>
                    <w:right w:val="nil"/>
                    <w:tl2br w:val="nil"/>
                    <w:tr2bl w:val="nil"/>
                  </w:tcBorders>
                  <w:shd w:val="clear" w:color="auto" w:fill="auto"/>
                  <w:noWrap/>
                  <w:tcMar>
                    <w:left w:w="40" w:type="dxa"/>
                    <w:right w:w="235" w:type="dxa"/>
                  </w:tcMar>
                  <w:vAlign w:val="bottom"/>
                </w:tcPr>
                <w:p w14:paraId="30008675"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5,386</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1F330375"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nil"/>
                    <w:left w:val="nil"/>
                    <w:bottom w:val="nil"/>
                    <w:right w:val="nil"/>
                    <w:tl2br w:val="nil"/>
                    <w:tr2bl w:val="nil"/>
                  </w:tcBorders>
                  <w:shd w:val="clear" w:color="auto" w:fill="auto"/>
                  <w:noWrap/>
                  <w:tcMar>
                    <w:left w:w="40" w:type="dxa"/>
                    <w:right w:w="235" w:type="dxa"/>
                  </w:tcMar>
                  <w:vAlign w:val="bottom"/>
                </w:tcPr>
                <w:p w14:paraId="031867E4"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2,564</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5A5634C6"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nil"/>
                    <w:left w:val="nil"/>
                    <w:bottom w:val="nil"/>
                    <w:right w:val="nil"/>
                    <w:tl2br w:val="nil"/>
                    <w:tr2bl w:val="nil"/>
                  </w:tcBorders>
                  <w:shd w:val="clear" w:color="auto" w:fill="auto"/>
                  <w:noWrap/>
                  <w:tcMar>
                    <w:left w:w="40" w:type="dxa"/>
                    <w:right w:w="235" w:type="dxa"/>
                  </w:tcMar>
                  <w:vAlign w:val="bottom"/>
                </w:tcPr>
                <w:p w14:paraId="38336A72"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1,682</w:t>
                  </w:r>
                </w:p>
              </w:tc>
            </w:tr>
            <w:tr w:rsidR="00213131" w:rsidRPr="004D7A72" w14:paraId="03B8C8A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12303ADE"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Trade receivables</w:t>
                  </w:r>
                </w:p>
              </w:tc>
              <w:tc>
                <w:tcPr>
                  <w:tcW w:w="1397" w:type="dxa"/>
                  <w:tcBorders>
                    <w:top w:val="nil"/>
                    <w:left w:val="nil"/>
                    <w:bottom w:val="nil"/>
                    <w:right w:val="nil"/>
                    <w:tl2br w:val="nil"/>
                    <w:tr2bl w:val="nil"/>
                  </w:tcBorders>
                  <w:shd w:val="clear" w:color="auto" w:fill="auto"/>
                  <w:noWrap/>
                  <w:tcMar>
                    <w:left w:w="40" w:type="dxa"/>
                    <w:right w:w="235" w:type="dxa"/>
                  </w:tcMar>
                  <w:vAlign w:val="bottom"/>
                </w:tcPr>
                <w:p w14:paraId="5F4F02B4"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91</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7527AC19"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nil"/>
                    <w:left w:val="nil"/>
                    <w:bottom w:val="nil"/>
                    <w:right w:val="nil"/>
                    <w:tl2br w:val="nil"/>
                    <w:tr2bl w:val="nil"/>
                  </w:tcBorders>
                  <w:shd w:val="clear" w:color="auto" w:fill="auto"/>
                  <w:noWrap/>
                  <w:tcMar>
                    <w:left w:w="40" w:type="dxa"/>
                    <w:right w:w="235" w:type="dxa"/>
                  </w:tcMar>
                  <w:vAlign w:val="bottom"/>
                </w:tcPr>
                <w:p w14:paraId="0E022CD4"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210</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047E6A4E"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nil"/>
                    <w:left w:val="nil"/>
                    <w:bottom w:val="nil"/>
                    <w:right w:val="nil"/>
                    <w:tl2br w:val="nil"/>
                    <w:tr2bl w:val="nil"/>
                  </w:tcBorders>
                  <w:shd w:val="clear" w:color="auto" w:fill="auto"/>
                  <w:noWrap/>
                  <w:tcMar>
                    <w:left w:w="40" w:type="dxa"/>
                    <w:right w:w="235" w:type="dxa"/>
                  </w:tcMar>
                  <w:vAlign w:val="bottom"/>
                </w:tcPr>
                <w:p w14:paraId="00C0E90A"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258</w:t>
                  </w:r>
                </w:p>
              </w:tc>
            </w:tr>
            <w:tr w:rsidR="00213131" w:rsidRPr="004D7A72" w14:paraId="5D10228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62F7567C"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Other receivables</w:t>
                  </w:r>
                </w:p>
              </w:tc>
              <w:tc>
                <w:tcPr>
                  <w:tcW w:w="1397"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45BDBCE1"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81</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1B03D88F"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7D97B119"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610</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3F721367"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165F320F"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333</w:t>
                  </w:r>
                </w:p>
              </w:tc>
            </w:tr>
            <w:tr w:rsidR="00213131" w:rsidRPr="004D7A72" w14:paraId="5E47591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0" w:type="dxa"/>
                    <w:right w:w="0" w:type="dxa"/>
                  </w:tcMar>
                  <w:vAlign w:val="bottom"/>
                </w:tcPr>
                <w:p w14:paraId="4F0A1812"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p>
              </w:tc>
              <w:tc>
                <w:tcPr>
                  <w:tcW w:w="1397"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514A41C1"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5,558</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28C97370"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535E5FDC"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3,384</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66906265"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4C1BB6F9"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2,273</w:t>
                  </w:r>
                </w:p>
              </w:tc>
            </w:tr>
            <w:tr w:rsidR="00213131" w:rsidRPr="004D7A72" w14:paraId="1B70B5C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0" w:type="dxa"/>
                    <w:right w:w="0" w:type="dxa"/>
                  </w:tcMar>
                  <w:vAlign w:val="bottom"/>
                </w:tcPr>
                <w:p w14:paraId="7231404F"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p>
              </w:tc>
              <w:tc>
                <w:tcPr>
                  <w:tcW w:w="1397"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67D140D"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67773294"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2DC3B45"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35DAA84C"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0774A79"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r>
            <w:tr w:rsidR="00213131" w:rsidRPr="004D7A72" w14:paraId="6DF19E3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4DFAB1D7" w14:textId="77777777" w:rsidR="00213131" w:rsidRPr="004D7A72" w:rsidRDefault="00213131" w:rsidP="00A663FB">
                  <w:pPr>
                    <w:spacing w:before="0" w:after="0"/>
                    <w:jc w:val="left"/>
                    <w:rPr>
                      <w:rFonts w:asciiTheme="majorBidi" w:eastAsia="Ploni ML Medium AAA Medium" w:hAnsiTheme="majorBidi" w:cstheme="majorBidi"/>
                      <w:color w:val="000000"/>
                      <w:sz w:val="21"/>
                      <w:u w:val="single"/>
                    </w:rPr>
                  </w:pPr>
                  <w:r w:rsidRPr="004D7A72">
                    <w:rPr>
                      <w:rFonts w:asciiTheme="majorBidi" w:hAnsiTheme="majorBidi" w:cstheme="majorBidi"/>
                      <w:color w:val="000000"/>
                      <w:sz w:val="21"/>
                      <w:u w:val="single"/>
                    </w:rPr>
                    <w:t>Non-current assets</w:t>
                  </w:r>
                </w:p>
              </w:tc>
              <w:tc>
                <w:tcPr>
                  <w:tcW w:w="1397" w:type="dxa"/>
                  <w:tcBorders>
                    <w:top w:val="nil"/>
                    <w:left w:val="nil"/>
                    <w:bottom w:val="nil"/>
                    <w:right w:val="nil"/>
                    <w:tl2br w:val="nil"/>
                    <w:tr2bl w:val="nil"/>
                  </w:tcBorders>
                  <w:shd w:val="clear" w:color="auto" w:fill="auto"/>
                  <w:noWrap/>
                  <w:tcMar>
                    <w:left w:w="0" w:type="dxa"/>
                    <w:right w:w="135" w:type="dxa"/>
                  </w:tcMar>
                  <w:vAlign w:val="bottom"/>
                </w:tcPr>
                <w:p w14:paraId="25856C6F"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0A9DA450"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nil"/>
                    <w:left w:val="nil"/>
                    <w:bottom w:val="nil"/>
                    <w:right w:val="nil"/>
                    <w:tl2br w:val="nil"/>
                    <w:tr2bl w:val="nil"/>
                  </w:tcBorders>
                  <w:shd w:val="clear" w:color="auto" w:fill="auto"/>
                  <w:noWrap/>
                  <w:tcMar>
                    <w:left w:w="0" w:type="dxa"/>
                    <w:right w:w="135" w:type="dxa"/>
                  </w:tcMar>
                  <w:vAlign w:val="bottom"/>
                </w:tcPr>
                <w:p w14:paraId="5CB53733"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2F138AD3"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nil"/>
                    <w:left w:val="nil"/>
                    <w:bottom w:val="nil"/>
                    <w:right w:val="nil"/>
                    <w:tl2br w:val="nil"/>
                    <w:tr2bl w:val="nil"/>
                  </w:tcBorders>
                  <w:shd w:val="clear" w:color="auto" w:fill="auto"/>
                  <w:noWrap/>
                  <w:tcMar>
                    <w:left w:w="0" w:type="dxa"/>
                    <w:right w:w="135" w:type="dxa"/>
                  </w:tcMar>
                  <w:vAlign w:val="bottom"/>
                </w:tcPr>
                <w:p w14:paraId="1BC19EB1"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r>
            <w:tr w:rsidR="00213131" w:rsidRPr="004D7A72" w14:paraId="5366EA6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694F09AE"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Deposits</w:t>
                  </w:r>
                </w:p>
              </w:tc>
              <w:tc>
                <w:tcPr>
                  <w:tcW w:w="1397" w:type="dxa"/>
                  <w:tcBorders>
                    <w:top w:val="nil"/>
                    <w:left w:val="nil"/>
                    <w:bottom w:val="nil"/>
                    <w:right w:val="nil"/>
                    <w:tl2br w:val="nil"/>
                    <w:tr2bl w:val="nil"/>
                  </w:tcBorders>
                  <w:shd w:val="clear" w:color="auto" w:fill="auto"/>
                  <w:noWrap/>
                  <w:tcMar>
                    <w:left w:w="40" w:type="dxa"/>
                    <w:right w:w="235" w:type="dxa"/>
                  </w:tcMar>
                  <w:vAlign w:val="bottom"/>
                </w:tcPr>
                <w:p w14:paraId="18333B7E"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871</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007E1E1B"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nil"/>
                    <w:left w:val="nil"/>
                    <w:bottom w:val="nil"/>
                    <w:right w:val="nil"/>
                    <w:tl2br w:val="nil"/>
                    <w:tr2bl w:val="nil"/>
                  </w:tcBorders>
                  <w:shd w:val="clear" w:color="auto" w:fill="auto"/>
                  <w:noWrap/>
                  <w:tcMar>
                    <w:left w:w="40" w:type="dxa"/>
                    <w:right w:w="235" w:type="dxa"/>
                  </w:tcMar>
                  <w:vAlign w:val="bottom"/>
                </w:tcPr>
                <w:p w14:paraId="0155904F"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923</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4A8DD767"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nil"/>
                    <w:left w:val="nil"/>
                    <w:bottom w:val="nil"/>
                    <w:right w:val="nil"/>
                    <w:tl2br w:val="nil"/>
                    <w:tr2bl w:val="nil"/>
                  </w:tcBorders>
                  <w:shd w:val="clear" w:color="auto" w:fill="auto"/>
                  <w:noWrap/>
                  <w:tcMar>
                    <w:left w:w="40" w:type="dxa"/>
                    <w:right w:w="235" w:type="dxa"/>
                  </w:tcMar>
                  <w:vAlign w:val="bottom"/>
                </w:tcPr>
                <w:p w14:paraId="3E8D724E"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899</w:t>
                  </w:r>
                </w:p>
              </w:tc>
            </w:tr>
            <w:tr w:rsidR="00213131" w:rsidRPr="004D7A72" w14:paraId="2446481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2E3C84D5"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Investment property</w:t>
                  </w:r>
                </w:p>
              </w:tc>
              <w:tc>
                <w:tcPr>
                  <w:tcW w:w="1397" w:type="dxa"/>
                  <w:tcBorders>
                    <w:top w:val="nil"/>
                    <w:left w:val="nil"/>
                    <w:bottom w:val="nil"/>
                    <w:right w:val="nil"/>
                    <w:tl2br w:val="nil"/>
                    <w:tr2bl w:val="nil"/>
                  </w:tcBorders>
                  <w:shd w:val="clear" w:color="auto" w:fill="auto"/>
                  <w:noWrap/>
                  <w:tcMar>
                    <w:left w:w="40" w:type="dxa"/>
                    <w:right w:w="235" w:type="dxa"/>
                  </w:tcMar>
                  <w:vAlign w:val="bottom"/>
                </w:tcPr>
                <w:p w14:paraId="62C0B76B"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279,781</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16496E1F"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nil"/>
                    <w:left w:val="nil"/>
                    <w:bottom w:val="nil"/>
                    <w:right w:val="nil"/>
                    <w:tl2br w:val="nil"/>
                    <w:tr2bl w:val="nil"/>
                  </w:tcBorders>
                  <w:shd w:val="clear" w:color="auto" w:fill="auto"/>
                  <w:noWrap/>
                  <w:tcMar>
                    <w:left w:w="40" w:type="dxa"/>
                    <w:right w:w="235" w:type="dxa"/>
                  </w:tcMar>
                  <w:vAlign w:val="bottom"/>
                </w:tcPr>
                <w:p w14:paraId="1A126478"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278,606</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4EA514D4"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nil"/>
                    <w:left w:val="nil"/>
                    <w:bottom w:val="nil"/>
                    <w:right w:val="nil"/>
                    <w:tl2br w:val="nil"/>
                    <w:tr2bl w:val="nil"/>
                  </w:tcBorders>
                  <w:shd w:val="clear" w:color="auto" w:fill="auto"/>
                  <w:noWrap/>
                  <w:tcMar>
                    <w:left w:w="40" w:type="dxa"/>
                    <w:right w:w="235" w:type="dxa"/>
                  </w:tcMar>
                  <w:vAlign w:val="bottom"/>
                </w:tcPr>
                <w:p w14:paraId="2E1CDC90"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282,939</w:t>
                  </w:r>
                </w:p>
              </w:tc>
            </w:tr>
            <w:tr w:rsidR="00213131" w:rsidRPr="004D7A72" w14:paraId="3592215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37489B02"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Fixed assets, net</w:t>
                  </w:r>
                </w:p>
              </w:tc>
              <w:tc>
                <w:tcPr>
                  <w:tcW w:w="1397"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776F70D8"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362</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0948F580"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4EFED9AF"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92</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21F1F288"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59F20AB8"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272</w:t>
                  </w:r>
                </w:p>
              </w:tc>
            </w:tr>
            <w:tr w:rsidR="00213131" w:rsidRPr="004D7A72" w14:paraId="33EBD0C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0" w:type="dxa"/>
                    <w:right w:w="0" w:type="dxa"/>
                  </w:tcMar>
                  <w:vAlign w:val="bottom"/>
                </w:tcPr>
                <w:p w14:paraId="4215E10B"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p>
              </w:tc>
              <w:tc>
                <w:tcPr>
                  <w:tcW w:w="1397" w:type="dxa"/>
                  <w:tcBorders>
                    <w:top w:val="single" w:sz="4" w:space="0" w:color="000000"/>
                    <w:left w:val="nil"/>
                    <w:bottom w:val="single" w:sz="4" w:space="0" w:color="000000"/>
                    <w:right w:val="nil"/>
                    <w:tl2br w:val="nil"/>
                    <w:tr2bl w:val="nil"/>
                  </w:tcBorders>
                  <w:shd w:val="clear" w:color="auto" w:fill="auto"/>
                  <w:noWrap/>
                  <w:tcMar>
                    <w:left w:w="40" w:type="dxa"/>
                    <w:right w:w="235" w:type="dxa"/>
                  </w:tcMar>
                  <w:vAlign w:val="bottom"/>
                </w:tcPr>
                <w:p w14:paraId="5C67460D"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281,014</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00F73F83"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single" w:sz="4" w:space="0" w:color="000000"/>
                    <w:left w:val="nil"/>
                    <w:bottom w:val="single" w:sz="4" w:space="0" w:color="000000"/>
                    <w:right w:val="nil"/>
                    <w:tl2br w:val="nil"/>
                    <w:tr2bl w:val="nil"/>
                  </w:tcBorders>
                  <w:shd w:val="clear" w:color="auto" w:fill="auto"/>
                  <w:noWrap/>
                  <w:tcMar>
                    <w:left w:w="40" w:type="dxa"/>
                    <w:right w:w="235" w:type="dxa"/>
                  </w:tcMar>
                  <w:vAlign w:val="bottom"/>
                </w:tcPr>
                <w:p w14:paraId="284C2F73"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279,621</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0DC524BA"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single" w:sz="4" w:space="0" w:color="000000"/>
                    <w:left w:val="nil"/>
                    <w:bottom w:val="single" w:sz="4" w:space="0" w:color="000000"/>
                    <w:right w:val="nil"/>
                    <w:tl2br w:val="nil"/>
                    <w:tr2bl w:val="nil"/>
                  </w:tcBorders>
                  <w:shd w:val="clear" w:color="auto" w:fill="auto"/>
                  <w:noWrap/>
                  <w:tcMar>
                    <w:left w:w="40" w:type="dxa"/>
                    <w:right w:w="235" w:type="dxa"/>
                  </w:tcMar>
                  <w:vAlign w:val="bottom"/>
                </w:tcPr>
                <w:p w14:paraId="5F1E994C"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284,110</w:t>
                  </w:r>
                </w:p>
              </w:tc>
            </w:tr>
            <w:tr w:rsidR="00213131" w:rsidRPr="004D7A72" w14:paraId="720472A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0" w:type="dxa"/>
                    <w:right w:w="0" w:type="dxa"/>
                  </w:tcMar>
                  <w:vAlign w:val="bottom"/>
                </w:tcPr>
                <w:p w14:paraId="78B4AA65"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p>
              </w:tc>
              <w:tc>
                <w:tcPr>
                  <w:tcW w:w="139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5F9D190"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1BE9584F"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1ED7DC1"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6EFE31A6"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8C393A9"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r>
            <w:tr w:rsidR="00213131" w:rsidRPr="004D7A72" w14:paraId="0D6CC29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0" w:type="dxa"/>
                    <w:right w:w="0" w:type="dxa"/>
                  </w:tcMar>
                  <w:vAlign w:val="bottom"/>
                </w:tcPr>
                <w:p w14:paraId="2FAFCD68"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p>
              </w:tc>
              <w:tc>
                <w:tcPr>
                  <w:tcW w:w="1397" w:type="dxa"/>
                  <w:tcBorders>
                    <w:top w:val="nil"/>
                    <w:left w:val="nil"/>
                    <w:bottom w:val="double" w:sz="6" w:space="0" w:color="000000"/>
                    <w:right w:val="nil"/>
                    <w:tl2br w:val="nil"/>
                    <w:tr2bl w:val="nil"/>
                  </w:tcBorders>
                  <w:shd w:val="clear" w:color="auto" w:fill="auto"/>
                  <w:noWrap/>
                  <w:tcMar>
                    <w:left w:w="40" w:type="dxa"/>
                    <w:right w:w="235" w:type="dxa"/>
                  </w:tcMar>
                  <w:vAlign w:val="bottom"/>
                </w:tcPr>
                <w:p w14:paraId="0667ED1F"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286,572</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5C0065AC"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nil"/>
                    <w:left w:val="nil"/>
                    <w:bottom w:val="double" w:sz="6" w:space="0" w:color="000000"/>
                    <w:right w:val="nil"/>
                    <w:tl2br w:val="nil"/>
                    <w:tr2bl w:val="nil"/>
                  </w:tcBorders>
                  <w:shd w:val="clear" w:color="auto" w:fill="auto"/>
                  <w:noWrap/>
                  <w:tcMar>
                    <w:left w:w="40" w:type="dxa"/>
                    <w:right w:w="235" w:type="dxa"/>
                  </w:tcMar>
                  <w:vAlign w:val="bottom"/>
                </w:tcPr>
                <w:p w14:paraId="16496628"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283,005</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18E0CAE0"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nil"/>
                    <w:left w:val="nil"/>
                    <w:bottom w:val="double" w:sz="6" w:space="0" w:color="000000"/>
                    <w:right w:val="nil"/>
                    <w:tl2br w:val="nil"/>
                    <w:tr2bl w:val="nil"/>
                  </w:tcBorders>
                  <w:shd w:val="clear" w:color="auto" w:fill="auto"/>
                  <w:noWrap/>
                  <w:tcMar>
                    <w:left w:w="40" w:type="dxa"/>
                    <w:right w:w="235" w:type="dxa"/>
                  </w:tcMar>
                  <w:vAlign w:val="bottom"/>
                </w:tcPr>
                <w:p w14:paraId="02D3ABA6"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286,383</w:t>
                  </w:r>
                </w:p>
              </w:tc>
            </w:tr>
            <w:tr w:rsidR="00213131" w:rsidRPr="004D7A72" w14:paraId="09DABCC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0" w:type="dxa"/>
                    <w:right w:w="0" w:type="dxa"/>
                  </w:tcMar>
                  <w:vAlign w:val="bottom"/>
                </w:tcPr>
                <w:p w14:paraId="2071F90C"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p>
              </w:tc>
              <w:tc>
                <w:tcPr>
                  <w:tcW w:w="1397"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F6BF1D6"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7B298C95"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4033B46"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0B05ABBF"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39A8484"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r>
            <w:tr w:rsidR="00213131" w:rsidRPr="004D7A72" w14:paraId="78841C6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27881B3F" w14:textId="77777777" w:rsidR="00213131" w:rsidRPr="004D7A72" w:rsidRDefault="00213131" w:rsidP="00A663FB">
                  <w:pPr>
                    <w:spacing w:before="0" w:after="0"/>
                    <w:jc w:val="left"/>
                    <w:rPr>
                      <w:rFonts w:asciiTheme="majorBidi" w:eastAsia="Ploni ML Medium AAA Medium" w:hAnsiTheme="majorBidi" w:cstheme="majorBidi"/>
                      <w:color w:val="000000"/>
                      <w:sz w:val="21"/>
                      <w:u w:val="single"/>
                    </w:rPr>
                  </w:pPr>
                  <w:r w:rsidRPr="004D7A72">
                    <w:rPr>
                      <w:rFonts w:asciiTheme="majorBidi" w:hAnsiTheme="majorBidi" w:cstheme="majorBidi"/>
                      <w:color w:val="000000"/>
                      <w:sz w:val="21"/>
                      <w:u w:val="single"/>
                    </w:rPr>
                    <w:t>Liabilities and Equity</w:t>
                  </w:r>
                </w:p>
              </w:tc>
              <w:tc>
                <w:tcPr>
                  <w:tcW w:w="1397" w:type="dxa"/>
                  <w:tcBorders>
                    <w:top w:val="nil"/>
                    <w:left w:val="nil"/>
                    <w:bottom w:val="nil"/>
                    <w:right w:val="nil"/>
                    <w:tl2br w:val="nil"/>
                    <w:tr2bl w:val="nil"/>
                  </w:tcBorders>
                  <w:shd w:val="clear" w:color="auto" w:fill="auto"/>
                  <w:noWrap/>
                  <w:tcMar>
                    <w:left w:w="0" w:type="dxa"/>
                    <w:right w:w="135" w:type="dxa"/>
                  </w:tcMar>
                  <w:vAlign w:val="bottom"/>
                </w:tcPr>
                <w:p w14:paraId="2B89FF47"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681313E4"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nil"/>
                    <w:left w:val="nil"/>
                    <w:bottom w:val="nil"/>
                    <w:right w:val="nil"/>
                    <w:tl2br w:val="nil"/>
                    <w:tr2bl w:val="nil"/>
                  </w:tcBorders>
                  <w:shd w:val="clear" w:color="auto" w:fill="auto"/>
                  <w:noWrap/>
                  <w:tcMar>
                    <w:left w:w="0" w:type="dxa"/>
                    <w:right w:w="135" w:type="dxa"/>
                  </w:tcMar>
                  <w:vAlign w:val="bottom"/>
                </w:tcPr>
                <w:p w14:paraId="3EEF0E82"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740C74A7"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nil"/>
                    <w:left w:val="nil"/>
                    <w:bottom w:val="nil"/>
                    <w:right w:val="nil"/>
                    <w:tl2br w:val="nil"/>
                    <w:tr2bl w:val="nil"/>
                  </w:tcBorders>
                  <w:shd w:val="clear" w:color="auto" w:fill="auto"/>
                  <w:noWrap/>
                  <w:tcMar>
                    <w:left w:w="0" w:type="dxa"/>
                    <w:right w:w="135" w:type="dxa"/>
                  </w:tcMar>
                  <w:vAlign w:val="bottom"/>
                </w:tcPr>
                <w:p w14:paraId="1CE42C4C"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r>
            <w:tr w:rsidR="00213131" w:rsidRPr="004D7A72" w14:paraId="02AEA7D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7F4174A0" w14:textId="77777777" w:rsidR="00213131" w:rsidRPr="004D7A72" w:rsidRDefault="00213131" w:rsidP="00A663FB">
                  <w:pPr>
                    <w:spacing w:before="0" w:after="0"/>
                    <w:jc w:val="left"/>
                    <w:rPr>
                      <w:rFonts w:asciiTheme="majorBidi" w:eastAsia="Ploni ML Medium AAA Medium" w:hAnsiTheme="majorBidi" w:cstheme="majorBidi"/>
                      <w:color w:val="000000"/>
                      <w:sz w:val="21"/>
                      <w:u w:val="single"/>
                    </w:rPr>
                  </w:pPr>
                  <w:r w:rsidRPr="004D7A72">
                    <w:rPr>
                      <w:rFonts w:asciiTheme="majorBidi" w:hAnsiTheme="majorBidi" w:cstheme="majorBidi"/>
                      <w:color w:val="000000"/>
                      <w:sz w:val="21"/>
                      <w:u w:val="single"/>
                    </w:rPr>
                    <w:t>Current liabilities</w:t>
                  </w:r>
                </w:p>
              </w:tc>
              <w:tc>
                <w:tcPr>
                  <w:tcW w:w="1397" w:type="dxa"/>
                  <w:tcBorders>
                    <w:top w:val="nil"/>
                    <w:left w:val="nil"/>
                    <w:bottom w:val="nil"/>
                    <w:right w:val="nil"/>
                    <w:tl2br w:val="nil"/>
                    <w:tr2bl w:val="nil"/>
                  </w:tcBorders>
                  <w:shd w:val="clear" w:color="auto" w:fill="auto"/>
                  <w:noWrap/>
                  <w:tcMar>
                    <w:left w:w="0" w:type="dxa"/>
                    <w:right w:w="135" w:type="dxa"/>
                  </w:tcMar>
                  <w:vAlign w:val="bottom"/>
                </w:tcPr>
                <w:p w14:paraId="0D2411BE"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3BC963FD"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nil"/>
                    <w:left w:val="nil"/>
                    <w:bottom w:val="nil"/>
                    <w:right w:val="nil"/>
                    <w:tl2br w:val="nil"/>
                    <w:tr2bl w:val="nil"/>
                  </w:tcBorders>
                  <w:shd w:val="clear" w:color="auto" w:fill="auto"/>
                  <w:noWrap/>
                  <w:tcMar>
                    <w:left w:w="0" w:type="dxa"/>
                    <w:right w:w="135" w:type="dxa"/>
                  </w:tcMar>
                  <w:vAlign w:val="bottom"/>
                </w:tcPr>
                <w:p w14:paraId="380DC311"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03013B12"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nil"/>
                    <w:left w:val="nil"/>
                    <w:bottom w:val="nil"/>
                    <w:right w:val="nil"/>
                    <w:tl2br w:val="nil"/>
                    <w:tr2bl w:val="nil"/>
                  </w:tcBorders>
                  <w:shd w:val="clear" w:color="auto" w:fill="auto"/>
                  <w:noWrap/>
                  <w:tcMar>
                    <w:left w:w="0" w:type="dxa"/>
                    <w:right w:w="135" w:type="dxa"/>
                  </w:tcMar>
                  <w:vAlign w:val="bottom"/>
                </w:tcPr>
                <w:p w14:paraId="6143D77C"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r>
            <w:tr w:rsidR="00213131" w:rsidRPr="004D7A72" w14:paraId="207FDF8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016A7E6A"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Trade payables and service providers</w:t>
                  </w:r>
                </w:p>
              </w:tc>
              <w:tc>
                <w:tcPr>
                  <w:tcW w:w="1397" w:type="dxa"/>
                  <w:tcBorders>
                    <w:top w:val="nil"/>
                    <w:left w:val="nil"/>
                    <w:bottom w:val="nil"/>
                    <w:right w:val="nil"/>
                    <w:tl2br w:val="nil"/>
                    <w:tr2bl w:val="nil"/>
                  </w:tcBorders>
                  <w:shd w:val="clear" w:color="auto" w:fill="auto"/>
                  <w:noWrap/>
                  <w:tcMar>
                    <w:left w:w="40" w:type="dxa"/>
                    <w:right w:w="235" w:type="dxa"/>
                  </w:tcMar>
                  <w:vAlign w:val="bottom"/>
                </w:tcPr>
                <w:p w14:paraId="6D8053AB"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1,346</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6F16A992"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nil"/>
                    <w:left w:val="nil"/>
                    <w:bottom w:val="nil"/>
                    <w:right w:val="nil"/>
                    <w:tl2br w:val="nil"/>
                    <w:tr2bl w:val="nil"/>
                  </w:tcBorders>
                  <w:shd w:val="clear" w:color="auto" w:fill="auto"/>
                  <w:noWrap/>
                  <w:tcMar>
                    <w:left w:w="40" w:type="dxa"/>
                    <w:right w:w="235" w:type="dxa"/>
                  </w:tcMar>
                  <w:vAlign w:val="bottom"/>
                </w:tcPr>
                <w:p w14:paraId="537426C5"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1,139</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2A004097"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nil"/>
                    <w:left w:val="nil"/>
                    <w:bottom w:val="nil"/>
                    <w:right w:val="nil"/>
                    <w:tl2br w:val="nil"/>
                    <w:tr2bl w:val="nil"/>
                  </w:tcBorders>
                  <w:shd w:val="clear" w:color="auto" w:fill="auto"/>
                  <w:noWrap/>
                  <w:tcMar>
                    <w:left w:w="40" w:type="dxa"/>
                    <w:right w:w="235" w:type="dxa"/>
                  </w:tcMar>
                  <w:vAlign w:val="bottom"/>
                </w:tcPr>
                <w:p w14:paraId="66BA9F58"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564</w:t>
                  </w:r>
                </w:p>
              </w:tc>
            </w:tr>
            <w:tr w:rsidR="00213131" w:rsidRPr="004D7A72" w14:paraId="506EBA2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64AF928A"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Other payables</w:t>
                  </w:r>
                </w:p>
              </w:tc>
              <w:tc>
                <w:tcPr>
                  <w:tcW w:w="1397"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3E959711"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246</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0BD14657"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76841EF1"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293</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45A3EB40"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3C84DF13"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373</w:t>
                  </w:r>
                </w:p>
              </w:tc>
            </w:tr>
            <w:tr w:rsidR="00213131" w:rsidRPr="004D7A72" w14:paraId="3A03E2A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56" w:type="dxa"/>
                  <w:tcBorders>
                    <w:top w:val="nil"/>
                    <w:left w:val="nil"/>
                    <w:bottom w:val="nil"/>
                    <w:right w:val="nil"/>
                    <w:tl2br w:val="nil"/>
                    <w:tr2bl w:val="nil"/>
                  </w:tcBorders>
                  <w:shd w:val="clear" w:color="auto" w:fill="auto"/>
                  <w:tcMar>
                    <w:left w:w="0" w:type="dxa"/>
                    <w:right w:w="270" w:type="dxa"/>
                  </w:tcMar>
                  <w:vAlign w:val="bottom"/>
                </w:tcPr>
                <w:p w14:paraId="42E8A411"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p>
              </w:tc>
              <w:tc>
                <w:tcPr>
                  <w:tcW w:w="1397"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71EAEC9A"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1,592</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5C83B446"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43A7C3A9"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1,432</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160A0942"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1A11DACE"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937</w:t>
                  </w:r>
                </w:p>
              </w:tc>
            </w:tr>
            <w:tr w:rsidR="00213131" w:rsidRPr="004D7A72" w14:paraId="7DA089D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421B2E5C" w14:textId="77777777" w:rsidR="00213131" w:rsidRPr="004D7A72" w:rsidRDefault="00213131" w:rsidP="00A663FB">
                  <w:pPr>
                    <w:spacing w:before="0" w:after="0"/>
                    <w:jc w:val="left"/>
                    <w:rPr>
                      <w:rFonts w:asciiTheme="majorBidi" w:eastAsia="Ploni ML Medium AAA Medium" w:hAnsiTheme="majorBidi" w:cstheme="majorBidi"/>
                      <w:color w:val="000000"/>
                      <w:sz w:val="21"/>
                      <w:u w:val="single"/>
                    </w:rPr>
                  </w:pPr>
                  <w:r w:rsidRPr="004D7A72">
                    <w:rPr>
                      <w:rFonts w:asciiTheme="majorBidi" w:hAnsiTheme="majorBidi" w:cstheme="majorBidi"/>
                      <w:color w:val="000000"/>
                      <w:sz w:val="21"/>
                      <w:u w:val="single"/>
                    </w:rPr>
                    <w:t>Non-current liabilities</w:t>
                  </w:r>
                </w:p>
              </w:tc>
              <w:tc>
                <w:tcPr>
                  <w:tcW w:w="1397"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7CE4568"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2F497349"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FD87C74"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1F2B4C2E"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B16329D"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r>
            <w:tr w:rsidR="00213131" w:rsidRPr="004D7A72" w14:paraId="5CFA472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12D446DC"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Interest-bearing loans from banks and others</w:t>
                  </w:r>
                </w:p>
              </w:tc>
              <w:tc>
                <w:tcPr>
                  <w:tcW w:w="1397" w:type="dxa"/>
                  <w:tcBorders>
                    <w:top w:val="nil"/>
                    <w:left w:val="nil"/>
                    <w:bottom w:val="nil"/>
                    <w:right w:val="nil"/>
                    <w:tl2br w:val="nil"/>
                    <w:tr2bl w:val="nil"/>
                  </w:tcBorders>
                  <w:shd w:val="clear" w:color="auto" w:fill="auto"/>
                  <w:noWrap/>
                  <w:tcMar>
                    <w:left w:w="40" w:type="dxa"/>
                    <w:right w:w="235" w:type="dxa"/>
                  </w:tcMar>
                  <w:vAlign w:val="bottom"/>
                </w:tcPr>
                <w:p w14:paraId="74AF2C47"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89,413</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7F428F22"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nil"/>
                    <w:left w:val="nil"/>
                    <w:bottom w:val="nil"/>
                    <w:right w:val="nil"/>
                    <w:tl2br w:val="nil"/>
                    <w:tr2bl w:val="nil"/>
                  </w:tcBorders>
                  <w:shd w:val="clear" w:color="auto" w:fill="auto"/>
                  <w:noWrap/>
                  <w:tcMar>
                    <w:left w:w="40" w:type="dxa"/>
                    <w:right w:w="235" w:type="dxa"/>
                  </w:tcMar>
                  <w:vAlign w:val="bottom"/>
                </w:tcPr>
                <w:p w14:paraId="377A088F"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89,306</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5FA71D81"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nil"/>
                    <w:left w:val="nil"/>
                    <w:bottom w:val="nil"/>
                    <w:right w:val="nil"/>
                    <w:tl2br w:val="nil"/>
                    <w:tr2bl w:val="nil"/>
                  </w:tcBorders>
                  <w:shd w:val="clear" w:color="auto" w:fill="auto"/>
                  <w:noWrap/>
                  <w:tcMar>
                    <w:left w:w="40" w:type="dxa"/>
                    <w:right w:w="235" w:type="dxa"/>
                  </w:tcMar>
                  <w:vAlign w:val="bottom"/>
                </w:tcPr>
                <w:p w14:paraId="2923C99D"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89,359</w:t>
                  </w:r>
                </w:p>
              </w:tc>
            </w:tr>
            <w:tr w:rsidR="00213131" w:rsidRPr="004D7A72" w14:paraId="4DAEC0C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08888913"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Other liabilities</w:t>
                  </w:r>
                </w:p>
              </w:tc>
              <w:tc>
                <w:tcPr>
                  <w:tcW w:w="1397"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78FF5293"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1,093</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760FC5D7"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5625AD6F"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1,157</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7E7B5D8D"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5DC0EF72"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1,132</w:t>
                  </w:r>
                </w:p>
              </w:tc>
            </w:tr>
            <w:tr w:rsidR="00213131" w:rsidRPr="004D7A72" w14:paraId="537EA95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0" w:type="dxa"/>
                    <w:right w:w="0" w:type="dxa"/>
                  </w:tcMar>
                  <w:vAlign w:val="bottom"/>
                </w:tcPr>
                <w:p w14:paraId="44258BDF"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p>
              </w:tc>
              <w:tc>
                <w:tcPr>
                  <w:tcW w:w="1397"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6F73C918"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90,506</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47F68AD0"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58383962"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90,463</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7FFE4D0C"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59DECD81"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90,491</w:t>
                  </w:r>
                </w:p>
              </w:tc>
            </w:tr>
            <w:tr w:rsidR="00213131" w:rsidRPr="004D7A72" w14:paraId="6A6D6E7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0" w:type="dxa"/>
                    <w:right w:w="0" w:type="dxa"/>
                  </w:tcMar>
                  <w:vAlign w:val="bottom"/>
                </w:tcPr>
                <w:p w14:paraId="3D33B338"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p>
              </w:tc>
              <w:tc>
                <w:tcPr>
                  <w:tcW w:w="1397"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36F36CD"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5C960693"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28726C6"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15E72697"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FC02C39"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r>
            <w:tr w:rsidR="00213131" w:rsidRPr="004D7A72" w14:paraId="0BD82D1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40" w:type="dxa"/>
                    <w:right w:w="40" w:type="dxa"/>
                  </w:tcMar>
                  <w:vAlign w:val="bottom"/>
                </w:tcPr>
                <w:p w14:paraId="0334547B"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Equity attributable to equity holders of the Company</w:t>
                  </w:r>
                </w:p>
              </w:tc>
              <w:tc>
                <w:tcPr>
                  <w:tcW w:w="1397"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0999A676"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194,474</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6693C40D"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4DD5069F"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191,110</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006BDF80"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4569EDE4"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194,955</w:t>
                  </w:r>
                </w:p>
              </w:tc>
            </w:tr>
            <w:tr w:rsidR="00213131" w:rsidRPr="004D7A72" w14:paraId="0EE3330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0" w:type="dxa"/>
                    <w:right w:w="270" w:type="dxa"/>
                  </w:tcMar>
                  <w:vAlign w:val="bottom"/>
                </w:tcPr>
                <w:p w14:paraId="7F472B9D"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p>
              </w:tc>
              <w:tc>
                <w:tcPr>
                  <w:tcW w:w="139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86118D3" w14:textId="77777777" w:rsidR="00213131" w:rsidRPr="004D7A72" w:rsidRDefault="00213131" w:rsidP="00A663FB">
                  <w:pPr>
                    <w:spacing w:before="0" w:after="0"/>
                    <w:jc w:val="left"/>
                    <w:rPr>
                      <w:rFonts w:asciiTheme="majorBidi" w:eastAsia="Calibri" w:hAnsiTheme="majorBidi" w:cstheme="majorBidi"/>
                      <w:color w:val="000000"/>
                      <w:sz w:val="22"/>
                    </w:rPr>
                  </w:pP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70023AFB" w14:textId="77777777" w:rsidR="00213131" w:rsidRPr="004D7A72" w:rsidRDefault="00213131" w:rsidP="00A663FB">
                  <w:pPr>
                    <w:spacing w:before="0" w:after="0"/>
                    <w:jc w:val="left"/>
                    <w:rPr>
                      <w:rFonts w:asciiTheme="majorBidi" w:eastAsia="Calibri" w:hAnsiTheme="majorBidi" w:cstheme="majorBidi"/>
                      <w:color w:val="000000"/>
                      <w:sz w:val="22"/>
                    </w:rPr>
                  </w:pPr>
                </w:p>
              </w:tc>
              <w:tc>
                <w:tcPr>
                  <w:tcW w:w="132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09D9158" w14:textId="77777777" w:rsidR="00213131" w:rsidRPr="004D7A72" w:rsidRDefault="00213131" w:rsidP="00A663FB">
                  <w:pPr>
                    <w:spacing w:before="0" w:after="0"/>
                    <w:jc w:val="left"/>
                    <w:rPr>
                      <w:rFonts w:asciiTheme="majorBidi" w:eastAsia="Calibri" w:hAnsiTheme="majorBidi" w:cstheme="majorBidi"/>
                      <w:color w:val="000000"/>
                      <w:sz w:val="22"/>
                    </w:rPr>
                  </w:pP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57DD8EA5" w14:textId="77777777" w:rsidR="00213131" w:rsidRPr="004D7A72" w:rsidRDefault="00213131" w:rsidP="00A663FB">
                  <w:pPr>
                    <w:spacing w:before="0" w:after="0"/>
                    <w:jc w:val="left"/>
                    <w:rPr>
                      <w:rFonts w:asciiTheme="majorBidi" w:eastAsia="Calibri" w:hAnsiTheme="majorBidi" w:cstheme="majorBidi"/>
                      <w:color w:val="000000"/>
                      <w:sz w:val="22"/>
                    </w:rPr>
                  </w:pPr>
                </w:p>
              </w:tc>
              <w:tc>
                <w:tcPr>
                  <w:tcW w:w="1558"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9B63A30" w14:textId="77777777" w:rsidR="00213131" w:rsidRPr="004D7A72" w:rsidRDefault="00213131" w:rsidP="00A663FB">
                  <w:pPr>
                    <w:spacing w:before="0" w:after="0"/>
                    <w:jc w:val="left"/>
                    <w:rPr>
                      <w:rFonts w:asciiTheme="majorBidi" w:eastAsia="Calibri" w:hAnsiTheme="majorBidi" w:cstheme="majorBidi"/>
                      <w:color w:val="000000"/>
                      <w:sz w:val="22"/>
                    </w:rPr>
                  </w:pPr>
                </w:p>
              </w:tc>
            </w:tr>
            <w:tr w:rsidR="00213131" w:rsidRPr="004D7A72" w14:paraId="32DC60E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56" w:type="dxa"/>
                  <w:tcBorders>
                    <w:top w:val="nil"/>
                    <w:left w:val="nil"/>
                    <w:bottom w:val="nil"/>
                    <w:right w:val="nil"/>
                    <w:tl2br w:val="nil"/>
                    <w:tr2bl w:val="nil"/>
                  </w:tcBorders>
                  <w:shd w:val="clear" w:color="auto" w:fill="auto"/>
                  <w:noWrap/>
                  <w:tcMar>
                    <w:left w:w="0" w:type="dxa"/>
                    <w:right w:w="270" w:type="dxa"/>
                  </w:tcMar>
                  <w:vAlign w:val="bottom"/>
                </w:tcPr>
                <w:p w14:paraId="3D2898F6" w14:textId="77777777" w:rsidR="00213131" w:rsidRPr="004D7A72" w:rsidRDefault="00213131" w:rsidP="00A663FB">
                  <w:pPr>
                    <w:spacing w:before="0" w:after="0"/>
                    <w:jc w:val="left"/>
                    <w:rPr>
                      <w:rFonts w:asciiTheme="majorBidi" w:eastAsia="Ploni ML Medium AAA Medium" w:hAnsiTheme="majorBidi" w:cstheme="majorBidi"/>
                      <w:color w:val="000000"/>
                      <w:sz w:val="21"/>
                    </w:rPr>
                  </w:pPr>
                </w:p>
              </w:tc>
              <w:tc>
                <w:tcPr>
                  <w:tcW w:w="1397" w:type="dxa"/>
                  <w:tcBorders>
                    <w:top w:val="nil"/>
                    <w:left w:val="nil"/>
                    <w:bottom w:val="double" w:sz="6" w:space="0" w:color="000000"/>
                    <w:right w:val="nil"/>
                    <w:tl2br w:val="nil"/>
                    <w:tr2bl w:val="nil"/>
                  </w:tcBorders>
                  <w:shd w:val="clear" w:color="auto" w:fill="auto"/>
                  <w:noWrap/>
                  <w:tcMar>
                    <w:left w:w="40" w:type="dxa"/>
                    <w:right w:w="235" w:type="dxa"/>
                  </w:tcMar>
                  <w:vAlign w:val="bottom"/>
                </w:tcPr>
                <w:p w14:paraId="5980E8E9"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286,572</w:t>
                  </w:r>
                </w:p>
              </w:tc>
              <w:tc>
                <w:tcPr>
                  <w:tcW w:w="291" w:type="dxa"/>
                  <w:tcBorders>
                    <w:top w:val="nil"/>
                    <w:left w:val="nil"/>
                    <w:bottom w:val="nil"/>
                    <w:right w:val="nil"/>
                    <w:tl2br w:val="nil"/>
                    <w:tr2bl w:val="nil"/>
                  </w:tcBorders>
                  <w:shd w:val="clear" w:color="auto" w:fill="auto"/>
                  <w:noWrap/>
                  <w:tcMar>
                    <w:left w:w="0" w:type="dxa"/>
                    <w:right w:w="135" w:type="dxa"/>
                  </w:tcMar>
                  <w:vAlign w:val="bottom"/>
                </w:tcPr>
                <w:p w14:paraId="417420CA"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320" w:type="dxa"/>
                  <w:tcBorders>
                    <w:top w:val="nil"/>
                    <w:left w:val="nil"/>
                    <w:bottom w:val="double" w:sz="6" w:space="0" w:color="000000"/>
                    <w:right w:val="nil"/>
                    <w:tl2br w:val="nil"/>
                    <w:tr2bl w:val="nil"/>
                  </w:tcBorders>
                  <w:shd w:val="clear" w:color="auto" w:fill="auto"/>
                  <w:noWrap/>
                  <w:tcMar>
                    <w:left w:w="40" w:type="dxa"/>
                    <w:right w:w="235" w:type="dxa"/>
                  </w:tcMar>
                  <w:vAlign w:val="bottom"/>
                </w:tcPr>
                <w:p w14:paraId="1F1ABFAC"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283,005</w:t>
                  </w:r>
                </w:p>
              </w:tc>
              <w:tc>
                <w:tcPr>
                  <w:tcW w:w="300" w:type="dxa"/>
                  <w:tcBorders>
                    <w:top w:val="nil"/>
                    <w:left w:val="nil"/>
                    <w:bottom w:val="nil"/>
                    <w:right w:val="nil"/>
                    <w:tl2br w:val="nil"/>
                    <w:tr2bl w:val="nil"/>
                  </w:tcBorders>
                  <w:shd w:val="clear" w:color="auto" w:fill="auto"/>
                  <w:noWrap/>
                  <w:tcMar>
                    <w:left w:w="0" w:type="dxa"/>
                    <w:right w:w="135" w:type="dxa"/>
                  </w:tcMar>
                  <w:vAlign w:val="bottom"/>
                </w:tcPr>
                <w:p w14:paraId="6037FE9A"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p>
              </w:tc>
              <w:tc>
                <w:tcPr>
                  <w:tcW w:w="1558" w:type="dxa"/>
                  <w:tcBorders>
                    <w:top w:val="nil"/>
                    <w:left w:val="nil"/>
                    <w:bottom w:val="double" w:sz="6" w:space="0" w:color="000000"/>
                    <w:right w:val="nil"/>
                    <w:tl2br w:val="nil"/>
                    <w:tr2bl w:val="nil"/>
                  </w:tcBorders>
                  <w:shd w:val="clear" w:color="auto" w:fill="auto"/>
                  <w:noWrap/>
                  <w:tcMar>
                    <w:left w:w="40" w:type="dxa"/>
                    <w:right w:w="235" w:type="dxa"/>
                  </w:tcMar>
                  <w:vAlign w:val="bottom"/>
                </w:tcPr>
                <w:p w14:paraId="5F2F40F8" w14:textId="77777777" w:rsidR="00213131" w:rsidRPr="004D7A72" w:rsidRDefault="00213131" w:rsidP="00A663FB">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286,383</w:t>
                  </w:r>
                </w:p>
              </w:tc>
            </w:tr>
          </w:tbl>
          <w:p w14:paraId="4B7F6772" w14:textId="77777777" w:rsidR="00213131" w:rsidRPr="004D7A72" w:rsidRDefault="00213131" w:rsidP="00A663FB">
            <w:pPr>
              <w:rPr>
                <w:rFonts w:asciiTheme="majorBidi" w:hAnsiTheme="majorBidi" w:cstheme="majorBidi"/>
              </w:rPr>
            </w:pPr>
          </w:p>
        </w:tc>
      </w:tr>
    </w:tbl>
    <w:p w14:paraId="17E785BE" w14:textId="77777777" w:rsidR="00213131" w:rsidRPr="004D7A72" w:rsidRDefault="00213131" w:rsidP="00213131">
      <w:pPr>
        <w:keepNext/>
        <w:pageBreakBefore/>
        <w:pBdr>
          <w:top w:val="nil"/>
          <w:left w:val="nil"/>
          <w:bottom w:val="nil"/>
          <w:right w:val="nil"/>
          <w:between w:val="nil"/>
          <w:bar w:val="nil"/>
        </w:pBdr>
        <w:tabs>
          <w:tab w:val="left" w:pos="-4254"/>
        </w:tabs>
        <w:contextualSpacing/>
        <w:outlineLvl w:val="3"/>
        <w:rPr>
          <w:rFonts w:asciiTheme="majorBidi" w:eastAsia="Calibri" w:hAnsiTheme="majorBidi" w:cstheme="majorBidi"/>
          <w:b/>
          <w:bCs/>
          <w:sz w:val="21"/>
          <w:szCs w:val="21"/>
        </w:rPr>
      </w:pPr>
      <w:r w:rsidRPr="004D7A72">
        <w:rPr>
          <w:rFonts w:asciiTheme="majorBidi" w:hAnsiTheme="majorBidi" w:cstheme="majorBidi"/>
          <w:b/>
          <w:sz w:val="21"/>
        </w:rPr>
        <w:lastRenderedPageBreak/>
        <w:t>Note 7 - Condensed Financial Information of G Alpha (contd.)</w:t>
      </w:r>
    </w:p>
    <w:p w14:paraId="280281B2" w14:textId="77777777" w:rsidR="00213131" w:rsidRPr="004D7A72" w:rsidRDefault="00213131" w:rsidP="00213131">
      <w:pPr>
        <w:pStyle w:val="ListParagraph"/>
        <w:tabs>
          <w:tab w:val="left" w:pos="425"/>
          <w:tab w:val="left" w:pos="1133"/>
          <w:tab w:val="left" w:pos="1700"/>
          <w:tab w:val="left" w:pos="1789"/>
          <w:tab w:val="left" w:pos="1842"/>
          <w:tab w:val="left" w:pos="2267"/>
          <w:tab w:val="left" w:pos="2409"/>
        </w:tabs>
        <w:ind w:left="0"/>
        <w:contextualSpacing w:val="0"/>
        <w:rPr>
          <w:rFonts w:asciiTheme="majorBidi" w:eastAsia="Calibri" w:hAnsiTheme="majorBidi" w:cstheme="majorBidi"/>
          <w:b/>
          <w:bCs/>
          <w:sz w:val="21"/>
          <w:szCs w:val="21"/>
        </w:rPr>
      </w:pPr>
      <w:r w:rsidRPr="004D7A72">
        <w:rPr>
          <w:rFonts w:asciiTheme="majorBidi" w:hAnsiTheme="majorBidi" w:cstheme="majorBidi"/>
          <w:sz w:val="21"/>
        </w:rPr>
        <w:t>Condensed financial information of comprehensive income or loss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13131" w:rsidRPr="004D7A72" w14:paraId="3E7DDFDD" w14:textId="77777777" w:rsidTr="00A65A6F">
        <w:trPr>
          <w:cantSplit/>
        </w:trPr>
        <w:tc>
          <w:tcPr>
            <w:tcW w:w="5000" w:type="pct"/>
          </w:tcPr>
          <w:tbl>
            <w:tblPr>
              <w:tblStyle w:val="CDMRange2"/>
              <w:tblW w:w="9707" w:type="dxa"/>
              <w:tblLook w:val="0600" w:firstRow="0" w:lastRow="0" w:firstColumn="0" w:lastColumn="0" w:noHBand="1" w:noVBand="1"/>
            </w:tblPr>
            <w:tblGrid>
              <w:gridCol w:w="248"/>
              <w:gridCol w:w="2397"/>
              <w:gridCol w:w="1009"/>
              <w:gridCol w:w="460"/>
              <w:gridCol w:w="1052"/>
              <w:gridCol w:w="460"/>
              <w:gridCol w:w="960"/>
              <w:gridCol w:w="460"/>
              <w:gridCol w:w="980"/>
              <w:gridCol w:w="460"/>
              <w:gridCol w:w="1221"/>
            </w:tblGrid>
            <w:tr w:rsidR="00E35106" w:rsidRPr="004D7A72" w14:paraId="2E0A77DE" w14:textId="77777777" w:rsidTr="00E35106">
              <w:trPr>
                <w:trHeight w:val="300"/>
              </w:trPr>
              <w:tc>
                <w:tcPr>
                  <w:tcW w:w="236" w:type="dxa"/>
                  <w:tcBorders>
                    <w:top w:val="nil"/>
                    <w:left w:val="nil"/>
                    <w:bottom w:val="nil"/>
                    <w:right w:val="nil"/>
                    <w:tl2br w:val="nil"/>
                    <w:tr2bl w:val="nil"/>
                  </w:tcBorders>
                  <w:shd w:val="clear" w:color="auto" w:fill="auto"/>
                  <w:noWrap/>
                  <w:tcMar>
                    <w:left w:w="0" w:type="dxa"/>
                    <w:right w:w="0" w:type="dxa"/>
                  </w:tcMar>
                  <w:vAlign w:val="bottom"/>
                </w:tcPr>
                <w:p w14:paraId="033661EF"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2445" w:type="dxa"/>
                  <w:tcBorders>
                    <w:top w:val="nil"/>
                    <w:left w:val="nil"/>
                    <w:bottom w:val="nil"/>
                    <w:right w:val="nil"/>
                    <w:tl2br w:val="nil"/>
                    <w:tr2bl w:val="nil"/>
                  </w:tcBorders>
                  <w:shd w:val="clear" w:color="auto" w:fill="auto"/>
                  <w:tcMar>
                    <w:left w:w="0" w:type="dxa"/>
                    <w:right w:w="0" w:type="dxa"/>
                  </w:tcMar>
                  <w:vAlign w:val="bottom"/>
                </w:tcPr>
                <w:p w14:paraId="5857C040"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7026" w:type="dxa"/>
                  <w:gridSpan w:val="9"/>
                  <w:tcBorders>
                    <w:top w:val="nil"/>
                    <w:left w:val="nil"/>
                    <w:bottom w:val="nil"/>
                    <w:right w:val="nil"/>
                    <w:tl2br w:val="nil"/>
                    <w:tr2bl w:val="nil"/>
                  </w:tcBorders>
                  <w:shd w:val="clear" w:color="auto" w:fill="auto"/>
                  <w:noWrap/>
                  <w:tcMar>
                    <w:left w:w="0" w:type="dxa"/>
                    <w:right w:w="0" w:type="dxa"/>
                  </w:tcMar>
                  <w:vAlign w:val="bottom"/>
                </w:tcPr>
                <w:p w14:paraId="39773A75"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p>
              </w:tc>
            </w:tr>
            <w:tr w:rsidR="00E35106" w:rsidRPr="004D7A72" w14:paraId="551EA25F"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0"/>
              </w:trPr>
              <w:tc>
                <w:tcPr>
                  <w:tcW w:w="236" w:type="dxa"/>
                  <w:tcBorders>
                    <w:top w:val="nil"/>
                    <w:left w:val="nil"/>
                    <w:bottom w:val="nil"/>
                    <w:right w:val="nil"/>
                    <w:tl2br w:val="nil"/>
                    <w:tr2bl w:val="nil"/>
                  </w:tcBorders>
                  <w:shd w:val="clear" w:color="auto" w:fill="auto"/>
                  <w:noWrap/>
                  <w:tcMar>
                    <w:left w:w="0" w:type="dxa"/>
                    <w:right w:w="0" w:type="dxa"/>
                  </w:tcMar>
                  <w:vAlign w:val="bottom"/>
                </w:tcPr>
                <w:p w14:paraId="62A53F8F"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2445" w:type="dxa"/>
                  <w:tcBorders>
                    <w:top w:val="nil"/>
                    <w:left w:val="nil"/>
                    <w:bottom w:val="nil"/>
                    <w:right w:val="nil"/>
                    <w:tl2br w:val="nil"/>
                    <w:tr2bl w:val="nil"/>
                  </w:tcBorders>
                  <w:shd w:val="clear" w:color="auto" w:fill="auto"/>
                  <w:tcMar>
                    <w:left w:w="0" w:type="dxa"/>
                    <w:right w:w="0" w:type="dxa"/>
                  </w:tcMar>
                  <w:vAlign w:val="bottom"/>
                </w:tcPr>
                <w:p w14:paraId="78844ED3"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2515"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06D0FADA"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 xml:space="preserve">Six months ended </w:t>
                  </w:r>
                </w:p>
                <w:p w14:paraId="1A343CF6"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June 30</w:t>
                  </w:r>
                </w:p>
              </w:tc>
              <w:tc>
                <w:tcPr>
                  <w:tcW w:w="446" w:type="dxa"/>
                  <w:tcBorders>
                    <w:top w:val="nil"/>
                    <w:left w:val="nil"/>
                    <w:bottom w:val="nil"/>
                    <w:right w:val="nil"/>
                    <w:tl2br w:val="nil"/>
                    <w:tr2bl w:val="nil"/>
                  </w:tcBorders>
                  <w:shd w:val="clear" w:color="auto" w:fill="auto"/>
                  <w:noWrap/>
                  <w:tcMar>
                    <w:left w:w="0" w:type="dxa"/>
                    <w:right w:w="0" w:type="dxa"/>
                  </w:tcMar>
                  <w:vAlign w:val="bottom"/>
                </w:tcPr>
                <w:p w14:paraId="611372F2" w14:textId="77777777" w:rsidR="00213131" w:rsidRPr="004D7A72" w:rsidRDefault="00213131" w:rsidP="00A65A6F">
                  <w:pPr>
                    <w:spacing w:before="0" w:after="0"/>
                    <w:jc w:val="left"/>
                    <w:rPr>
                      <w:rFonts w:asciiTheme="majorBidi" w:eastAsia="Calibri" w:hAnsiTheme="majorBidi" w:cstheme="majorBidi"/>
                      <w:color w:val="000000"/>
                    </w:rPr>
                  </w:pPr>
                </w:p>
              </w:tc>
              <w:tc>
                <w:tcPr>
                  <w:tcW w:w="2392"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422D95FD"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 xml:space="preserve">Three months ended </w:t>
                  </w:r>
                </w:p>
                <w:p w14:paraId="69DFF036"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June 30</w:t>
                  </w:r>
                </w:p>
              </w:tc>
              <w:tc>
                <w:tcPr>
                  <w:tcW w:w="446" w:type="dxa"/>
                  <w:tcBorders>
                    <w:top w:val="nil"/>
                    <w:left w:val="nil"/>
                    <w:bottom w:val="nil"/>
                    <w:right w:val="nil"/>
                    <w:tl2br w:val="nil"/>
                    <w:tr2bl w:val="nil"/>
                  </w:tcBorders>
                  <w:shd w:val="clear" w:color="auto" w:fill="auto"/>
                  <w:tcMar>
                    <w:left w:w="0" w:type="dxa"/>
                    <w:right w:w="0" w:type="dxa"/>
                  </w:tcMar>
                  <w:vAlign w:val="bottom"/>
                </w:tcPr>
                <w:p w14:paraId="4F0F37A2" w14:textId="77777777" w:rsidR="00213131" w:rsidRPr="004D7A72" w:rsidRDefault="00213131" w:rsidP="00A65A6F">
                  <w:pPr>
                    <w:spacing w:before="0" w:after="0"/>
                    <w:jc w:val="left"/>
                    <w:rPr>
                      <w:rFonts w:asciiTheme="majorBidi" w:eastAsia="Ploni ML Medium AAA Medium" w:hAnsiTheme="majorBidi" w:cstheme="majorBidi"/>
                      <w:b/>
                      <w:color w:val="000000"/>
                    </w:rPr>
                  </w:pPr>
                </w:p>
              </w:tc>
              <w:tc>
                <w:tcPr>
                  <w:tcW w:w="1227" w:type="dxa"/>
                  <w:tcBorders>
                    <w:top w:val="nil"/>
                    <w:left w:val="nil"/>
                    <w:bottom w:val="nil"/>
                    <w:right w:val="nil"/>
                    <w:tl2br w:val="nil"/>
                    <w:tr2bl w:val="nil"/>
                  </w:tcBorders>
                  <w:shd w:val="clear" w:color="auto" w:fill="auto"/>
                  <w:tcMar>
                    <w:left w:w="40" w:type="dxa"/>
                    <w:right w:w="40" w:type="dxa"/>
                  </w:tcMar>
                  <w:vAlign w:val="bottom"/>
                </w:tcPr>
                <w:p w14:paraId="15D630E6"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Year ended December 31</w:t>
                  </w:r>
                </w:p>
              </w:tc>
            </w:tr>
            <w:tr w:rsidR="00E35106" w:rsidRPr="004D7A72" w14:paraId="4BC97ADB"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236" w:type="dxa"/>
                  <w:tcBorders>
                    <w:top w:val="nil"/>
                    <w:left w:val="nil"/>
                    <w:bottom w:val="nil"/>
                    <w:right w:val="nil"/>
                    <w:tl2br w:val="nil"/>
                    <w:tr2bl w:val="nil"/>
                  </w:tcBorders>
                  <w:shd w:val="clear" w:color="auto" w:fill="auto"/>
                  <w:noWrap/>
                  <w:tcMar>
                    <w:left w:w="0" w:type="dxa"/>
                    <w:right w:w="0" w:type="dxa"/>
                  </w:tcMar>
                  <w:vAlign w:val="bottom"/>
                </w:tcPr>
                <w:p w14:paraId="134806E8"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2445" w:type="dxa"/>
                  <w:tcBorders>
                    <w:top w:val="nil"/>
                    <w:left w:val="nil"/>
                    <w:bottom w:val="nil"/>
                    <w:right w:val="nil"/>
                    <w:tl2br w:val="nil"/>
                    <w:tr2bl w:val="nil"/>
                  </w:tcBorders>
                  <w:shd w:val="clear" w:color="auto" w:fill="auto"/>
                  <w:tcMar>
                    <w:left w:w="0" w:type="dxa"/>
                    <w:right w:w="0" w:type="dxa"/>
                  </w:tcMar>
                  <w:vAlign w:val="bottom"/>
                </w:tcPr>
                <w:p w14:paraId="4D3DB771"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101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3B336A0"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2024</w:t>
                  </w:r>
                </w:p>
              </w:tc>
              <w:tc>
                <w:tcPr>
                  <w:tcW w:w="44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438A65" w14:textId="77777777" w:rsidR="00213131" w:rsidRPr="004D7A72" w:rsidRDefault="00213131" w:rsidP="00A65A6F">
                  <w:pPr>
                    <w:spacing w:before="0" w:after="0"/>
                    <w:jc w:val="center"/>
                    <w:rPr>
                      <w:rFonts w:asciiTheme="majorBidi" w:eastAsia="Ploni ML Medium AAA Medium" w:hAnsiTheme="majorBidi" w:cstheme="majorBidi"/>
                      <w:b/>
                      <w:color w:val="000000"/>
                    </w:rPr>
                  </w:pPr>
                </w:p>
              </w:tc>
              <w:tc>
                <w:tcPr>
                  <w:tcW w:w="105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320F83E"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c>
                <w:tcPr>
                  <w:tcW w:w="446" w:type="dxa"/>
                  <w:tcBorders>
                    <w:top w:val="nil"/>
                    <w:left w:val="nil"/>
                    <w:bottom w:val="nil"/>
                    <w:right w:val="nil"/>
                    <w:tl2br w:val="nil"/>
                    <w:tr2bl w:val="nil"/>
                  </w:tcBorders>
                  <w:shd w:val="clear" w:color="auto" w:fill="auto"/>
                  <w:noWrap/>
                  <w:tcMar>
                    <w:left w:w="0" w:type="dxa"/>
                    <w:right w:w="0" w:type="dxa"/>
                  </w:tcMar>
                  <w:vAlign w:val="bottom"/>
                </w:tcPr>
                <w:p w14:paraId="62E03B29" w14:textId="77777777" w:rsidR="00213131" w:rsidRPr="004D7A72" w:rsidRDefault="00213131" w:rsidP="00A65A6F">
                  <w:pPr>
                    <w:spacing w:before="0" w:after="0"/>
                    <w:jc w:val="left"/>
                    <w:rPr>
                      <w:rFonts w:asciiTheme="majorBidi" w:eastAsia="Calibri" w:hAnsiTheme="majorBidi" w:cstheme="majorBidi"/>
                      <w:color w:val="000000"/>
                    </w:rPr>
                  </w:pPr>
                </w:p>
              </w:tc>
              <w:tc>
                <w:tcPr>
                  <w:tcW w:w="963"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F4A8F87"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2024</w:t>
                  </w:r>
                </w:p>
              </w:tc>
              <w:tc>
                <w:tcPr>
                  <w:tcW w:w="44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70FCA4" w14:textId="77777777" w:rsidR="00213131" w:rsidRPr="004D7A72" w:rsidRDefault="00213131" w:rsidP="00A65A6F">
                  <w:pPr>
                    <w:spacing w:before="0" w:after="0"/>
                    <w:jc w:val="center"/>
                    <w:rPr>
                      <w:rFonts w:asciiTheme="majorBidi" w:eastAsia="Ploni ML Medium AAA Medium" w:hAnsiTheme="majorBidi" w:cstheme="majorBidi"/>
                      <w:b/>
                      <w:color w:val="000000"/>
                    </w:rPr>
                  </w:pPr>
                </w:p>
              </w:tc>
              <w:tc>
                <w:tcPr>
                  <w:tcW w:w="983"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B990E2C"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c>
                <w:tcPr>
                  <w:tcW w:w="446" w:type="dxa"/>
                  <w:tcBorders>
                    <w:top w:val="nil"/>
                    <w:left w:val="nil"/>
                    <w:bottom w:val="nil"/>
                    <w:right w:val="nil"/>
                    <w:tl2br w:val="nil"/>
                    <w:tr2bl w:val="nil"/>
                  </w:tcBorders>
                  <w:shd w:val="clear" w:color="auto" w:fill="auto"/>
                  <w:noWrap/>
                  <w:tcMar>
                    <w:left w:w="0" w:type="dxa"/>
                    <w:right w:w="0" w:type="dxa"/>
                  </w:tcMar>
                  <w:vAlign w:val="bottom"/>
                </w:tcPr>
                <w:p w14:paraId="19C18BB9" w14:textId="77777777" w:rsidR="00213131" w:rsidRPr="004D7A72" w:rsidRDefault="00213131" w:rsidP="00A65A6F">
                  <w:pPr>
                    <w:spacing w:before="0" w:after="0"/>
                    <w:jc w:val="center"/>
                    <w:rPr>
                      <w:rFonts w:asciiTheme="majorBidi" w:eastAsia="Ploni ML Medium AAA Medium" w:hAnsiTheme="majorBidi" w:cstheme="majorBidi"/>
                      <w:b/>
                      <w:color w:val="000000"/>
                    </w:rPr>
                  </w:pPr>
                </w:p>
              </w:tc>
              <w:tc>
                <w:tcPr>
                  <w:tcW w:w="1227"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119F49A"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r>
            <w:tr w:rsidR="00E35106" w:rsidRPr="004D7A72" w14:paraId="14F3ADE8"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6" w:type="dxa"/>
                  <w:tcBorders>
                    <w:top w:val="nil"/>
                    <w:left w:val="nil"/>
                    <w:bottom w:val="nil"/>
                    <w:right w:val="nil"/>
                    <w:tl2br w:val="nil"/>
                    <w:tr2bl w:val="nil"/>
                  </w:tcBorders>
                  <w:shd w:val="clear" w:color="auto" w:fill="auto"/>
                  <w:noWrap/>
                  <w:tcMar>
                    <w:left w:w="0" w:type="dxa"/>
                    <w:right w:w="0" w:type="dxa"/>
                  </w:tcMar>
                  <w:vAlign w:val="bottom"/>
                </w:tcPr>
                <w:p w14:paraId="0B7B0545"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2445" w:type="dxa"/>
                  <w:tcBorders>
                    <w:top w:val="nil"/>
                    <w:left w:val="nil"/>
                    <w:bottom w:val="nil"/>
                    <w:right w:val="nil"/>
                    <w:tl2br w:val="nil"/>
                    <w:tr2bl w:val="nil"/>
                  </w:tcBorders>
                  <w:shd w:val="clear" w:color="auto" w:fill="auto"/>
                  <w:tcMar>
                    <w:left w:w="0" w:type="dxa"/>
                    <w:right w:w="0" w:type="dxa"/>
                  </w:tcMar>
                  <w:vAlign w:val="bottom"/>
                </w:tcPr>
                <w:p w14:paraId="0985D627"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251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6E753E7A"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Unaudited</w:t>
                  </w:r>
                </w:p>
              </w:tc>
              <w:tc>
                <w:tcPr>
                  <w:tcW w:w="446" w:type="dxa"/>
                  <w:tcBorders>
                    <w:top w:val="nil"/>
                    <w:left w:val="nil"/>
                    <w:bottom w:val="nil"/>
                    <w:right w:val="nil"/>
                    <w:tl2br w:val="nil"/>
                    <w:tr2bl w:val="nil"/>
                  </w:tcBorders>
                  <w:shd w:val="clear" w:color="auto" w:fill="auto"/>
                  <w:noWrap/>
                  <w:tcMar>
                    <w:left w:w="0" w:type="dxa"/>
                    <w:right w:w="0" w:type="dxa"/>
                  </w:tcMar>
                  <w:vAlign w:val="bottom"/>
                </w:tcPr>
                <w:p w14:paraId="22EAC3E3" w14:textId="77777777" w:rsidR="00213131" w:rsidRPr="004D7A72" w:rsidRDefault="00213131" w:rsidP="00A65A6F">
                  <w:pPr>
                    <w:spacing w:before="0" w:after="0"/>
                    <w:jc w:val="left"/>
                    <w:rPr>
                      <w:rFonts w:asciiTheme="majorBidi" w:eastAsia="Calibri" w:hAnsiTheme="majorBidi" w:cstheme="majorBidi"/>
                      <w:color w:val="000000"/>
                    </w:rPr>
                  </w:pPr>
                </w:p>
              </w:tc>
              <w:tc>
                <w:tcPr>
                  <w:tcW w:w="2392"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23698ECB"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Unaudited</w:t>
                  </w:r>
                </w:p>
              </w:tc>
              <w:tc>
                <w:tcPr>
                  <w:tcW w:w="446" w:type="dxa"/>
                  <w:tcBorders>
                    <w:top w:val="nil"/>
                    <w:left w:val="nil"/>
                    <w:bottom w:val="nil"/>
                    <w:right w:val="nil"/>
                    <w:tl2br w:val="nil"/>
                    <w:tr2bl w:val="nil"/>
                  </w:tcBorders>
                  <w:shd w:val="clear" w:color="auto" w:fill="auto"/>
                  <w:noWrap/>
                  <w:tcMar>
                    <w:left w:w="0" w:type="dxa"/>
                    <w:right w:w="0" w:type="dxa"/>
                  </w:tcMar>
                  <w:vAlign w:val="bottom"/>
                </w:tcPr>
                <w:p w14:paraId="2397C57C" w14:textId="77777777" w:rsidR="00213131" w:rsidRPr="004D7A72" w:rsidRDefault="00213131" w:rsidP="00A65A6F">
                  <w:pPr>
                    <w:spacing w:before="0" w:after="0"/>
                    <w:jc w:val="left"/>
                    <w:rPr>
                      <w:rFonts w:asciiTheme="majorBidi" w:eastAsia="Ploni ML Medium AAA Medium" w:hAnsiTheme="majorBidi" w:cstheme="majorBidi"/>
                      <w:b/>
                      <w:color w:val="000000"/>
                    </w:rPr>
                  </w:pPr>
                </w:p>
              </w:tc>
              <w:tc>
                <w:tcPr>
                  <w:tcW w:w="122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07FE152"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Audited</w:t>
                  </w:r>
                </w:p>
              </w:tc>
            </w:tr>
            <w:tr w:rsidR="00E35106" w:rsidRPr="004D7A72" w14:paraId="5015EC67"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6" w:type="dxa"/>
                  <w:tcBorders>
                    <w:top w:val="nil"/>
                    <w:left w:val="nil"/>
                    <w:bottom w:val="nil"/>
                    <w:right w:val="nil"/>
                    <w:tl2br w:val="nil"/>
                    <w:tr2bl w:val="nil"/>
                  </w:tcBorders>
                  <w:shd w:val="clear" w:color="auto" w:fill="auto"/>
                  <w:noWrap/>
                  <w:tcMar>
                    <w:left w:w="0" w:type="dxa"/>
                    <w:right w:w="0" w:type="dxa"/>
                  </w:tcMar>
                  <w:vAlign w:val="bottom"/>
                </w:tcPr>
                <w:p w14:paraId="636349B6"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2445" w:type="dxa"/>
                  <w:tcBorders>
                    <w:top w:val="nil"/>
                    <w:left w:val="nil"/>
                    <w:bottom w:val="nil"/>
                    <w:right w:val="nil"/>
                    <w:tl2br w:val="nil"/>
                    <w:tr2bl w:val="nil"/>
                  </w:tcBorders>
                  <w:shd w:val="clear" w:color="auto" w:fill="auto"/>
                  <w:tcMar>
                    <w:left w:w="0" w:type="dxa"/>
                    <w:right w:w="0" w:type="dxa"/>
                  </w:tcMar>
                  <w:vAlign w:val="bottom"/>
                </w:tcPr>
                <w:p w14:paraId="730FC04D"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7026" w:type="dxa"/>
                  <w:gridSpan w:val="9"/>
                  <w:tcBorders>
                    <w:top w:val="nil"/>
                    <w:left w:val="nil"/>
                    <w:bottom w:val="single" w:sz="4" w:space="0" w:color="000000"/>
                    <w:right w:val="nil"/>
                    <w:tl2br w:val="nil"/>
                    <w:tr2bl w:val="nil"/>
                  </w:tcBorders>
                  <w:shd w:val="clear" w:color="auto" w:fill="auto"/>
                  <w:tcMar>
                    <w:left w:w="40" w:type="dxa"/>
                    <w:right w:w="40" w:type="dxa"/>
                  </w:tcMar>
                  <w:vAlign w:val="bottom"/>
                </w:tcPr>
                <w:p w14:paraId="3E514D79"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USD thousand</w:t>
                  </w:r>
                </w:p>
              </w:tc>
            </w:tr>
            <w:tr w:rsidR="00E35106" w:rsidRPr="004D7A72" w14:paraId="08AA0364"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6" w:type="dxa"/>
                  <w:tcBorders>
                    <w:top w:val="nil"/>
                    <w:left w:val="nil"/>
                    <w:bottom w:val="nil"/>
                    <w:right w:val="nil"/>
                    <w:tl2br w:val="nil"/>
                    <w:tr2bl w:val="nil"/>
                  </w:tcBorders>
                  <w:shd w:val="clear" w:color="auto" w:fill="auto"/>
                  <w:noWrap/>
                  <w:tcMar>
                    <w:left w:w="0" w:type="dxa"/>
                    <w:right w:w="0" w:type="dxa"/>
                  </w:tcMar>
                  <w:vAlign w:val="bottom"/>
                </w:tcPr>
                <w:p w14:paraId="741B1643"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2445" w:type="dxa"/>
                  <w:tcBorders>
                    <w:top w:val="nil"/>
                    <w:left w:val="nil"/>
                    <w:bottom w:val="nil"/>
                    <w:right w:val="nil"/>
                    <w:tl2br w:val="nil"/>
                    <w:tr2bl w:val="nil"/>
                  </w:tcBorders>
                  <w:shd w:val="clear" w:color="auto" w:fill="auto"/>
                  <w:tcMar>
                    <w:left w:w="0" w:type="dxa"/>
                    <w:right w:w="0" w:type="dxa"/>
                  </w:tcMar>
                  <w:vAlign w:val="bottom"/>
                </w:tcPr>
                <w:p w14:paraId="4E32094A"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1012"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9B4CF2"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44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E3E3CB"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1057"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A68A3D"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44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11EF12"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963"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0D661E"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44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139245"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983"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DF4732"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44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BB12BE"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1227"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CAEB19"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r>
            <w:tr w:rsidR="00E35106" w:rsidRPr="004D7A72" w14:paraId="59311199"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81" w:type="dxa"/>
                  <w:gridSpan w:val="2"/>
                  <w:tcBorders>
                    <w:top w:val="nil"/>
                    <w:left w:val="nil"/>
                    <w:bottom w:val="nil"/>
                    <w:right w:val="nil"/>
                    <w:tl2br w:val="nil"/>
                    <w:tr2bl w:val="nil"/>
                  </w:tcBorders>
                  <w:shd w:val="clear" w:color="auto" w:fill="auto"/>
                  <w:noWrap/>
                  <w:tcMar>
                    <w:left w:w="40" w:type="dxa"/>
                    <w:right w:w="40" w:type="dxa"/>
                  </w:tcMar>
                  <w:vAlign w:val="bottom"/>
                </w:tcPr>
                <w:p w14:paraId="7D50B69E"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Rental income - commercial </w:t>
                  </w:r>
                </w:p>
              </w:tc>
              <w:tc>
                <w:tcPr>
                  <w:tcW w:w="1012" w:type="dxa"/>
                  <w:tcBorders>
                    <w:top w:val="nil"/>
                    <w:left w:val="nil"/>
                    <w:bottom w:val="nil"/>
                    <w:right w:val="nil"/>
                    <w:tl2br w:val="nil"/>
                    <w:tr2bl w:val="nil"/>
                  </w:tcBorders>
                  <w:shd w:val="clear" w:color="auto" w:fill="auto"/>
                  <w:noWrap/>
                  <w:tcMar>
                    <w:left w:w="40" w:type="dxa"/>
                    <w:right w:w="235" w:type="dxa"/>
                  </w:tcMar>
                  <w:vAlign w:val="bottom"/>
                </w:tcPr>
                <w:p w14:paraId="1C7ABA7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3,318</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2B4F626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nil"/>
                    <w:left w:val="nil"/>
                    <w:bottom w:val="nil"/>
                    <w:right w:val="nil"/>
                    <w:tl2br w:val="nil"/>
                    <w:tr2bl w:val="nil"/>
                  </w:tcBorders>
                  <w:shd w:val="clear" w:color="auto" w:fill="auto"/>
                  <w:noWrap/>
                  <w:tcMar>
                    <w:left w:w="40" w:type="dxa"/>
                    <w:right w:w="235" w:type="dxa"/>
                  </w:tcMar>
                  <w:vAlign w:val="bottom"/>
                </w:tcPr>
                <w:p w14:paraId="1F7E219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3,045</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44DA9AF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nil"/>
                    <w:left w:val="nil"/>
                    <w:bottom w:val="nil"/>
                    <w:right w:val="nil"/>
                    <w:tl2br w:val="nil"/>
                    <w:tr2bl w:val="nil"/>
                  </w:tcBorders>
                  <w:shd w:val="clear" w:color="auto" w:fill="auto"/>
                  <w:noWrap/>
                  <w:tcMar>
                    <w:left w:w="40" w:type="dxa"/>
                    <w:right w:w="235" w:type="dxa"/>
                  </w:tcMar>
                  <w:vAlign w:val="bottom"/>
                </w:tcPr>
                <w:p w14:paraId="1177765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1,652</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2F035FB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nil"/>
                    <w:left w:val="nil"/>
                    <w:bottom w:val="nil"/>
                    <w:right w:val="nil"/>
                    <w:tl2br w:val="nil"/>
                    <w:tr2bl w:val="nil"/>
                  </w:tcBorders>
                  <w:shd w:val="clear" w:color="auto" w:fill="auto"/>
                  <w:noWrap/>
                  <w:tcMar>
                    <w:left w:w="40" w:type="dxa"/>
                    <w:right w:w="235" w:type="dxa"/>
                  </w:tcMar>
                  <w:vAlign w:val="bottom"/>
                </w:tcPr>
                <w:p w14:paraId="2F7CACB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1,547</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5CFB37F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nil"/>
                    <w:left w:val="nil"/>
                    <w:bottom w:val="nil"/>
                    <w:right w:val="nil"/>
                    <w:tl2br w:val="nil"/>
                    <w:tr2bl w:val="nil"/>
                  </w:tcBorders>
                  <w:shd w:val="clear" w:color="auto" w:fill="auto"/>
                  <w:noWrap/>
                  <w:tcMar>
                    <w:left w:w="40" w:type="dxa"/>
                    <w:right w:w="370" w:type="dxa"/>
                  </w:tcMar>
                  <w:vAlign w:val="bottom"/>
                </w:tcPr>
                <w:p w14:paraId="2C9E8A6C"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6,296</w:t>
                  </w:r>
                </w:p>
              </w:tc>
            </w:tr>
            <w:tr w:rsidR="00E35106" w:rsidRPr="004D7A72" w14:paraId="194AA76C"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
              </w:trPr>
              <w:tc>
                <w:tcPr>
                  <w:tcW w:w="2681" w:type="dxa"/>
                  <w:gridSpan w:val="2"/>
                  <w:tcBorders>
                    <w:top w:val="nil"/>
                    <w:left w:val="nil"/>
                    <w:bottom w:val="nil"/>
                    <w:right w:val="nil"/>
                    <w:tl2br w:val="nil"/>
                    <w:tr2bl w:val="nil"/>
                  </w:tcBorders>
                  <w:shd w:val="clear" w:color="auto" w:fill="auto"/>
                  <w:tcMar>
                    <w:left w:w="40" w:type="dxa"/>
                    <w:right w:w="40" w:type="dxa"/>
                  </w:tcMar>
                  <w:vAlign w:val="bottom"/>
                </w:tcPr>
                <w:p w14:paraId="4A7CF58B"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Rental property operating expenses - commercial</w:t>
                  </w:r>
                </w:p>
              </w:tc>
              <w:tc>
                <w:tcPr>
                  <w:tcW w:w="1012"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36E4C2F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574</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0118660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200F14C1"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379</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7D9BED6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61EF841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298</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3CAB255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0CC57E2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204</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0F84C94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nil"/>
                    <w:left w:val="nil"/>
                    <w:bottom w:val="single" w:sz="4" w:space="0" w:color="000000"/>
                    <w:right w:val="nil"/>
                    <w:tl2br w:val="nil"/>
                    <w:tr2bl w:val="nil"/>
                  </w:tcBorders>
                  <w:shd w:val="clear" w:color="auto" w:fill="auto"/>
                  <w:noWrap/>
                  <w:tcMar>
                    <w:left w:w="40" w:type="dxa"/>
                    <w:right w:w="370" w:type="dxa"/>
                  </w:tcMar>
                  <w:vAlign w:val="bottom"/>
                </w:tcPr>
                <w:p w14:paraId="742A63FC"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1,162</w:t>
                  </w:r>
                </w:p>
              </w:tc>
            </w:tr>
            <w:tr w:rsidR="00E35106" w:rsidRPr="004D7A72" w14:paraId="4D6BCA08"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1" w:type="dxa"/>
                  <w:gridSpan w:val="2"/>
                  <w:tcBorders>
                    <w:top w:val="nil"/>
                    <w:left w:val="nil"/>
                    <w:bottom w:val="nil"/>
                    <w:right w:val="nil"/>
                    <w:tl2br w:val="nil"/>
                    <w:tr2bl w:val="nil"/>
                  </w:tcBorders>
                  <w:shd w:val="clear" w:color="auto" w:fill="auto"/>
                  <w:tcMar>
                    <w:left w:w="40" w:type="dxa"/>
                    <w:right w:w="40" w:type="dxa"/>
                  </w:tcMar>
                  <w:vAlign w:val="bottom"/>
                </w:tcPr>
                <w:p w14:paraId="60058ADC"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Net operating income (NOI) - commercial</w:t>
                  </w:r>
                </w:p>
              </w:tc>
              <w:tc>
                <w:tcPr>
                  <w:tcW w:w="1012"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4FAD15B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2,744</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3E2676E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64AD487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2,666</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66C1424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1F17E00E"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1,354</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71FB392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4DCC4C4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1,343</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319657B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single" w:sz="4" w:space="0" w:color="000000"/>
                    <w:left w:val="nil"/>
                    <w:bottom w:val="nil"/>
                    <w:right w:val="nil"/>
                    <w:tl2br w:val="nil"/>
                    <w:tr2bl w:val="nil"/>
                  </w:tcBorders>
                  <w:shd w:val="clear" w:color="auto" w:fill="auto"/>
                  <w:noWrap/>
                  <w:tcMar>
                    <w:left w:w="40" w:type="dxa"/>
                    <w:right w:w="370" w:type="dxa"/>
                  </w:tcMar>
                  <w:vAlign w:val="bottom"/>
                </w:tcPr>
                <w:p w14:paraId="6FAFFC3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5,134</w:t>
                  </w:r>
                </w:p>
              </w:tc>
            </w:tr>
            <w:tr w:rsidR="00E35106" w:rsidRPr="004D7A72" w14:paraId="52EDE18D"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36" w:type="dxa"/>
                  <w:tcBorders>
                    <w:top w:val="nil"/>
                    <w:left w:val="nil"/>
                    <w:bottom w:val="nil"/>
                    <w:right w:val="nil"/>
                    <w:tl2br w:val="nil"/>
                    <w:tr2bl w:val="nil"/>
                  </w:tcBorders>
                  <w:shd w:val="clear" w:color="auto" w:fill="auto"/>
                  <w:noWrap/>
                  <w:tcMar>
                    <w:left w:w="0" w:type="dxa"/>
                    <w:right w:w="0" w:type="dxa"/>
                  </w:tcMar>
                  <w:vAlign w:val="bottom"/>
                </w:tcPr>
                <w:p w14:paraId="3B327F15"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2445" w:type="dxa"/>
                  <w:tcBorders>
                    <w:top w:val="nil"/>
                    <w:left w:val="nil"/>
                    <w:bottom w:val="nil"/>
                    <w:right w:val="nil"/>
                    <w:tl2br w:val="nil"/>
                    <w:tr2bl w:val="nil"/>
                  </w:tcBorders>
                  <w:shd w:val="clear" w:color="auto" w:fill="auto"/>
                  <w:noWrap/>
                  <w:tcMar>
                    <w:left w:w="0" w:type="dxa"/>
                    <w:right w:w="0" w:type="dxa"/>
                  </w:tcMar>
                  <w:vAlign w:val="bottom"/>
                </w:tcPr>
                <w:p w14:paraId="1B420ADE"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1012" w:type="dxa"/>
                  <w:tcBorders>
                    <w:top w:val="nil"/>
                    <w:left w:val="nil"/>
                    <w:bottom w:val="nil"/>
                    <w:right w:val="nil"/>
                    <w:tl2br w:val="nil"/>
                    <w:tr2bl w:val="nil"/>
                  </w:tcBorders>
                  <w:shd w:val="clear" w:color="auto" w:fill="auto"/>
                  <w:noWrap/>
                  <w:tcMar>
                    <w:left w:w="0" w:type="dxa"/>
                    <w:right w:w="135" w:type="dxa"/>
                  </w:tcMar>
                  <w:vAlign w:val="bottom"/>
                </w:tcPr>
                <w:p w14:paraId="4FA7B001"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6F17E98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nil"/>
                    <w:left w:val="nil"/>
                    <w:bottom w:val="nil"/>
                    <w:right w:val="nil"/>
                    <w:tl2br w:val="nil"/>
                    <w:tr2bl w:val="nil"/>
                  </w:tcBorders>
                  <w:shd w:val="clear" w:color="auto" w:fill="auto"/>
                  <w:noWrap/>
                  <w:tcMar>
                    <w:left w:w="0" w:type="dxa"/>
                    <w:right w:w="135" w:type="dxa"/>
                  </w:tcMar>
                  <w:vAlign w:val="bottom"/>
                </w:tcPr>
                <w:p w14:paraId="0366F81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2047B98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nil"/>
                    <w:left w:val="nil"/>
                    <w:bottom w:val="nil"/>
                    <w:right w:val="nil"/>
                    <w:tl2br w:val="nil"/>
                    <w:tr2bl w:val="nil"/>
                  </w:tcBorders>
                  <w:shd w:val="clear" w:color="auto" w:fill="auto"/>
                  <w:noWrap/>
                  <w:tcMar>
                    <w:left w:w="0" w:type="dxa"/>
                    <w:right w:w="135" w:type="dxa"/>
                  </w:tcMar>
                  <w:vAlign w:val="bottom"/>
                </w:tcPr>
                <w:p w14:paraId="7AA48A7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155FDF3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nil"/>
                    <w:left w:val="nil"/>
                    <w:bottom w:val="nil"/>
                    <w:right w:val="nil"/>
                    <w:tl2br w:val="nil"/>
                    <w:tr2bl w:val="nil"/>
                  </w:tcBorders>
                  <w:shd w:val="clear" w:color="auto" w:fill="auto"/>
                  <w:noWrap/>
                  <w:tcMar>
                    <w:left w:w="0" w:type="dxa"/>
                    <w:right w:w="135" w:type="dxa"/>
                  </w:tcMar>
                  <w:vAlign w:val="bottom"/>
                </w:tcPr>
                <w:p w14:paraId="1A0292C1"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6FC4A6D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nil"/>
                    <w:left w:val="nil"/>
                    <w:bottom w:val="nil"/>
                    <w:right w:val="nil"/>
                    <w:tl2br w:val="nil"/>
                    <w:tr2bl w:val="nil"/>
                  </w:tcBorders>
                  <w:shd w:val="clear" w:color="auto" w:fill="auto"/>
                  <w:noWrap/>
                  <w:tcMar>
                    <w:left w:w="0" w:type="dxa"/>
                    <w:right w:w="270" w:type="dxa"/>
                  </w:tcMar>
                  <w:vAlign w:val="bottom"/>
                </w:tcPr>
                <w:p w14:paraId="66407C4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r>
            <w:tr w:rsidR="00E35106" w:rsidRPr="004D7A72" w14:paraId="07A6BC0E"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81" w:type="dxa"/>
                  <w:gridSpan w:val="2"/>
                  <w:tcBorders>
                    <w:top w:val="nil"/>
                    <w:left w:val="nil"/>
                    <w:bottom w:val="nil"/>
                    <w:right w:val="nil"/>
                    <w:tl2br w:val="nil"/>
                    <w:tr2bl w:val="nil"/>
                  </w:tcBorders>
                  <w:shd w:val="clear" w:color="auto" w:fill="auto"/>
                  <w:noWrap/>
                  <w:tcMar>
                    <w:left w:w="40" w:type="dxa"/>
                    <w:right w:w="40" w:type="dxa"/>
                  </w:tcMar>
                  <w:vAlign w:val="bottom"/>
                </w:tcPr>
                <w:p w14:paraId="0AF2CBEC"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Rental income - residential </w:t>
                  </w:r>
                </w:p>
              </w:tc>
              <w:tc>
                <w:tcPr>
                  <w:tcW w:w="1012" w:type="dxa"/>
                  <w:tcBorders>
                    <w:top w:val="nil"/>
                    <w:left w:val="nil"/>
                    <w:bottom w:val="nil"/>
                    <w:right w:val="nil"/>
                    <w:tl2br w:val="nil"/>
                    <w:tr2bl w:val="nil"/>
                  </w:tcBorders>
                  <w:shd w:val="clear" w:color="auto" w:fill="auto"/>
                  <w:noWrap/>
                  <w:tcMar>
                    <w:left w:w="40" w:type="dxa"/>
                    <w:right w:w="235" w:type="dxa"/>
                  </w:tcMar>
                  <w:vAlign w:val="bottom"/>
                </w:tcPr>
                <w:p w14:paraId="1F85CD3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4,963</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6B1E7E7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nil"/>
                    <w:left w:val="nil"/>
                    <w:bottom w:val="nil"/>
                    <w:right w:val="nil"/>
                    <w:tl2br w:val="nil"/>
                    <w:tr2bl w:val="nil"/>
                  </w:tcBorders>
                  <w:shd w:val="clear" w:color="auto" w:fill="auto"/>
                  <w:noWrap/>
                  <w:tcMar>
                    <w:left w:w="40" w:type="dxa"/>
                    <w:right w:w="235" w:type="dxa"/>
                  </w:tcMar>
                  <w:vAlign w:val="bottom"/>
                </w:tcPr>
                <w:p w14:paraId="0BE659A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4,794</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1F09F49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nil"/>
                    <w:left w:val="nil"/>
                    <w:bottom w:val="nil"/>
                    <w:right w:val="nil"/>
                    <w:tl2br w:val="nil"/>
                    <w:tr2bl w:val="nil"/>
                  </w:tcBorders>
                  <w:shd w:val="clear" w:color="auto" w:fill="auto"/>
                  <w:noWrap/>
                  <w:tcMar>
                    <w:left w:w="40" w:type="dxa"/>
                    <w:right w:w="235" w:type="dxa"/>
                  </w:tcMar>
                  <w:vAlign w:val="bottom"/>
                </w:tcPr>
                <w:p w14:paraId="5BFA3DE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2,500</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2A2554A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nil"/>
                    <w:left w:val="nil"/>
                    <w:bottom w:val="nil"/>
                    <w:right w:val="nil"/>
                    <w:tl2br w:val="nil"/>
                    <w:tr2bl w:val="nil"/>
                  </w:tcBorders>
                  <w:shd w:val="clear" w:color="auto" w:fill="auto"/>
                  <w:noWrap/>
                  <w:tcMar>
                    <w:left w:w="40" w:type="dxa"/>
                    <w:right w:w="235" w:type="dxa"/>
                  </w:tcMar>
                  <w:vAlign w:val="bottom"/>
                </w:tcPr>
                <w:p w14:paraId="752C878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2,416</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4858BE4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nil"/>
                    <w:left w:val="nil"/>
                    <w:bottom w:val="nil"/>
                    <w:right w:val="nil"/>
                    <w:tl2br w:val="nil"/>
                    <w:tr2bl w:val="nil"/>
                  </w:tcBorders>
                  <w:shd w:val="clear" w:color="auto" w:fill="auto"/>
                  <w:noWrap/>
                  <w:tcMar>
                    <w:left w:w="40" w:type="dxa"/>
                    <w:right w:w="370" w:type="dxa"/>
                  </w:tcMar>
                  <w:vAlign w:val="bottom"/>
                </w:tcPr>
                <w:p w14:paraId="0F88A17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9,654</w:t>
                  </w:r>
                </w:p>
              </w:tc>
            </w:tr>
            <w:tr w:rsidR="00E35106" w:rsidRPr="004D7A72" w14:paraId="30FC84D2"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0"/>
              </w:trPr>
              <w:tc>
                <w:tcPr>
                  <w:tcW w:w="2681" w:type="dxa"/>
                  <w:gridSpan w:val="2"/>
                  <w:tcBorders>
                    <w:top w:val="nil"/>
                    <w:left w:val="nil"/>
                    <w:bottom w:val="nil"/>
                    <w:right w:val="nil"/>
                    <w:tl2br w:val="nil"/>
                    <w:tr2bl w:val="nil"/>
                  </w:tcBorders>
                  <w:shd w:val="clear" w:color="auto" w:fill="auto"/>
                  <w:noWrap/>
                  <w:tcMar>
                    <w:left w:w="40" w:type="dxa"/>
                    <w:right w:w="40" w:type="dxa"/>
                  </w:tcMar>
                  <w:vAlign w:val="bottom"/>
                </w:tcPr>
                <w:p w14:paraId="2289218E"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Rental property operating expenses - residential</w:t>
                  </w:r>
                </w:p>
              </w:tc>
              <w:tc>
                <w:tcPr>
                  <w:tcW w:w="1012"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01D90E7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1,961</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7F0CC8D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2880CEC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1,756</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7088579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3996274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941</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506CE751"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7CF2EE2E"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905</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0EA8602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nil"/>
                    <w:left w:val="nil"/>
                    <w:bottom w:val="single" w:sz="4" w:space="0" w:color="000000"/>
                    <w:right w:val="nil"/>
                    <w:tl2br w:val="nil"/>
                    <w:tr2bl w:val="nil"/>
                  </w:tcBorders>
                  <w:shd w:val="clear" w:color="auto" w:fill="auto"/>
                  <w:noWrap/>
                  <w:tcMar>
                    <w:left w:w="40" w:type="dxa"/>
                    <w:right w:w="370" w:type="dxa"/>
                  </w:tcMar>
                  <w:vAlign w:val="bottom"/>
                </w:tcPr>
                <w:p w14:paraId="6C7DCBB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4,097</w:t>
                  </w:r>
                </w:p>
              </w:tc>
            </w:tr>
            <w:tr w:rsidR="00E35106" w:rsidRPr="004D7A72" w14:paraId="570DB9D3"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81" w:type="dxa"/>
                  <w:gridSpan w:val="2"/>
                  <w:tcBorders>
                    <w:top w:val="nil"/>
                    <w:left w:val="nil"/>
                    <w:bottom w:val="nil"/>
                    <w:right w:val="nil"/>
                    <w:tl2br w:val="nil"/>
                    <w:tr2bl w:val="nil"/>
                  </w:tcBorders>
                  <w:shd w:val="clear" w:color="auto" w:fill="auto"/>
                  <w:noWrap/>
                  <w:tcMar>
                    <w:left w:w="40" w:type="dxa"/>
                    <w:right w:w="40" w:type="dxa"/>
                  </w:tcMar>
                  <w:vAlign w:val="bottom"/>
                </w:tcPr>
                <w:p w14:paraId="62802A41"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Net operating income (NOI) - residential</w:t>
                  </w:r>
                </w:p>
              </w:tc>
              <w:tc>
                <w:tcPr>
                  <w:tcW w:w="1012"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69E1E1C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3,002</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199F1A7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07C6D6D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3,038</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722BE15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1871E45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1,559</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6452782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4AD8957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1,511</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71EA9E2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single" w:sz="4" w:space="0" w:color="000000"/>
                    <w:left w:val="nil"/>
                    <w:bottom w:val="nil"/>
                    <w:right w:val="nil"/>
                    <w:tl2br w:val="nil"/>
                    <w:tr2bl w:val="nil"/>
                  </w:tcBorders>
                  <w:shd w:val="clear" w:color="auto" w:fill="auto"/>
                  <w:noWrap/>
                  <w:tcMar>
                    <w:left w:w="40" w:type="dxa"/>
                    <w:right w:w="370" w:type="dxa"/>
                  </w:tcMar>
                  <w:vAlign w:val="bottom"/>
                </w:tcPr>
                <w:p w14:paraId="50C2AA5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5,557</w:t>
                  </w:r>
                </w:p>
              </w:tc>
            </w:tr>
            <w:tr w:rsidR="00E35106" w:rsidRPr="004D7A72" w14:paraId="090FA2EB"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36" w:type="dxa"/>
                  <w:tcBorders>
                    <w:top w:val="nil"/>
                    <w:left w:val="nil"/>
                    <w:bottom w:val="nil"/>
                    <w:right w:val="nil"/>
                    <w:tl2br w:val="nil"/>
                    <w:tr2bl w:val="nil"/>
                  </w:tcBorders>
                  <w:shd w:val="clear" w:color="auto" w:fill="auto"/>
                  <w:noWrap/>
                  <w:tcMar>
                    <w:left w:w="0" w:type="dxa"/>
                    <w:right w:w="0" w:type="dxa"/>
                  </w:tcMar>
                  <w:vAlign w:val="bottom"/>
                </w:tcPr>
                <w:p w14:paraId="449EB4E9"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2445" w:type="dxa"/>
                  <w:tcBorders>
                    <w:top w:val="nil"/>
                    <w:left w:val="nil"/>
                    <w:bottom w:val="nil"/>
                    <w:right w:val="nil"/>
                    <w:tl2br w:val="nil"/>
                    <w:tr2bl w:val="nil"/>
                  </w:tcBorders>
                  <w:shd w:val="clear" w:color="auto" w:fill="auto"/>
                  <w:noWrap/>
                  <w:tcMar>
                    <w:left w:w="0" w:type="dxa"/>
                    <w:right w:w="0" w:type="dxa"/>
                  </w:tcMar>
                  <w:vAlign w:val="bottom"/>
                </w:tcPr>
                <w:p w14:paraId="178F1FA5"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1012" w:type="dxa"/>
                  <w:tcBorders>
                    <w:top w:val="nil"/>
                    <w:left w:val="nil"/>
                    <w:bottom w:val="nil"/>
                    <w:right w:val="nil"/>
                    <w:tl2br w:val="nil"/>
                    <w:tr2bl w:val="nil"/>
                  </w:tcBorders>
                  <w:shd w:val="clear" w:color="auto" w:fill="auto"/>
                  <w:noWrap/>
                  <w:tcMar>
                    <w:left w:w="0" w:type="dxa"/>
                    <w:right w:w="135" w:type="dxa"/>
                  </w:tcMar>
                  <w:vAlign w:val="bottom"/>
                </w:tcPr>
                <w:p w14:paraId="68BDBDF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522E132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nil"/>
                    <w:left w:val="nil"/>
                    <w:bottom w:val="nil"/>
                    <w:right w:val="nil"/>
                    <w:tl2br w:val="nil"/>
                    <w:tr2bl w:val="nil"/>
                  </w:tcBorders>
                  <w:shd w:val="clear" w:color="auto" w:fill="auto"/>
                  <w:noWrap/>
                  <w:tcMar>
                    <w:left w:w="0" w:type="dxa"/>
                    <w:right w:w="135" w:type="dxa"/>
                  </w:tcMar>
                  <w:vAlign w:val="bottom"/>
                </w:tcPr>
                <w:p w14:paraId="4CA0EE1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54DAFA6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nil"/>
                    <w:left w:val="nil"/>
                    <w:bottom w:val="nil"/>
                    <w:right w:val="nil"/>
                    <w:tl2br w:val="nil"/>
                    <w:tr2bl w:val="nil"/>
                  </w:tcBorders>
                  <w:shd w:val="clear" w:color="auto" w:fill="auto"/>
                  <w:noWrap/>
                  <w:tcMar>
                    <w:left w:w="0" w:type="dxa"/>
                    <w:right w:w="135" w:type="dxa"/>
                  </w:tcMar>
                  <w:vAlign w:val="bottom"/>
                </w:tcPr>
                <w:p w14:paraId="6FC4A8D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668E2A21"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nil"/>
                    <w:left w:val="nil"/>
                    <w:bottom w:val="nil"/>
                    <w:right w:val="nil"/>
                    <w:tl2br w:val="nil"/>
                    <w:tr2bl w:val="nil"/>
                  </w:tcBorders>
                  <w:shd w:val="clear" w:color="auto" w:fill="auto"/>
                  <w:noWrap/>
                  <w:tcMar>
                    <w:left w:w="0" w:type="dxa"/>
                    <w:right w:w="135" w:type="dxa"/>
                  </w:tcMar>
                  <w:vAlign w:val="bottom"/>
                </w:tcPr>
                <w:p w14:paraId="76F30EB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6588CE2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nil"/>
                    <w:left w:val="nil"/>
                    <w:bottom w:val="nil"/>
                    <w:right w:val="nil"/>
                    <w:tl2br w:val="nil"/>
                    <w:tr2bl w:val="nil"/>
                  </w:tcBorders>
                  <w:shd w:val="clear" w:color="auto" w:fill="auto"/>
                  <w:noWrap/>
                  <w:tcMar>
                    <w:left w:w="0" w:type="dxa"/>
                    <w:right w:w="270" w:type="dxa"/>
                  </w:tcMar>
                  <w:vAlign w:val="bottom"/>
                </w:tcPr>
                <w:p w14:paraId="4C58E32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r>
            <w:tr w:rsidR="00E35106" w:rsidRPr="004D7A72" w14:paraId="3E265258"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81" w:type="dxa"/>
                  <w:gridSpan w:val="2"/>
                  <w:tcBorders>
                    <w:top w:val="nil"/>
                    <w:left w:val="nil"/>
                    <w:bottom w:val="nil"/>
                    <w:right w:val="nil"/>
                    <w:tl2br w:val="nil"/>
                    <w:tr2bl w:val="nil"/>
                  </w:tcBorders>
                  <w:shd w:val="clear" w:color="auto" w:fill="auto"/>
                  <w:noWrap/>
                  <w:tcMar>
                    <w:left w:w="40" w:type="dxa"/>
                    <w:right w:w="40" w:type="dxa"/>
                  </w:tcMar>
                  <w:vAlign w:val="bottom"/>
                </w:tcPr>
                <w:p w14:paraId="37E9D0FC"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Total operating income, net</w:t>
                  </w:r>
                </w:p>
              </w:tc>
              <w:tc>
                <w:tcPr>
                  <w:tcW w:w="1012"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2003358E"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5,746</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362A528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10AD5CB1"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5,704</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65C99CA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028AE4B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2,913</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25762A7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4147B7C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2,854</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77612B2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nil"/>
                    <w:left w:val="nil"/>
                    <w:bottom w:val="single" w:sz="4" w:space="0" w:color="000000"/>
                    <w:right w:val="nil"/>
                    <w:tl2br w:val="nil"/>
                    <w:tr2bl w:val="nil"/>
                  </w:tcBorders>
                  <w:shd w:val="clear" w:color="auto" w:fill="auto"/>
                  <w:noWrap/>
                  <w:tcMar>
                    <w:left w:w="40" w:type="dxa"/>
                    <w:right w:w="370" w:type="dxa"/>
                  </w:tcMar>
                  <w:vAlign w:val="bottom"/>
                </w:tcPr>
                <w:p w14:paraId="65C127F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10,691</w:t>
                  </w:r>
                </w:p>
              </w:tc>
            </w:tr>
            <w:tr w:rsidR="00E35106" w:rsidRPr="004D7A72" w14:paraId="58D842DB"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1" w:type="dxa"/>
                  <w:gridSpan w:val="2"/>
                  <w:tcBorders>
                    <w:top w:val="nil"/>
                    <w:left w:val="nil"/>
                    <w:bottom w:val="nil"/>
                    <w:right w:val="nil"/>
                    <w:tl2br w:val="nil"/>
                    <w:tr2bl w:val="nil"/>
                  </w:tcBorders>
                  <w:shd w:val="clear" w:color="auto" w:fill="auto"/>
                  <w:tcMar>
                    <w:left w:w="0" w:type="dxa"/>
                    <w:right w:w="0" w:type="dxa"/>
                  </w:tcMar>
                  <w:vAlign w:val="bottom"/>
                </w:tcPr>
                <w:p w14:paraId="5F31D53B"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1012"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CE1B6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1EFE895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E70A7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2B8A7FB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5206DC"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14DE2A6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0D43E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59F3AFC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4AAD5C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r>
            <w:tr w:rsidR="00E35106" w:rsidRPr="004D7A72" w14:paraId="55C9EB57"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1" w:type="dxa"/>
                  <w:gridSpan w:val="2"/>
                  <w:tcBorders>
                    <w:top w:val="nil"/>
                    <w:left w:val="nil"/>
                    <w:bottom w:val="nil"/>
                    <w:right w:val="nil"/>
                    <w:tl2br w:val="nil"/>
                    <w:tr2bl w:val="nil"/>
                  </w:tcBorders>
                  <w:shd w:val="clear" w:color="auto" w:fill="auto"/>
                  <w:tcMar>
                    <w:left w:w="40" w:type="dxa"/>
                    <w:right w:w="40" w:type="dxa"/>
                  </w:tcMar>
                  <w:vAlign w:val="bottom"/>
                </w:tcPr>
                <w:p w14:paraId="7B89A64B"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General and administrative expenses</w:t>
                  </w:r>
                </w:p>
              </w:tc>
              <w:tc>
                <w:tcPr>
                  <w:tcW w:w="1012" w:type="dxa"/>
                  <w:tcBorders>
                    <w:top w:val="nil"/>
                    <w:left w:val="nil"/>
                    <w:bottom w:val="nil"/>
                    <w:right w:val="nil"/>
                    <w:tl2br w:val="nil"/>
                    <w:tr2bl w:val="nil"/>
                  </w:tcBorders>
                  <w:shd w:val="clear" w:color="auto" w:fill="auto"/>
                  <w:noWrap/>
                  <w:tcMar>
                    <w:left w:w="40" w:type="dxa"/>
                    <w:right w:w="175" w:type="dxa"/>
                  </w:tcMar>
                  <w:vAlign w:val="bottom"/>
                </w:tcPr>
                <w:p w14:paraId="6ABD8A2C"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(32)</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046AAEC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nil"/>
                    <w:left w:val="nil"/>
                    <w:bottom w:val="nil"/>
                    <w:right w:val="nil"/>
                    <w:tl2br w:val="nil"/>
                    <w:tr2bl w:val="nil"/>
                  </w:tcBorders>
                  <w:shd w:val="clear" w:color="auto" w:fill="auto"/>
                  <w:noWrap/>
                  <w:tcMar>
                    <w:left w:w="40" w:type="dxa"/>
                    <w:right w:w="235" w:type="dxa"/>
                  </w:tcMar>
                  <w:vAlign w:val="bottom"/>
                </w:tcPr>
                <w:p w14:paraId="0BC0A8C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79174D2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nil"/>
                    <w:left w:val="nil"/>
                    <w:bottom w:val="nil"/>
                    <w:right w:val="nil"/>
                    <w:tl2br w:val="nil"/>
                    <w:tr2bl w:val="nil"/>
                  </w:tcBorders>
                  <w:shd w:val="clear" w:color="auto" w:fill="auto"/>
                  <w:noWrap/>
                  <w:tcMar>
                    <w:left w:w="40" w:type="dxa"/>
                    <w:right w:w="175" w:type="dxa"/>
                  </w:tcMar>
                  <w:vAlign w:val="bottom"/>
                </w:tcPr>
                <w:p w14:paraId="0DF8BFB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(17)</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1ADFBFC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nil"/>
                    <w:left w:val="nil"/>
                    <w:bottom w:val="nil"/>
                    <w:right w:val="nil"/>
                    <w:tl2br w:val="nil"/>
                    <w:tr2bl w:val="nil"/>
                  </w:tcBorders>
                  <w:shd w:val="clear" w:color="auto" w:fill="auto"/>
                  <w:noWrap/>
                  <w:tcMar>
                    <w:left w:w="40" w:type="dxa"/>
                    <w:right w:w="235" w:type="dxa"/>
                  </w:tcMar>
                  <w:vAlign w:val="bottom"/>
                </w:tcPr>
                <w:p w14:paraId="14CDD9A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38241F7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nil"/>
                    <w:left w:val="nil"/>
                    <w:bottom w:val="nil"/>
                    <w:right w:val="nil"/>
                    <w:tl2br w:val="nil"/>
                    <w:tr2bl w:val="nil"/>
                  </w:tcBorders>
                  <w:shd w:val="clear" w:color="auto" w:fill="auto"/>
                  <w:noWrap/>
                  <w:tcMar>
                    <w:left w:w="40" w:type="dxa"/>
                    <w:right w:w="310" w:type="dxa"/>
                  </w:tcMar>
                  <w:vAlign w:val="bottom"/>
                </w:tcPr>
                <w:p w14:paraId="5CD7970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(10)</w:t>
                  </w:r>
                </w:p>
              </w:tc>
            </w:tr>
            <w:tr w:rsidR="00E35106" w:rsidRPr="004D7A72" w14:paraId="69B9D9CC"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1" w:type="dxa"/>
                  <w:gridSpan w:val="2"/>
                  <w:tcBorders>
                    <w:top w:val="nil"/>
                    <w:left w:val="nil"/>
                    <w:bottom w:val="nil"/>
                    <w:right w:val="nil"/>
                    <w:tl2br w:val="nil"/>
                    <w:tr2bl w:val="nil"/>
                  </w:tcBorders>
                  <w:shd w:val="clear" w:color="auto" w:fill="auto"/>
                  <w:tcMar>
                    <w:left w:w="40" w:type="dxa"/>
                    <w:right w:w="40" w:type="dxa"/>
                  </w:tcMar>
                  <w:vAlign w:val="bottom"/>
                </w:tcPr>
                <w:p w14:paraId="3E5655DA"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Appreciation (impairment) of investment property  </w:t>
                  </w:r>
                </w:p>
              </w:tc>
              <w:tc>
                <w:tcPr>
                  <w:tcW w:w="101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1285F9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(4,305)</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54E8041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3F0BC5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(4,373)</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2576505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6F4E15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(4,305)</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3B748D6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160C1D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(4,373)</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77F93BC1"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nil"/>
                    <w:left w:val="nil"/>
                    <w:bottom w:val="single" w:sz="4" w:space="0" w:color="000000"/>
                    <w:right w:val="nil"/>
                    <w:tl2br w:val="nil"/>
                    <w:tr2bl w:val="nil"/>
                  </w:tcBorders>
                  <w:shd w:val="clear" w:color="auto" w:fill="auto"/>
                  <w:noWrap/>
                  <w:tcMar>
                    <w:left w:w="40" w:type="dxa"/>
                    <w:right w:w="310" w:type="dxa"/>
                  </w:tcMar>
                  <w:vAlign w:val="bottom"/>
                </w:tcPr>
                <w:p w14:paraId="2F76557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(713)</w:t>
                  </w:r>
                </w:p>
              </w:tc>
            </w:tr>
            <w:tr w:rsidR="00E35106" w:rsidRPr="004D7A72" w14:paraId="436C9F2F"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6" w:type="dxa"/>
                  <w:tcBorders>
                    <w:top w:val="nil"/>
                    <w:left w:val="nil"/>
                    <w:bottom w:val="nil"/>
                    <w:right w:val="nil"/>
                    <w:tl2br w:val="nil"/>
                    <w:tr2bl w:val="nil"/>
                  </w:tcBorders>
                  <w:shd w:val="clear" w:color="auto" w:fill="auto"/>
                  <w:tcMar>
                    <w:left w:w="0" w:type="dxa"/>
                    <w:right w:w="0" w:type="dxa"/>
                  </w:tcMar>
                  <w:vAlign w:val="bottom"/>
                </w:tcPr>
                <w:p w14:paraId="19E554F5"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2445" w:type="dxa"/>
                  <w:tcBorders>
                    <w:top w:val="nil"/>
                    <w:left w:val="nil"/>
                    <w:bottom w:val="nil"/>
                    <w:right w:val="nil"/>
                    <w:tl2br w:val="nil"/>
                    <w:tr2bl w:val="nil"/>
                  </w:tcBorders>
                  <w:shd w:val="clear" w:color="auto" w:fill="auto"/>
                  <w:noWrap/>
                  <w:tcMar>
                    <w:left w:w="0" w:type="dxa"/>
                    <w:right w:w="0" w:type="dxa"/>
                  </w:tcMar>
                  <w:vAlign w:val="bottom"/>
                </w:tcPr>
                <w:p w14:paraId="0DF8F96C"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1012"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385637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4F45FE7C"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B40B99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0D1D51FE"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8DF393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66A2D8CE"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064514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738E964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single" w:sz="4" w:space="0" w:color="000000"/>
                    <w:left w:val="nil"/>
                    <w:bottom w:val="nil"/>
                    <w:right w:val="nil"/>
                    <w:tl2br w:val="nil"/>
                    <w:tr2bl w:val="nil"/>
                  </w:tcBorders>
                  <w:shd w:val="clear" w:color="auto" w:fill="auto"/>
                  <w:noWrap/>
                  <w:tcMar>
                    <w:left w:w="0" w:type="dxa"/>
                    <w:right w:w="270" w:type="dxa"/>
                  </w:tcMar>
                  <w:vAlign w:val="bottom"/>
                </w:tcPr>
                <w:p w14:paraId="40276C2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r>
            <w:tr w:rsidR="00E35106" w:rsidRPr="004D7A72" w14:paraId="2AFAD608"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1" w:type="dxa"/>
                  <w:gridSpan w:val="2"/>
                  <w:tcBorders>
                    <w:top w:val="nil"/>
                    <w:left w:val="nil"/>
                    <w:bottom w:val="nil"/>
                    <w:right w:val="nil"/>
                    <w:tl2br w:val="nil"/>
                    <w:tr2bl w:val="nil"/>
                  </w:tcBorders>
                  <w:shd w:val="clear" w:color="auto" w:fill="auto"/>
                  <w:tcMar>
                    <w:left w:w="40" w:type="dxa"/>
                    <w:right w:w="40" w:type="dxa"/>
                  </w:tcMar>
                  <w:vAlign w:val="bottom"/>
                </w:tcPr>
                <w:p w14:paraId="39239C73"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Operating profit (loss)</w:t>
                  </w:r>
                </w:p>
              </w:tc>
              <w:tc>
                <w:tcPr>
                  <w:tcW w:w="1012" w:type="dxa"/>
                  <w:tcBorders>
                    <w:top w:val="nil"/>
                    <w:left w:val="nil"/>
                    <w:bottom w:val="nil"/>
                    <w:right w:val="nil"/>
                    <w:tl2br w:val="nil"/>
                    <w:tr2bl w:val="nil"/>
                  </w:tcBorders>
                  <w:shd w:val="clear" w:color="auto" w:fill="auto"/>
                  <w:noWrap/>
                  <w:tcMar>
                    <w:left w:w="40" w:type="dxa"/>
                    <w:right w:w="235" w:type="dxa"/>
                  </w:tcMar>
                  <w:vAlign w:val="bottom"/>
                </w:tcPr>
                <w:p w14:paraId="2635C17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1,409</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774BDC5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nil"/>
                    <w:left w:val="nil"/>
                    <w:bottom w:val="nil"/>
                    <w:right w:val="nil"/>
                    <w:tl2br w:val="nil"/>
                    <w:tr2bl w:val="nil"/>
                  </w:tcBorders>
                  <w:shd w:val="clear" w:color="auto" w:fill="auto"/>
                  <w:noWrap/>
                  <w:tcMar>
                    <w:left w:w="40" w:type="dxa"/>
                    <w:right w:w="235" w:type="dxa"/>
                  </w:tcMar>
                  <w:vAlign w:val="bottom"/>
                </w:tcPr>
                <w:p w14:paraId="3450642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1,331</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0B1ED35C"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nil"/>
                    <w:left w:val="nil"/>
                    <w:bottom w:val="nil"/>
                    <w:right w:val="nil"/>
                    <w:tl2br w:val="nil"/>
                    <w:tr2bl w:val="nil"/>
                  </w:tcBorders>
                  <w:shd w:val="clear" w:color="auto" w:fill="auto"/>
                  <w:noWrap/>
                  <w:tcMar>
                    <w:left w:w="40" w:type="dxa"/>
                    <w:right w:w="175" w:type="dxa"/>
                  </w:tcMar>
                  <w:vAlign w:val="bottom"/>
                </w:tcPr>
                <w:p w14:paraId="389F23D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(1,409)</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4C2E205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nil"/>
                    <w:left w:val="nil"/>
                    <w:bottom w:val="nil"/>
                    <w:right w:val="nil"/>
                    <w:tl2br w:val="nil"/>
                    <w:tr2bl w:val="nil"/>
                  </w:tcBorders>
                  <w:shd w:val="clear" w:color="auto" w:fill="auto"/>
                  <w:noWrap/>
                  <w:tcMar>
                    <w:left w:w="40" w:type="dxa"/>
                    <w:right w:w="175" w:type="dxa"/>
                  </w:tcMar>
                  <w:vAlign w:val="bottom"/>
                </w:tcPr>
                <w:p w14:paraId="209C209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(1,519)</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209A4EE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nil"/>
                    <w:left w:val="nil"/>
                    <w:bottom w:val="nil"/>
                    <w:right w:val="nil"/>
                    <w:tl2br w:val="nil"/>
                    <w:tr2bl w:val="nil"/>
                  </w:tcBorders>
                  <w:shd w:val="clear" w:color="auto" w:fill="auto"/>
                  <w:noWrap/>
                  <w:tcMar>
                    <w:left w:w="40" w:type="dxa"/>
                    <w:right w:w="370" w:type="dxa"/>
                  </w:tcMar>
                  <w:vAlign w:val="bottom"/>
                </w:tcPr>
                <w:p w14:paraId="5AD1501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9,968</w:t>
                  </w:r>
                </w:p>
              </w:tc>
            </w:tr>
            <w:tr w:rsidR="00E35106" w:rsidRPr="004D7A72" w14:paraId="1A0CB2E2"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6" w:type="dxa"/>
                  <w:tcBorders>
                    <w:top w:val="nil"/>
                    <w:left w:val="nil"/>
                    <w:bottom w:val="nil"/>
                    <w:right w:val="nil"/>
                    <w:tl2br w:val="nil"/>
                    <w:tr2bl w:val="nil"/>
                  </w:tcBorders>
                  <w:shd w:val="clear" w:color="auto" w:fill="auto"/>
                  <w:tcMar>
                    <w:left w:w="0" w:type="dxa"/>
                    <w:right w:w="0" w:type="dxa"/>
                  </w:tcMar>
                  <w:vAlign w:val="bottom"/>
                </w:tcPr>
                <w:p w14:paraId="73F1A98D"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2445" w:type="dxa"/>
                  <w:tcBorders>
                    <w:top w:val="nil"/>
                    <w:left w:val="nil"/>
                    <w:bottom w:val="nil"/>
                    <w:right w:val="nil"/>
                    <w:tl2br w:val="nil"/>
                    <w:tr2bl w:val="nil"/>
                  </w:tcBorders>
                  <w:shd w:val="clear" w:color="auto" w:fill="auto"/>
                  <w:noWrap/>
                  <w:tcMar>
                    <w:left w:w="0" w:type="dxa"/>
                    <w:right w:w="0" w:type="dxa"/>
                  </w:tcMar>
                  <w:vAlign w:val="bottom"/>
                </w:tcPr>
                <w:p w14:paraId="19026C5A"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1012" w:type="dxa"/>
                  <w:tcBorders>
                    <w:top w:val="nil"/>
                    <w:left w:val="nil"/>
                    <w:bottom w:val="nil"/>
                    <w:right w:val="nil"/>
                    <w:tl2br w:val="nil"/>
                    <w:tr2bl w:val="nil"/>
                  </w:tcBorders>
                  <w:shd w:val="clear" w:color="auto" w:fill="auto"/>
                  <w:noWrap/>
                  <w:tcMar>
                    <w:left w:w="0" w:type="dxa"/>
                    <w:right w:w="135" w:type="dxa"/>
                  </w:tcMar>
                  <w:vAlign w:val="bottom"/>
                </w:tcPr>
                <w:p w14:paraId="0D03825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5AAC7F6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nil"/>
                    <w:left w:val="nil"/>
                    <w:bottom w:val="nil"/>
                    <w:right w:val="nil"/>
                    <w:tl2br w:val="nil"/>
                    <w:tr2bl w:val="nil"/>
                  </w:tcBorders>
                  <w:shd w:val="clear" w:color="auto" w:fill="auto"/>
                  <w:noWrap/>
                  <w:tcMar>
                    <w:left w:w="0" w:type="dxa"/>
                    <w:right w:w="135" w:type="dxa"/>
                  </w:tcMar>
                  <w:vAlign w:val="bottom"/>
                </w:tcPr>
                <w:p w14:paraId="269F670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4C41747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nil"/>
                    <w:left w:val="nil"/>
                    <w:bottom w:val="nil"/>
                    <w:right w:val="nil"/>
                    <w:tl2br w:val="nil"/>
                    <w:tr2bl w:val="nil"/>
                  </w:tcBorders>
                  <w:shd w:val="clear" w:color="auto" w:fill="auto"/>
                  <w:noWrap/>
                  <w:tcMar>
                    <w:left w:w="0" w:type="dxa"/>
                    <w:right w:w="135" w:type="dxa"/>
                  </w:tcMar>
                  <w:vAlign w:val="bottom"/>
                </w:tcPr>
                <w:p w14:paraId="061E57D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551CC60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nil"/>
                    <w:left w:val="nil"/>
                    <w:bottom w:val="nil"/>
                    <w:right w:val="nil"/>
                    <w:tl2br w:val="nil"/>
                    <w:tr2bl w:val="nil"/>
                  </w:tcBorders>
                  <w:shd w:val="clear" w:color="auto" w:fill="auto"/>
                  <w:noWrap/>
                  <w:tcMar>
                    <w:left w:w="0" w:type="dxa"/>
                    <w:right w:w="135" w:type="dxa"/>
                  </w:tcMar>
                  <w:vAlign w:val="bottom"/>
                </w:tcPr>
                <w:p w14:paraId="4BE6864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65B9924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nil"/>
                    <w:left w:val="nil"/>
                    <w:bottom w:val="nil"/>
                    <w:right w:val="nil"/>
                    <w:tl2br w:val="nil"/>
                    <w:tr2bl w:val="nil"/>
                  </w:tcBorders>
                  <w:shd w:val="clear" w:color="auto" w:fill="auto"/>
                  <w:noWrap/>
                  <w:tcMar>
                    <w:left w:w="0" w:type="dxa"/>
                    <w:right w:w="270" w:type="dxa"/>
                  </w:tcMar>
                  <w:vAlign w:val="bottom"/>
                </w:tcPr>
                <w:p w14:paraId="1B2CA04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r>
            <w:tr w:rsidR="00E35106" w:rsidRPr="004D7A72" w14:paraId="57C01569"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1" w:type="dxa"/>
                  <w:gridSpan w:val="2"/>
                  <w:tcBorders>
                    <w:top w:val="nil"/>
                    <w:left w:val="nil"/>
                    <w:bottom w:val="nil"/>
                    <w:right w:val="nil"/>
                    <w:tl2br w:val="nil"/>
                    <w:tr2bl w:val="nil"/>
                  </w:tcBorders>
                  <w:shd w:val="clear" w:color="auto" w:fill="auto"/>
                  <w:tcMar>
                    <w:left w:w="40" w:type="dxa"/>
                    <w:right w:w="40" w:type="dxa"/>
                  </w:tcMar>
                  <w:vAlign w:val="bottom"/>
                </w:tcPr>
                <w:p w14:paraId="743756B3"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Financing expenses, net</w:t>
                  </w:r>
                </w:p>
              </w:tc>
              <w:tc>
                <w:tcPr>
                  <w:tcW w:w="101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A05FFA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(1,361)</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232C548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6B26EE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(1,391)</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36550A1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771693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(665)</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54DEB17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E4BAC9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(696)</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38295F8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nil"/>
                    <w:left w:val="nil"/>
                    <w:bottom w:val="single" w:sz="4" w:space="0" w:color="000000"/>
                    <w:right w:val="nil"/>
                    <w:tl2br w:val="nil"/>
                    <w:tr2bl w:val="nil"/>
                  </w:tcBorders>
                  <w:shd w:val="clear" w:color="auto" w:fill="auto"/>
                  <w:noWrap/>
                  <w:tcMar>
                    <w:left w:w="40" w:type="dxa"/>
                    <w:right w:w="310" w:type="dxa"/>
                  </w:tcMar>
                  <w:vAlign w:val="bottom"/>
                </w:tcPr>
                <w:p w14:paraId="2642479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(2,783)</w:t>
                  </w:r>
                </w:p>
              </w:tc>
            </w:tr>
            <w:tr w:rsidR="00E35106" w:rsidRPr="004D7A72" w14:paraId="5E6D8776"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6" w:type="dxa"/>
                  <w:tcBorders>
                    <w:top w:val="nil"/>
                    <w:left w:val="nil"/>
                    <w:bottom w:val="nil"/>
                    <w:right w:val="nil"/>
                    <w:tl2br w:val="nil"/>
                    <w:tr2bl w:val="nil"/>
                  </w:tcBorders>
                  <w:shd w:val="clear" w:color="auto" w:fill="auto"/>
                  <w:tcMar>
                    <w:left w:w="0" w:type="dxa"/>
                    <w:right w:w="0" w:type="dxa"/>
                  </w:tcMar>
                  <w:vAlign w:val="bottom"/>
                </w:tcPr>
                <w:p w14:paraId="7F023C86"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2445" w:type="dxa"/>
                  <w:tcBorders>
                    <w:top w:val="nil"/>
                    <w:left w:val="nil"/>
                    <w:bottom w:val="nil"/>
                    <w:right w:val="nil"/>
                    <w:tl2br w:val="nil"/>
                    <w:tr2bl w:val="nil"/>
                  </w:tcBorders>
                  <w:shd w:val="clear" w:color="auto" w:fill="auto"/>
                  <w:noWrap/>
                  <w:tcMar>
                    <w:left w:w="0" w:type="dxa"/>
                    <w:right w:w="0" w:type="dxa"/>
                  </w:tcMar>
                  <w:vAlign w:val="bottom"/>
                </w:tcPr>
                <w:p w14:paraId="13D8E9A7"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1012"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38860A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21F05D8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D40D7BE"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5BA1436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4A2B24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009E706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94A65F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1635E8E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single" w:sz="4" w:space="0" w:color="000000"/>
                    <w:left w:val="nil"/>
                    <w:bottom w:val="nil"/>
                    <w:right w:val="nil"/>
                    <w:tl2br w:val="nil"/>
                    <w:tr2bl w:val="nil"/>
                  </w:tcBorders>
                  <w:shd w:val="clear" w:color="auto" w:fill="auto"/>
                  <w:noWrap/>
                  <w:tcMar>
                    <w:left w:w="0" w:type="dxa"/>
                    <w:right w:w="270" w:type="dxa"/>
                  </w:tcMar>
                  <w:vAlign w:val="bottom"/>
                </w:tcPr>
                <w:p w14:paraId="2D34D21E"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r>
            <w:tr w:rsidR="00E35106" w:rsidRPr="004D7A72" w14:paraId="5F3BC7B3"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1" w:type="dxa"/>
                  <w:gridSpan w:val="2"/>
                  <w:tcBorders>
                    <w:top w:val="nil"/>
                    <w:left w:val="nil"/>
                    <w:bottom w:val="nil"/>
                    <w:right w:val="nil"/>
                    <w:tl2br w:val="nil"/>
                    <w:tr2bl w:val="nil"/>
                  </w:tcBorders>
                  <w:shd w:val="clear" w:color="auto" w:fill="auto"/>
                  <w:tcMar>
                    <w:left w:w="40" w:type="dxa"/>
                    <w:right w:w="40" w:type="dxa"/>
                  </w:tcMar>
                  <w:vAlign w:val="bottom"/>
                </w:tcPr>
                <w:p w14:paraId="2AF2AD69"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Net profit (loss)</w:t>
                  </w:r>
                </w:p>
              </w:tc>
              <w:tc>
                <w:tcPr>
                  <w:tcW w:w="1012" w:type="dxa"/>
                  <w:tcBorders>
                    <w:top w:val="nil"/>
                    <w:left w:val="nil"/>
                    <w:bottom w:val="double" w:sz="6" w:space="0" w:color="000000"/>
                    <w:right w:val="nil"/>
                    <w:tl2br w:val="nil"/>
                    <w:tr2bl w:val="nil"/>
                  </w:tcBorders>
                  <w:shd w:val="clear" w:color="auto" w:fill="auto"/>
                  <w:noWrap/>
                  <w:tcMar>
                    <w:left w:w="40" w:type="dxa"/>
                    <w:right w:w="235" w:type="dxa"/>
                  </w:tcMar>
                  <w:vAlign w:val="bottom"/>
                </w:tcPr>
                <w:p w14:paraId="3AF34C11"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48</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22BA077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57"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55BDFBA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(60)</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746D480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63"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F71447C"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(2,074)</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575CF9F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983"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4EEB6C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(2,215)</w:t>
                  </w:r>
                </w:p>
              </w:tc>
              <w:tc>
                <w:tcPr>
                  <w:tcW w:w="446" w:type="dxa"/>
                  <w:tcBorders>
                    <w:top w:val="nil"/>
                    <w:left w:val="nil"/>
                    <w:bottom w:val="nil"/>
                    <w:right w:val="nil"/>
                    <w:tl2br w:val="nil"/>
                    <w:tr2bl w:val="nil"/>
                  </w:tcBorders>
                  <w:shd w:val="clear" w:color="auto" w:fill="auto"/>
                  <w:noWrap/>
                  <w:tcMar>
                    <w:left w:w="0" w:type="dxa"/>
                    <w:right w:w="405" w:type="dxa"/>
                  </w:tcMar>
                  <w:vAlign w:val="bottom"/>
                </w:tcPr>
                <w:p w14:paraId="74E5AFC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227" w:type="dxa"/>
                  <w:tcBorders>
                    <w:top w:val="nil"/>
                    <w:left w:val="nil"/>
                    <w:bottom w:val="double" w:sz="6" w:space="0" w:color="000000"/>
                    <w:right w:val="nil"/>
                    <w:tl2br w:val="nil"/>
                    <w:tr2bl w:val="nil"/>
                  </w:tcBorders>
                  <w:shd w:val="clear" w:color="auto" w:fill="auto"/>
                  <w:noWrap/>
                  <w:tcMar>
                    <w:left w:w="40" w:type="dxa"/>
                    <w:right w:w="370" w:type="dxa"/>
                  </w:tcMar>
                  <w:vAlign w:val="bottom"/>
                </w:tcPr>
                <w:p w14:paraId="2A96335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7,185</w:t>
                  </w:r>
                </w:p>
              </w:tc>
            </w:tr>
          </w:tbl>
          <w:p w14:paraId="136901FC" w14:textId="77777777" w:rsidR="00213131" w:rsidRPr="004D7A72" w:rsidRDefault="00213131" w:rsidP="00A65A6F">
            <w:pPr>
              <w:rPr>
                <w:rFonts w:asciiTheme="majorBidi" w:hAnsiTheme="majorBidi" w:cstheme="majorBidi"/>
              </w:rPr>
            </w:pPr>
          </w:p>
        </w:tc>
      </w:tr>
    </w:tbl>
    <w:p w14:paraId="7E01E76A" w14:textId="77777777" w:rsidR="00213131" w:rsidRPr="004D7A72" w:rsidRDefault="00213131" w:rsidP="00213131">
      <w:pPr>
        <w:pageBreakBefore/>
        <w:pBdr>
          <w:top w:val="nil"/>
          <w:left w:val="nil"/>
          <w:bottom w:val="nil"/>
          <w:right w:val="nil"/>
          <w:between w:val="nil"/>
          <w:bar w:val="nil"/>
        </w:pBdr>
        <w:tabs>
          <w:tab w:val="left" w:pos="-4254"/>
        </w:tabs>
        <w:contextualSpacing/>
        <w:outlineLvl w:val="3"/>
        <w:rPr>
          <w:rFonts w:asciiTheme="majorBidi" w:eastAsia="Calibri" w:hAnsiTheme="majorBidi" w:cstheme="majorBidi"/>
          <w:b/>
          <w:bCs/>
          <w:sz w:val="21"/>
          <w:szCs w:val="21"/>
        </w:rPr>
      </w:pPr>
      <w:r w:rsidRPr="004D7A72">
        <w:rPr>
          <w:rFonts w:asciiTheme="majorBidi" w:hAnsiTheme="majorBidi" w:cstheme="majorBidi"/>
          <w:b/>
          <w:sz w:val="21"/>
        </w:rPr>
        <w:lastRenderedPageBreak/>
        <w:t>Note 7 - Condensed Financial Information of G Alpha (contd.)</w:t>
      </w:r>
    </w:p>
    <w:p w14:paraId="2A17CE50" w14:textId="77777777" w:rsidR="00213131" w:rsidRPr="004D7A72" w:rsidRDefault="00213131" w:rsidP="00213131">
      <w:pPr>
        <w:pStyle w:val="ListParagraph"/>
        <w:tabs>
          <w:tab w:val="left" w:pos="425"/>
          <w:tab w:val="left" w:pos="1133"/>
          <w:tab w:val="left" w:pos="1700"/>
          <w:tab w:val="left" w:pos="1789"/>
          <w:tab w:val="left" w:pos="1842"/>
          <w:tab w:val="left" w:pos="2267"/>
          <w:tab w:val="left" w:pos="2409"/>
        </w:tabs>
        <w:ind w:left="0"/>
        <w:contextualSpacing w:val="0"/>
        <w:rPr>
          <w:rFonts w:asciiTheme="majorBidi" w:eastAsia="Calibri" w:hAnsiTheme="majorBidi" w:cstheme="majorBidi"/>
          <w:b/>
          <w:bCs/>
          <w:sz w:val="21"/>
          <w:szCs w:val="21"/>
        </w:rPr>
      </w:pPr>
      <w:r w:rsidRPr="004D7A72">
        <w:rPr>
          <w:rFonts w:asciiTheme="majorBidi" w:hAnsiTheme="majorBidi" w:cstheme="majorBidi"/>
          <w:sz w:val="21"/>
        </w:rPr>
        <w:t xml:space="preserve">Condensed financial information of cash flow </w:t>
      </w:r>
    </w:p>
    <w:tbl>
      <w:tblPr>
        <w:tblStyle w:val="TableGrid"/>
        <w:tblW w:w="5000" w:type="pct"/>
        <w:tblLook w:val="04A0" w:firstRow="1" w:lastRow="0" w:firstColumn="1" w:lastColumn="0" w:noHBand="0" w:noVBand="1"/>
      </w:tblPr>
      <w:tblGrid>
        <w:gridCol w:w="9923"/>
      </w:tblGrid>
      <w:tr w:rsidR="00213131" w:rsidRPr="004D7A72" w14:paraId="6C804949" w14:textId="77777777" w:rsidTr="00A65A6F">
        <w:trPr>
          <w:cantSplit/>
        </w:trPr>
        <w:tc>
          <w:tcPr>
            <w:tcW w:w="5000" w:type="pct"/>
            <w:tcBorders>
              <w:top w:val="nil"/>
              <w:left w:val="nil"/>
              <w:bottom w:val="nil"/>
              <w:right w:val="nil"/>
            </w:tcBorders>
          </w:tcPr>
          <w:tbl>
            <w:tblPr>
              <w:tblStyle w:val="CDMRange1"/>
              <w:tblW w:w="10206" w:type="dxa"/>
              <w:tblLook w:val="0600" w:firstRow="0" w:lastRow="0" w:firstColumn="0" w:lastColumn="0" w:noHBand="1" w:noVBand="1"/>
            </w:tblPr>
            <w:tblGrid>
              <w:gridCol w:w="553"/>
              <w:gridCol w:w="542"/>
              <w:gridCol w:w="2621"/>
              <w:gridCol w:w="1021"/>
              <w:gridCol w:w="155"/>
              <w:gridCol w:w="1022"/>
              <w:gridCol w:w="155"/>
              <w:gridCol w:w="1022"/>
              <w:gridCol w:w="155"/>
              <w:gridCol w:w="1022"/>
              <w:gridCol w:w="155"/>
              <w:gridCol w:w="1284"/>
            </w:tblGrid>
            <w:tr w:rsidR="00213131" w:rsidRPr="004D7A72" w14:paraId="0A3769E7" w14:textId="77777777" w:rsidTr="00A65A6F">
              <w:trPr>
                <w:trHeight w:val="1001"/>
              </w:trPr>
              <w:tc>
                <w:tcPr>
                  <w:tcW w:w="577" w:type="dxa"/>
                  <w:tcBorders>
                    <w:top w:val="nil"/>
                    <w:left w:val="nil"/>
                    <w:bottom w:val="nil"/>
                    <w:right w:val="nil"/>
                    <w:tl2br w:val="nil"/>
                    <w:tr2bl w:val="nil"/>
                  </w:tcBorders>
                  <w:shd w:val="clear" w:color="auto" w:fill="auto"/>
                  <w:noWrap/>
                  <w:tcMar>
                    <w:left w:w="0" w:type="dxa"/>
                    <w:right w:w="0" w:type="dxa"/>
                  </w:tcMar>
                  <w:vAlign w:val="bottom"/>
                </w:tcPr>
                <w:p w14:paraId="6E528FD4"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572" w:type="dxa"/>
                  <w:tcBorders>
                    <w:top w:val="nil"/>
                    <w:left w:val="nil"/>
                    <w:bottom w:val="nil"/>
                    <w:right w:val="nil"/>
                    <w:tl2br w:val="nil"/>
                    <w:tr2bl w:val="nil"/>
                  </w:tcBorders>
                  <w:shd w:val="clear" w:color="auto" w:fill="auto"/>
                  <w:noWrap/>
                  <w:tcMar>
                    <w:left w:w="0" w:type="dxa"/>
                    <w:right w:w="0" w:type="dxa"/>
                  </w:tcMar>
                  <w:vAlign w:val="bottom"/>
                </w:tcPr>
                <w:p w14:paraId="70649DC4"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2830" w:type="dxa"/>
                  <w:tcBorders>
                    <w:top w:val="nil"/>
                    <w:left w:val="nil"/>
                    <w:bottom w:val="nil"/>
                    <w:right w:val="nil"/>
                    <w:tl2br w:val="nil"/>
                    <w:tr2bl w:val="nil"/>
                  </w:tcBorders>
                  <w:shd w:val="clear" w:color="auto" w:fill="auto"/>
                  <w:tcMar>
                    <w:left w:w="0" w:type="dxa"/>
                    <w:right w:w="0" w:type="dxa"/>
                  </w:tcMar>
                  <w:vAlign w:val="bottom"/>
                </w:tcPr>
                <w:p w14:paraId="5F055BD1"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2292"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6BA04541"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 xml:space="preserve">Six months ended </w:t>
                  </w:r>
                </w:p>
                <w:p w14:paraId="7E8DB0C4"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June 30</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1CC34D9C" w14:textId="77777777" w:rsidR="00213131" w:rsidRPr="004D7A72" w:rsidRDefault="00213131" w:rsidP="00A65A6F">
                  <w:pPr>
                    <w:spacing w:before="0" w:after="0"/>
                    <w:jc w:val="left"/>
                    <w:rPr>
                      <w:rFonts w:asciiTheme="majorBidi" w:eastAsia="Calibri" w:hAnsiTheme="majorBidi" w:cstheme="majorBidi"/>
                      <w:color w:val="000000"/>
                    </w:rPr>
                  </w:pPr>
                </w:p>
              </w:tc>
              <w:tc>
                <w:tcPr>
                  <w:tcW w:w="2293"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0B851DA3"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 xml:space="preserve">Three months ended </w:t>
                  </w:r>
                </w:p>
                <w:p w14:paraId="0CCEA007"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June 30</w:t>
                  </w:r>
                </w:p>
              </w:tc>
              <w:tc>
                <w:tcPr>
                  <w:tcW w:w="141" w:type="dxa"/>
                  <w:tcBorders>
                    <w:top w:val="nil"/>
                    <w:left w:val="nil"/>
                    <w:bottom w:val="nil"/>
                    <w:right w:val="nil"/>
                    <w:tl2br w:val="nil"/>
                    <w:tr2bl w:val="nil"/>
                  </w:tcBorders>
                  <w:shd w:val="clear" w:color="auto" w:fill="auto"/>
                  <w:tcMar>
                    <w:left w:w="0" w:type="dxa"/>
                    <w:right w:w="0" w:type="dxa"/>
                  </w:tcMar>
                  <w:vAlign w:val="bottom"/>
                </w:tcPr>
                <w:p w14:paraId="6DDDEDA7" w14:textId="77777777" w:rsidR="00213131" w:rsidRPr="004D7A72" w:rsidRDefault="00213131" w:rsidP="00A65A6F">
                  <w:pPr>
                    <w:spacing w:before="0" w:after="0"/>
                    <w:jc w:val="left"/>
                    <w:rPr>
                      <w:rFonts w:asciiTheme="majorBidi" w:eastAsia="Ploni ML Medium AAA Medium" w:hAnsiTheme="majorBidi" w:cstheme="majorBidi"/>
                      <w:b/>
                      <w:color w:val="000000"/>
                    </w:rPr>
                  </w:pPr>
                </w:p>
              </w:tc>
              <w:tc>
                <w:tcPr>
                  <w:tcW w:w="1360" w:type="dxa"/>
                  <w:tcBorders>
                    <w:top w:val="nil"/>
                    <w:left w:val="nil"/>
                    <w:bottom w:val="nil"/>
                    <w:right w:val="nil"/>
                    <w:tl2br w:val="nil"/>
                    <w:tr2bl w:val="nil"/>
                  </w:tcBorders>
                  <w:shd w:val="clear" w:color="auto" w:fill="auto"/>
                  <w:tcMar>
                    <w:left w:w="40" w:type="dxa"/>
                    <w:right w:w="40" w:type="dxa"/>
                  </w:tcMar>
                  <w:vAlign w:val="bottom"/>
                </w:tcPr>
                <w:p w14:paraId="75F319F3"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Year ended December 31</w:t>
                  </w:r>
                </w:p>
              </w:tc>
            </w:tr>
            <w:tr w:rsidR="00213131" w:rsidRPr="004D7A72" w14:paraId="5C35DB3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7" w:type="dxa"/>
                  <w:tcBorders>
                    <w:top w:val="nil"/>
                    <w:left w:val="nil"/>
                    <w:bottom w:val="nil"/>
                    <w:right w:val="nil"/>
                    <w:tl2br w:val="nil"/>
                    <w:tr2bl w:val="nil"/>
                  </w:tcBorders>
                  <w:shd w:val="clear" w:color="auto" w:fill="auto"/>
                  <w:noWrap/>
                  <w:tcMar>
                    <w:left w:w="0" w:type="dxa"/>
                    <w:right w:w="0" w:type="dxa"/>
                  </w:tcMar>
                  <w:vAlign w:val="bottom"/>
                </w:tcPr>
                <w:p w14:paraId="0AE688AE"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572" w:type="dxa"/>
                  <w:tcBorders>
                    <w:top w:val="nil"/>
                    <w:left w:val="nil"/>
                    <w:bottom w:val="nil"/>
                    <w:right w:val="nil"/>
                    <w:tl2br w:val="nil"/>
                    <w:tr2bl w:val="nil"/>
                  </w:tcBorders>
                  <w:shd w:val="clear" w:color="auto" w:fill="auto"/>
                  <w:noWrap/>
                  <w:tcMar>
                    <w:left w:w="0" w:type="dxa"/>
                    <w:right w:w="0" w:type="dxa"/>
                  </w:tcMar>
                  <w:vAlign w:val="bottom"/>
                </w:tcPr>
                <w:p w14:paraId="491632CF"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2830" w:type="dxa"/>
                  <w:tcBorders>
                    <w:top w:val="nil"/>
                    <w:left w:val="nil"/>
                    <w:bottom w:val="nil"/>
                    <w:right w:val="nil"/>
                    <w:tl2br w:val="nil"/>
                    <w:tr2bl w:val="nil"/>
                  </w:tcBorders>
                  <w:shd w:val="clear" w:color="auto" w:fill="auto"/>
                  <w:tcMar>
                    <w:left w:w="0" w:type="dxa"/>
                    <w:right w:w="0" w:type="dxa"/>
                  </w:tcMar>
                  <w:vAlign w:val="bottom"/>
                </w:tcPr>
                <w:p w14:paraId="73A8007E"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0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F27E50D"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2024</w:t>
                  </w: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8AE032" w14:textId="77777777" w:rsidR="00213131" w:rsidRPr="004D7A72" w:rsidRDefault="00213131" w:rsidP="00A65A6F">
                  <w:pPr>
                    <w:spacing w:before="0" w:after="0"/>
                    <w:jc w:val="center"/>
                    <w:rPr>
                      <w:rFonts w:asciiTheme="majorBidi" w:eastAsia="Ploni ML Medium AAA Medium" w:hAnsiTheme="majorBidi" w:cstheme="majorBidi"/>
                      <w:b/>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2C781AE"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4AC6CDCC" w14:textId="77777777" w:rsidR="00213131" w:rsidRPr="004D7A72" w:rsidRDefault="00213131" w:rsidP="00A65A6F">
                  <w:pPr>
                    <w:spacing w:before="0" w:after="0"/>
                    <w:jc w:val="left"/>
                    <w:rPr>
                      <w:rFonts w:asciiTheme="majorBidi" w:eastAsia="Calibri" w:hAnsiTheme="majorBidi" w:cstheme="majorBidi"/>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7D1DFEE"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2024</w:t>
                  </w: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88789D" w14:textId="77777777" w:rsidR="00213131" w:rsidRPr="004D7A72" w:rsidRDefault="00213131" w:rsidP="00A65A6F">
                  <w:pPr>
                    <w:spacing w:before="0" w:after="0"/>
                    <w:jc w:val="center"/>
                    <w:rPr>
                      <w:rFonts w:asciiTheme="majorBidi" w:eastAsia="Ploni ML Medium AAA Medium" w:hAnsiTheme="majorBidi" w:cstheme="majorBidi"/>
                      <w:b/>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387FFFE"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73748EC2" w14:textId="77777777" w:rsidR="00213131" w:rsidRPr="004D7A72" w:rsidRDefault="00213131" w:rsidP="00A65A6F">
                  <w:pPr>
                    <w:spacing w:before="0" w:after="0"/>
                    <w:jc w:val="center"/>
                    <w:rPr>
                      <w:rFonts w:asciiTheme="majorBidi" w:eastAsia="Ploni ML Medium AAA Medium" w:hAnsiTheme="majorBidi" w:cstheme="majorBidi"/>
                      <w:b/>
                      <w:color w:val="000000"/>
                    </w:rPr>
                  </w:pPr>
                </w:p>
              </w:tc>
              <w:tc>
                <w:tcPr>
                  <w:tcW w:w="136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995A05C"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r>
            <w:tr w:rsidR="00213131" w:rsidRPr="004D7A72" w14:paraId="2275766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7" w:type="dxa"/>
                  <w:tcBorders>
                    <w:top w:val="nil"/>
                    <w:left w:val="nil"/>
                    <w:bottom w:val="nil"/>
                    <w:right w:val="nil"/>
                    <w:tl2br w:val="nil"/>
                    <w:tr2bl w:val="nil"/>
                  </w:tcBorders>
                  <w:shd w:val="clear" w:color="auto" w:fill="auto"/>
                  <w:noWrap/>
                  <w:tcMar>
                    <w:left w:w="0" w:type="dxa"/>
                    <w:right w:w="0" w:type="dxa"/>
                  </w:tcMar>
                  <w:vAlign w:val="bottom"/>
                </w:tcPr>
                <w:p w14:paraId="192889A1"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572" w:type="dxa"/>
                  <w:tcBorders>
                    <w:top w:val="nil"/>
                    <w:left w:val="nil"/>
                    <w:bottom w:val="nil"/>
                    <w:right w:val="nil"/>
                    <w:tl2br w:val="nil"/>
                    <w:tr2bl w:val="nil"/>
                  </w:tcBorders>
                  <w:shd w:val="clear" w:color="auto" w:fill="auto"/>
                  <w:noWrap/>
                  <w:tcMar>
                    <w:left w:w="0" w:type="dxa"/>
                    <w:right w:w="0" w:type="dxa"/>
                  </w:tcMar>
                  <w:vAlign w:val="bottom"/>
                </w:tcPr>
                <w:p w14:paraId="4334B07E"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2830" w:type="dxa"/>
                  <w:tcBorders>
                    <w:top w:val="nil"/>
                    <w:left w:val="nil"/>
                    <w:bottom w:val="nil"/>
                    <w:right w:val="nil"/>
                    <w:tl2br w:val="nil"/>
                    <w:tr2bl w:val="nil"/>
                  </w:tcBorders>
                  <w:shd w:val="clear" w:color="auto" w:fill="auto"/>
                  <w:tcMar>
                    <w:left w:w="0" w:type="dxa"/>
                    <w:right w:w="0" w:type="dxa"/>
                  </w:tcMar>
                  <w:vAlign w:val="bottom"/>
                </w:tcPr>
                <w:p w14:paraId="5763A4CB"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2292"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24B5E37A"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Unaudited</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70E49017" w14:textId="77777777" w:rsidR="00213131" w:rsidRPr="004D7A72" w:rsidRDefault="00213131" w:rsidP="00A65A6F">
                  <w:pPr>
                    <w:spacing w:before="0" w:after="0"/>
                    <w:jc w:val="left"/>
                    <w:rPr>
                      <w:rFonts w:asciiTheme="majorBidi" w:eastAsia="Calibri" w:hAnsiTheme="majorBidi" w:cstheme="majorBidi"/>
                      <w:color w:val="000000"/>
                    </w:rPr>
                  </w:pPr>
                </w:p>
              </w:tc>
              <w:tc>
                <w:tcPr>
                  <w:tcW w:w="2293"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0B78BB38"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Unaudited</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31B3065F" w14:textId="77777777" w:rsidR="00213131" w:rsidRPr="004D7A72" w:rsidRDefault="00213131" w:rsidP="00A65A6F">
                  <w:pPr>
                    <w:spacing w:before="0" w:after="0"/>
                    <w:jc w:val="left"/>
                    <w:rPr>
                      <w:rFonts w:asciiTheme="majorBidi" w:eastAsia="Ploni ML Medium AAA Medium" w:hAnsiTheme="majorBidi" w:cstheme="majorBidi"/>
                      <w:b/>
                      <w:color w:val="000000"/>
                    </w:rPr>
                  </w:pPr>
                </w:p>
              </w:tc>
              <w:tc>
                <w:tcPr>
                  <w:tcW w:w="13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C0838BD"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Audited</w:t>
                  </w:r>
                </w:p>
              </w:tc>
            </w:tr>
            <w:tr w:rsidR="00213131" w:rsidRPr="004D7A72" w14:paraId="755C7D1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577" w:type="dxa"/>
                  <w:tcBorders>
                    <w:top w:val="nil"/>
                    <w:left w:val="nil"/>
                    <w:bottom w:val="nil"/>
                    <w:right w:val="nil"/>
                    <w:tl2br w:val="nil"/>
                    <w:tr2bl w:val="nil"/>
                  </w:tcBorders>
                  <w:shd w:val="clear" w:color="auto" w:fill="auto"/>
                  <w:noWrap/>
                  <w:tcMar>
                    <w:left w:w="0" w:type="dxa"/>
                    <w:right w:w="0" w:type="dxa"/>
                  </w:tcMar>
                  <w:vAlign w:val="bottom"/>
                </w:tcPr>
                <w:p w14:paraId="0F4C8C7D"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572" w:type="dxa"/>
                  <w:tcBorders>
                    <w:top w:val="nil"/>
                    <w:left w:val="nil"/>
                    <w:bottom w:val="nil"/>
                    <w:right w:val="nil"/>
                    <w:tl2br w:val="nil"/>
                    <w:tr2bl w:val="nil"/>
                  </w:tcBorders>
                  <w:shd w:val="clear" w:color="auto" w:fill="auto"/>
                  <w:noWrap/>
                  <w:tcMar>
                    <w:left w:w="0" w:type="dxa"/>
                    <w:right w:w="0" w:type="dxa"/>
                  </w:tcMar>
                  <w:vAlign w:val="bottom"/>
                </w:tcPr>
                <w:p w14:paraId="06B651EF"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2830" w:type="dxa"/>
                  <w:tcBorders>
                    <w:top w:val="nil"/>
                    <w:left w:val="nil"/>
                    <w:bottom w:val="nil"/>
                    <w:right w:val="nil"/>
                    <w:tl2br w:val="nil"/>
                    <w:tr2bl w:val="nil"/>
                  </w:tcBorders>
                  <w:shd w:val="clear" w:color="auto" w:fill="auto"/>
                  <w:tcMar>
                    <w:left w:w="0" w:type="dxa"/>
                    <w:right w:w="0" w:type="dxa"/>
                  </w:tcMar>
                  <w:vAlign w:val="bottom"/>
                </w:tcPr>
                <w:p w14:paraId="1B71EBFC"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6227" w:type="dxa"/>
                  <w:gridSpan w:val="9"/>
                  <w:tcBorders>
                    <w:top w:val="nil"/>
                    <w:left w:val="nil"/>
                    <w:bottom w:val="single" w:sz="4" w:space="0" w:color="000000"/>
                    <w:right w:val="nil"/>
                    <w:tl2br w:val="nil"/>
                    <w:tr2bl w:val="nil"/>
                  </w:tcBorders>
                  <w:shd w:val="clear" w:color="auto" w:fill="auto"/>
                  <w:tcMar>
                    <w:left w:w="40" w:type="dxa"/>
                    <w:right w:w="40" w:type="dxa"/>
                  </w:tcMar>
                  <w:vAlign w:val="bottom"/>
                </w:tcPr>
                <w:p w14:paraId="7C76D1D3" w14:textId="77777777" w:rsidR="00213131" w:rsidRPr="004D7A72" w:rsidRDefault="00213131" w:rsidP="00A65A6F">
                  <w:pPr>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USD thousand</w:t>
                  </w:r>
                </w:p>
              </w:tc>
            </w:tr>
            <w:tr w:rsidR="00213131" w:rsidRPr="004D7A72" w14:paraId="6EED25E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9" w:type="dxa"/>
                  <w:gridSpan w:val="3"/>
                  <w:tcBorders>
                    <w:top w:val="nil"/>
                    <w:left w:val="nil"/>
                    <w:bottom w:val="nil"/>
                    <w:right w:val="nil"/>
                    <w:tl2br w:val="nil"/>
                    <w:tr2bl w:val="nil"/>
                  </w:tcBorders>
                  <w:shd w:val="clear" w:color="auto" w:fill="auto"/>
                  <w:tcMar>
                    <w:left w:w="40" w:type="dxa"/>
                    <w:right w:w="40" w:type="dxa"/>
                  </w:tcMar>
                  <w:vAlign w:val="bottom"/>
                </w:tcPr>
                <w:p w14:paraId="7837DBDB" w14:textId="77777777" w:rsidR="00213131" w:rsidRPr="004D7A72" w:rsidRDefault="00213131" w:rsidP="00A65A6F">
                  <w:pPr>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Cash flows from operating activities</w:t>
                  </w:r>
                </w:p>
              </w:tc>
              <w:tc>
                <w:tcPr>
                  <w:tcW w:w="10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FA4E2F" w14:textId="77777777" w:rsidR="00213131" w:rsidRPr="004D7A72" w:rsidRDefault="00213131" w:rsidP="00A65A6F">
                  <w:pPr>
                    <w:spacing w:before="0" w:after="0"/>
                    <w:jc w:val="center"/>
                    <w:rPr>
                      <w:rFonts w:asciiTheme="majorBidi" w:eastAsia="Ploni ML Medium AAA Medium" w:hAnsiTheme="majorBidi" w:cstheme="majorBidi"/>
                      <w:b/>
                      <w:color w:val="000000"/>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960AA9" w14:textId="77777777" w:rsidR="00213131" w:rsidRPr="004D7A72" w:rsidRDefault="00213131" w:rsidP="00A65A6F">
                  <w:pPr>
                    <w:spacing w:before="0" w:after="0"/>
                    <w:jc w:val="center"/>
                    <w:rPr>
                      <w:rFonts w:asciiTheme="majorBidi" w:eastAsia="Ploni ML Medium AAA Medium" w:hAnsiTheme="majorBidi" w:cstheme="majorBidi"/>
                      <w:b/>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23C7F6" w14:textId="77777777" w:rsidR="00213131" w:rsidRPr="004D7A72" w:rsidRDefault="00213131" w:rsidP="00A65A6F">
                  <w:pPr>
                    <w:spacing w:before="0" w:after="0"/>
                    <w:jc w:val="center"/>
                    <w:rPr>
                      <w:rFonts w:asciiTheme="majorBidi" w:eastAsia="Ploni ML Medium AAA Medium" w:hAnsiTheme="majorBidi" w:cstheme="majorBidi"/>
                      <w:b/>
                      <w:color w:val="000000"/>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BB2F03" w14:textId="77777777" w:rsidR="00213131" w:rsidRPr="004D7A72" w:rsidRDefault="00213131" w:rsidP="00A65A6F">
                  <w:pPr>
                    <w:spacing w:before="0" w:after="0"/>
                    <w:jc w:val="center"/>
                    <w:rPr>
                      <w:rFonts w:asciiTheme="majorBidi" w:eastAsia="Ploni ML Medium AAA Medium" w:hAnsiTheme="majorBidi" w:cstheme="majorBidi"/>
                      <w:b/>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076FA9" w14:textId="77777777" w:rsidR="00213131" w:rsidRPr="004D7A72" w:rsidRDefault="00213131" w:rsidP="00A65A6F">
                  <w:pPr>
                    <w:spacing w:before="0" w:after="0"/>
                    <w:jc w:val="center"/>
                    <w:rPr>
                      <w:rFonts w:asciiTheme="majorBidi" w:eastAsia="Ploni ML Medium AAA Medium" w:hAnsiTheme="majorBidi" w:cstheme="majorBidi"/>
                      <w:b/>
                      <w:color w:val="000000"/>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53A40E" w14:textId="77777777" w:rsidR="00213131" w:rsidRPr="004D7A72" w:rsidRDefault="00213131" w:rsidP="00A65A6F">
                  <w:pPr>
                    <w:spacing w:before="0" w:after="0"/>
                    <w:jc w:val="center"/>
                    <w:rPr>
                      <w:rFonts w:asciiTheme="majorBidi" w:eastAsia="Ploni ML Medium AAA Medium" w:hAnsiTheme="majorBidi" w:cstheme="majorBidi"/>
                      <w:b/>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C951A6" w14:textId="77777777" w:rsidR="00213131" w:rsidRPr="004D7A72" w:rsidRDefault="00213131" w:rsidP="00A65A6F">
                  <w:pPr>
                    <w:spacing w:before="0" w:after="0"/>
                    <w:jc w:val="center"/>
                    <w:rPr>
                      <w:rFonts w:asciiTheme="majorBidi" w:eastAsia="Ploni ML Medium AAA Medium" w:hAnsiTheme="majorBidi" w:cstheme="majorBidi"/>
                      <w:b/>
                      <w:color w:val="000000"/>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4E3FB8" w14:textId="77777777" w:rsidR="00213131" w:rsidRPr="004D7A72" w:rsidRDefault="00213131" w:rsidP="00A65A6F">
                  <w:pPr>
                    <w:spacing w:before="0" w:after="0"/>
                    <w:jc w:val="center"/>
                    <w:rPr>
                      <w:rFonts w:asciiTheme="majorBidi" w:eastAsia="Ploni ML Medium AAA Medium" w:hAnsiTheme="majorBidi" w:cstheme="majorBidi"/>
                      <w:b/>
                      <w:color w:val="000000"/>
                    </w:rPr>
                  </w:pPr>
                </w:p>
              </w:tc>
              <w:tc>
                <w:tcPr>
                  <w:tcW w:w="13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EF5DC4" w14:textId="77777777" w:rsidR="00213131" w:rsidRPr="004D7A72" w:rsidRDefault="00213131" w:rsidP="00A65A6F">
                  <w:pPr>
                    <w:spacing w:before="0" w:after="0"/>
                    <w:jc w:val="center"/>
                    <w:rPr>
                      <w:rFonts w:asciiTheme="majorBidi" w:eastAsia="Ploni ML Medium AAA Medium" w:hAnsiTheme="majorBidi" w:cstheme="majorBidi"/>
                      <w:b/>
                      <w:color w:val="000000"/>
                    </w:rPr>
                  </w:pPr>
                </w:p>
              </w:tc>
            </w:tr>
            <w:tr w:rsidR="00213131" w:rsidRPr="004D7A72" w14:paraId="675CFF3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9" w:type="dxa"/>
                  <w:gridSpan w:val="3"/>
                  <w:tcBorders>
                    <w:top w:val="nil"/>
                    <w:left w:val="nil"/>
                    <w:bottom w:val="nil"/>
                    <w:right w:val="nil"/>
                    <w:tl2br w:val="nil"/>
                    <w:tr2bl w:val="nil"/>
                  </w:tcBorders>
                  <w:shd w:val="clear" w:color="auto" w:fill="auto"/>
                  <w:noWrap/>
                  <w:tcMar>
                    <w:left w:w="40" w:type="dxa"/>
                    <w:right w:w="40" w:type="dxa"/>
                  </w:tcMar>
                  <w:vAlign w:val="bottom"/>
                </w:tcPr>
                <w:p w14:paraId="1AD513E0" w14:textId="77777777" w:rsidR="00213131" w:rsidRPr="004D7A72" w:rsidRDefault="00213131" w:rsidP="00A65A6F">
                  <w:pPr>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Net profit (loss)</w:t>
                  </w:r>
                </w:p>
              </w:tc>
              <w:tc>
                <w:tcPr>
                  <w:tcW w:w="107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B6827F3"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5D1A297"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6576AE0"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2ABDC0E"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625E645"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(2,074)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6FFAF19"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9ED173D"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(2,215)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7A1721A"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7A31B5A"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7,185</w:t>
                  </w:r>
                </w:p>
              </w:tc>
            </w:tr>
            <w:tr w:rsidR="00213131" w:rsidRPr="004D7A72" w14:paraId="0E1E21F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979" w:type="dxa"/>
                  <w:gridSpan w:val="3"/>
                  <w:tcBorders>
                    <w:top w:val="nil"/>
                    <w:left w:val="nil"/>
                    <w:bottom w:val="nil"/>
                    <w:right w:val="nil"/>
                    <w:tl2br w:val="nil"/>
                    <w:tr2bl w:val="nil"/>
                  </w:tcBorders>
                  <w:shd w:val="clear" w:color="auto" w:fill="auto"/>
                  <w:noWrap/>
                  <w:tcMar>
                    <w:left w:w="40" w:type="dxa"/>
                    <w:right w:w="40" w:type="dxa"/>
                  </w:tcMar>
                  <w:vAlign w:val="bottom"/>
                </w:tcPr>
                <w:p w14:paraId="75B8EC86" w14:textId="77777777" w:rsidR="00213131" w:rsidRPr="004D7A72" w:rsidRDefault="00213131" w:rsidP="00A65A6F">
                  <w:pPr>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Adjustments required for presentation of cash flows from current operations</w:t>
                  </w:r>
                </w:p>
              </w:tc>
              <w:tc>
                <w:tcPr>
                  <w:tcW w:w="10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256CC50" w14:textId="77777777" w:rsidR="00213131" w:rsidRPr="004D7A72" w:rsidRDefault="00213131" w:rsidP="00A65A6F">
                  <w:pPr>
                    <w:spacing w:before="0" w:after="0"/>
                    <w:jc w:val="right"/>
                    <w:rPr>
                      <w:rFonts w:asciiTheme="majorBidi" w:eastAsia="Ploni ML Medium AAA Medium" w:hAnsiTheme="majorBidi" w:cstheme="majorBidi"/>
                      <w:b/>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6E8E7CF"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11ECBC" w14:textId="77777777" w:rsidR="00213131" w:rsidRPr="004D7A72" w:rsidRDefault="00213131" w:rsidP="00A65A6F">
                  <w:pPr>
                    <w:spacing w:before="0" w:after="0"/>
                    <w:jc w:val="right"/>
                    <w:rPr>
                      <w:rFonts w:asciiTheme="majorBidi" w:eastAsia="Ploni ML Medium AAA Medium" w:hAnsiTheme="majorBidi" w:cstheme="majorBidi"/>
                      <w:b/>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AB3976E"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C51419" w14:textId="77777777" w:rsidR="00213131" w:rsidRPr="004D7A72" w:rsidRDefault="00213131" w:rsidP="00A65A6F">
                  <w:pPr>
                    <w:spacing w:before="0" w:after="0"/>
                    <w:jc w:val="right"/>
                    <w:rPr>
                      <w:rFonts w:asciiTheme="majorBidi" w:eastAsia="Ploni ML Medium AAA Medium" w:hAnsiTheme="majorBidi" w:cstheme="majorBidi"/>
                      <w:b/>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1A10BAE"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49CAC9" w14:textId="77777777" w:rsidR="00213131" w:rsidRPr="004D7A72" w:rsidRDefault="00213131" w:rsidP="00A65A6F">
                  <w:pPr>
                    <w:spacing w:before="0" w:after="0"/>
                    <w:jc w:val="right"/>
                    <w:rPr>
                      <w:rFonts w:asciiTheme="majorBidi" w:eastAsia="Ploni ML Medium AAA Medium" w:hAnsiTheme="majorBidi" w:cstheme="majorBidi"/>
                      <w:b/>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BF539D2"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B7E021" w14:textId="77777777" w:rsidR="00213131" w:rsidRPr="004D7A72" w:rsidRDefault="00213131" w:rsidP="00A65A6F">
                  <w:pPr>
                    <w:spacing w:before="0" w:after="0"/>
                    <w:jc w:val="right"/>
                    <w:rPr>
                      <w:rFonts w:asciiTheme="majorBidi" w:eastAsia="Ploni ML Medium AAA Medium" w:hAnsiTheme="majorBidi" w:cstheme="majorBidi"/>
                      <w:b/>
                      <w:color w:val="000000"/>
                    </w:rPr>
                  </w:pPr>
                </w:p>
              </w:tc>
            </w:tr>
            <w:tr w:rsidR="00213131" w:rsidRPr="004D7A72" w14:paraId="477A566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9" w:type="dxa"/>
                  <w:gridSpan w:val="3"/>
                  <w:tcBorders>
                    <w:top w:val="nil"/>
                    <w:left w:val="nil"/>
                    <w:bottom w:val="nil"/>
                    <w:right w:val="nil"/>
                    <w:tl2br w:val="nil"/>
                    <w:tr2bl w:val="nil"/>
                  </w:tcBorders>
                  <w:shd w:val="clear" w:color="auto" w:fill="auto"/>
                  <w:noWrap/>
                  <w:tcMar>
                    <w:left w:w="40" w:type="dxa"/>
                    <w:right w:w="40" w:type="dxa"/>
                  </w:tcMar>
                  <w:vAlign w:val="bottom"/>
                </w:tcPr>
                <w:p w14:paraId="350A36B2" w14:textId="77777777" w:rsidR="00213131" w:rsidRPr="004D7A72" w:rsidRDefault="00213131" w:rsidP="00A65A6F">
                  <w:pPr>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Adjustments to profit or loss</w:t>
                  </w:r>
                </w:p>
              </w:tc>
              <w:tc>
                <w:tcPr>
                  <w:tcW w:w="1075" w:type="dxa"/>
                  <w:tcBorders>
                    <w:top w:val="nil"/>
                    <w:left w:val="nil"/>
                    <w:bottom w:val="nil"/>
                    <w:right w:val="nil"/>
                    <w:tl2br w:val="nil"/>
                    <w:tr2bl w:val="nil"/>
                  </w:tcBorders>
                  <w:shd w:val="clear" w:color="auto" w:fill="auto"/>
                  <w:noWrap/>
                  <w:tcMar>
                    <w:left w:w="0" w:type="dxa"/>
                    <w:right w:w="0" w:type="dxa"/>
                  </w:tcMar>
                  <w:vAlign w:val="bottom"/>
                </w:tcPr>
                <w:p w14:paraId="63E115B4" w14:textId="77777777" w:rsidR="00213131" w:rsidRPr="004D7A72" w:rsidRDefault="00213131" w:rsidP="00A65A6F">
                  <w:pPr>
                    <w:spacing w:before="0" w:after="0"/>
                    <w:jc w:val="right"/>
                    <w:rPr>
                      <w:rFonts w:asciiTheme="majorBidi" w:eastAsia="Ploni ML Medium AAA Medium" w:hAnsiTheme="majorBidi" w:cstheme="majorBidi"/>
                      <w:b/>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D0A8414"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0" w:type="dxa"/>
                    <w:right w:w="0" w:type="dxa"/>
                  </w:tcMar>
                  <w:vAlign w:val="bottom"/>
                </w:tcPr>
                <w:p w14:paraId="2779C1CB" w14:textId="77777777" w:rsidR="00213131" w:rsidRPr="004D7A72" w:rsidRDefault="00213131" w:rsidP="00A65A6F">
                  <w:pPr>
                    <w:spacing w:before="0" w:after="0"/>
                    <w:jc w:val="right"/>
                    <w:rPr>
                      <w:rFonts w:asciiTheme="majorBidi" w:eastAsia="Ploni ML Medium AAA Medium" w:hAnsiTheme="majorBidi" w:cstheme="majorBidi"/>
                      <w:b/>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50C4A03"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0" w:type="dxa"/>
                    <w:right w:w="0" w:type="dxa"/>
                  </w:tcMar>
                  <w:vAlign w:val="bottom"/>
                </w:tcPr>
                <w:p w14:paraId="43801095" w14:textId="77777777" w:rsidR="00213131" w:rsidRPr="004D7A72" w:rsidRDefault="00213131" w:rsidP="00A65A6F">
                  <w:pPr>
                    <w:spacing w:before="0" w:after="0"/>
                    <w:jc w:val="right"/>
                    <w:rPr>
                      <w:rFonts w:asciiTheme="majorBidi" w:eastAsia="Ploni ML Medium AAA Medium" w:hAnsiTheme="majorBidi" w:cstheme="majorBidi"/>
                      <w:b/>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3090683"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0" w:type="dxa"/>
                    <w:right w:w="0" w:type="dxa"/>
                  </w:tcMar>
                  <w:vAlign w:val="bottom"/>
                </w:tcPr>
                <w:p w14:paraId="2C4B9606" w14:textId="77777777" w:rsidR="00213131" w:rsidRPr="004D7A72" w:rsidRDefault="00213131" w:rsidP="00A65A6F">
                  <w:pPr>
                    <w:spacing w:before="0" w:after="0"/>
                    <w:jc w:val="right"/>
                    <w:rPr>
                      <w:rFonts w:asciiTheme="majorBidi" w:eastAsia="Ploni ML Medium AAA Medium" w:hAnsiTheme="majorBidi" w:cstheme="majorBidi"/>
                      <w:b/>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AC73420"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nil"/>
                    <w:right w:val="nil"/>
                    <w:tl2br w:val="nil"/>
                    <w:tr2bl w:val="nil"/>
                  </w:tcBorders>
                  <w:shd w:val="clear" w:color="auto" w:fill="auto"/>
                  <w:noWrap/>
                  <w:tcMar>
                    <w:left w:w="0" w:type="dxa"/>
                    <w:right w:w="0" w:type="dxa"/>
                  </w:tcMar>
                  <w:vAlign w:val="bottom"/>
                </w:tcPr>
                <w:p w14:paraId="7727A88E" w14:textId="77777777" w:rsidR="00213131" w:rsidRPr="004D7A72" w:rsidRDefault="00213131" w:rsidP="00A65A6F">
                  <w:pPr>
                    <w:spacing w:before="0" w:after="0"/>
                    <w:jc w:val="right"/>
                    <w:rPr>
                      <w:rFonts w:asciiTheme="majorBidi" w:eastAsia="Ploni ML Medium AAA Medium" w:hAnsiTheme="majorBidi" w:cstheme="majorBidi"/>
                      <w:b/>
                      <w:color w:val="000000"/>
                    </w:rPr>
                  </w:pPr>
                </w:p>
              </w:tc>
            </w:tr>
            <w:tr w:rsidR="00213131" w:rsidRPr="004D7A72" w14:paraId="4CEBE65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9" w:type="dxa"/>
                  <w:gridSpan w:val="3"/>
                  <w:tcBorders>
                    <w:top w:val="nil"/>
                    <w:left w:val="nil"/>
                    <w:bottom w:val="nil"/>
                    <w:right w:val="nil"/>
                    <w:tl2br w:val="nil"/>
                    <w:tr2bl w:val="nil"/>
                  </w:tcBorders>
                  <w:shd w:val="clear" w:color="auto" w:fill="auto"/>
                  <w:noWrap/>
                  <w:tcMar>
                    <w:left w:w="40" w:type="dxa"/>
                    <w:right w:w="40" w:type="dxa"/>
                  </w:tcMar>
                  <w:vAlign w:val="bottom"/>
                </w:tcPr>
                <w:p w14:paraId="3B50BEC0" w14:textId="77777777" w:rsidR="00213131" w:rsidRPr="004D7A72" w:rsidRDefault="00213131" w:rsidP="00A65A6F">
                  <w:pPr>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Financing expenses, net</w:t>
                  </w:r>
                </w:p>
              </w:tc>
              <w:tc>
                <w:tcPr>
                  <w:tcW w:w="1075" w:type="dxa"/>
                  <w:tcBorders>
                    <w:top w:val="nil"/>
                    <w:left w:val="nil"/>
                    <w:bottom w:val="nil"/>
                    <w:right w:val="nil"/>
                    <w:tl2br w:val="nil"/>
                    <w:tr2bl w:val="nil"/>
                  </w:tcBorders>
                  <w:shd w:val="clear" w:color="auto" w:fill="auto"/>
                  <w:noWrap/>
                  <w:tcMar>
                    <w:left w:w="40" w:type="dxa"/>
                    <w:right w:w="175" w:type="dxa"/>
                  </w:tcMar>
                  <w:vAlign w:val="bottom"/>
                </w:tcPr>
                <w:p w14:paraId="23B29ABA"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1,392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5E69648"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4A201149"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1,392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B440226"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0B134379"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696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D10405C"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73820D98"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696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F5069F1"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nil"/>
                    <w:right w:val="nil"/>
                    <w:tl2br w:val="nil"/>
                    <w:tr2bl w:val="nil"/>
                  </w:tcBorders>
                  <w:shd w:val="clear" w:color="auto" w:fill="auto"/>
                  <w:noWrap/>
                  <w:tcMar>
                    <w:left w:w="40" w:type="dxa"/>
                    <w:right w:w="175" w:type="dxa"/>
                  </w:tcMar>
                  <w:vAlign w:val="bottom"/>
                </w:tcPr>
                <w:p w14:paraId="2AFD27C8"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2,783</w:t>
                  </w:r>
                </w:p>
              </w:tc>
            </w:tr>
            <w:tr w:rsidR="00213131" w:rsidRPr="004D7A72" w14:paraId="5FC2A37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3979" w:type="dxa"/>
                  <w:gridSpan w:val="3"/>
                  <w:tcBorders>
                    <w:top w:val="nil"/>
                    <w:left w:val="nil"/>
                    <w:bottom w:val="nil"/>
                    <w:right w:val="nil"/>
                    <w:tl2br w:val="nil"/>
                    <w:tr2bl w:val="nil"/>
                  </w:tcBorders>
                  <w:shd w:val="clear" w:color="auto" w:fill="auto"/>
                  <w:noWrap/>
                  <w:tcMar>
                    <w:left w:w="40" w:type="dxa"/>
                    <w:right w:w="40" w:type="dxa"/>
                  </w:tcMar>
                  <w:vAlign w:val="bottom"/>
                </w:tcPr>
                <w:p w14:paraId="10F08AC6" w14:textId="77777777" w:rsidR="00213131" w:rsidRPr="004D7A72" w:rsidRDefault="00213131" w:rsidP="00A65A6F">
                  <w:pPr>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Impairment (appreciation) in investment property, net</w:t>
                  </w:r>
                </w:p>
              </w:tc>
              <w:tc>
                <w:tcPr>
                  <w:tcW w:w="1075" w:type="dxa"/>
                  <w:tcBorders>
                    <w:top w:val="nil"/>
                    <w:left w:val="nil"/>
                    <w:bottom w:val="nil"/>
                    <w:right w:val="nil"/>
                    <w:tl2br w:val="nil"/>
                    <w:tr2bl w:val="nil"/>
                  </w:tcBorders>
                  <w:shd w:val="clear" w:color="auto" w:fill="auto"/>
                  <w:noWrap/>
                  <w:tcMar>
                    <w:left w:w="40" w:type="dxa"/>
                    <w:right w:w="175" w:type="dxa"/>
                  </w:tcMar>
                  <w:vAlign w:val="bottom"/>
                </w:tcPr>
                <w:p w14:paraId="7708885F"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4,305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D64986E"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37386770"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4,373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9E5055D"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320B73D0"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4,305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C66C0C9"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0CFED124"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4,373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6A9F7C5"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nil"/>
                    <w:right w:val="nil"/>
                    <w:tl2br w:val="nil"/>
                    <w:tr2bl w:val="nil"/>
                  </w:tcBorders>
                  <w:shd w:val="clear" w:color="auto" w:fill="auto"/>
                  <w:noWrap/>
                  <w:tcMar>
                    <w:left w:w="40" w:type="dxa"/>
                    <w:right w:w="175" w:type="dxa"/>
                  </w:tcMar>
                  <w:vAlign w:val="bottom"/>
                </w:tcPr>
                <w:p w14:paraId="6193020D"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713</w:t>
                  </w:r>
                </w:p>
              </w:tc>
            </w:tr>
            <w:tr w:rsidR="00213131" w:rsidRPr="004D7A72" w14:paraId="146112A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9" w:type="dxa"/>
                  <w:gridSpan w:val="3"/>
                  <w:tcBorders>
                    <w:top w:val="nil"/>
                    <w:left w:val="nil"/>
                    <w:bottom w:val="nil"/>
                    <w:right w:val="nil"/>
                    <w:tl2br w:val="nil"/>
                    <w:tr2bl w:val="nil"/>
                  </w:tcBorders>
                  <w:shd w:val="clear" w:color="auto" w:fill="auto"/>
                  <w:noWrap/>
                  <w:tcMar>
                    <w:left w:w="40" w:type="dxa"/>
                    <w:right w:w="40" w:type="dxa"/>
                  </w:tcMar>
                  <w:vAlign w:val="bottom"/>
                </w:tcPr>
                <w:p w14:paraId="4906A210" w14:textId="77777777" w:rsidR="00213131" w:rsidRPr="004D7A72" w:rsidRDefault="00213131" w:rsidP="00A65A6F">
                  <w:pPr>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Depreciation and amortization</w:t>
                  </w:r>
                </w:p>
              </w:tc>
              <w:tc>
                <w:tcPr>
                  <w:tcW w:w="107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E842DBC"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27</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FDB4AAE"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ACCD6B2"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F552A35"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140E7EE"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27</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20E6389"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D0D62F3"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599D87F"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A136045"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w:t>
                  </w:r>
                </w:p>
              </w:tc>
            </w:tr>
            <w:tr w:rsidR="00213131" w:rsidRPr="004D7A72" w14:paraId="13E145D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7" w:type="dxa"/>
                  <w:tcBorders>
                    <w:top w:val="nil"/>
                    <w:left w:val="nil"/>
                    <w:bottom w:val="nil"/>
                    <w:right w:val="nil"/>
                    <w:tl2br w:val="nil"/>
                    <w:tr2bl w:val="nil"/>
                  </w:tcBorders>
                  <w:shd w:val="clear" w:color="auto" w:fill="auto"/>
                  <w:noWrap/>
                  <w:tcMar>
                    <w:left w:w="0" w:type="dxa"/>
                    <w:right w:w="0" w:type="dxa"/>
                  </w:tcMar>
                  <w:vAlign w:val="bottom"/>
                </w:tcPr>
                <w:p w14:paraId="6B1482FA"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572" w:type="dxa"/>
                  <w:tcBorders>
                    <w:top w:val="nil"/>
                    <w:left w:val="nil"/>
                    <w:bottom w:val="nil"/>
                    <w:right w:val="nil"/>
                    <w:tl2br w:val="nil"/>
                    <w:tr2bl w:val="nil"/>
                  </w:tcBorders>
                  <w:shd w:val="clear" w:color="auto" w:fill="auto"/>
                  <w:noWrap/>
                  <w:tcMar>
                    <w:left w:w="0" w:type="dxa"/>
                    <w:right w:w="0" w:type="dxa"/>
                  </w:tcMar>
                  <w:vAlign w:val="bottom"/>
                </w:tcPr>
                <w:p w14:paraId="0CF19E85"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2830" w:type="dxa"/>
                  <w:tcBorders>
                    <w:top w:val="nil"/>
                    <w:left w:val="nil"/>
                    <w:bottom w:val="nil"/>
                    <w:right w:val="nil"/>
                    <w:tl2br w:val="nil"/>
                    <w:tr2bl w:val="nil"/>
                  </w:tcBorders>
                  <w:shd w:val="clear" w:color="auto" w:fill="auto"/>
                  <w:tcMar>
                    <w:left w:w="0" w:type="dxa"/>
                    <w:right w:w="0" w:type="dxa"/>
                  </w:tcMar>
                  <w:vAlign w:val="bottom"/>
                </w:tcPr>
                <w:p w14:paraId="2C5B04CC"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07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3AD3CD97"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5,724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A82FEA2"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3E6F7274"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5,765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486B1A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E5ACBAE"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5,028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C44B4E5"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2DC7122"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5,069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DED0B2E"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9D2B7C8"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3,506</w:t>
                  </w:r>
                </w:p>
              </w:tc>
            </w:tr>
            <w:tr w:rsidR="00213131" w:rsidRPr="004D7A72" w14:paraId="7EF99D5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9" w:type="dxa"/>
                  <w:gridSpan w:val="3"/>
                  <w:tcBorders>
                    <w:top w:val="nil"/>
                    <w:left w:val="nil"/>
                    <w:bottom w:val="nil"/>
                    <w:right w:val="nil"/>
                    <w:tl2br w:val="nil"/>
                    <w:tr2bl w:val="nil"/>
                  </w:tcBorders>
                  <w:shd w:val="clear" w:color="auto" w:fill="auto"/>
                  <w:noWrap/>
                  <w:tcMar>
                    <w:left w:w="40" w:type="dxa"/>
                    <w:right w:w="40" w:type="dxa"/>
                  </w:tcMar>
                  <w:vAlign w:val="bottom"/>
                </w:tcPr>
                <w:p w14:paraId="4441A000" w14:textId="77777777" w:rsidR="00213131" w:rsidRPr="004D7A72" w:rsidRDefault="00213131" w:rsidP="00A65A6F">
                  <w:pPr>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Changes in items of assets and liabilities:</w:t>
                  </w:r>
                </w:p>
              </w:tc>
              <w:tc>
                <w:tcPr>
                  <w:tcW w:w="10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4A3F7BE"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1640266"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4BCDCBF"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C6D4F1F"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88139E5"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096D3A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54319E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A461B33"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E8E2A4E" w14:textId="77777777" w:rsidR="00213131" w:rsidRPr="004D7A72" w:rsidRDefault="00213131" w:rsidP="00A65A6F">
                  <w:pPr>
                    <w:spacing w:before="0" w:after="0"/>
                    <w:jc w:val="right"/>
                    <w:rPr>
                      <w:rFonts w:asciiTheme="majorBidi" w:eastAsia="Ploni ML Medium AAA Medium" w:hAnsiTheme="majorBidi" w:cstheme="majorBidi"/>
                      <w:color w:val="000000"/>
                    </w:rPr>
                  </w:pPr>
                </w:p>
              </w:tc>
            </w:tr>
            <w:tr w:rsidR="00213131" w:rsidRPr="004D7A72" w14:paraId="3669D03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9" w:type="dxa"/>
                  <w:gridSpan w:val="3"/>
                  <w:tcBorders>
                    <w:top w:val="nil"/>
                    <w:left w:val="nil"/>
                    <w:bottom w:val="nil"/>
                    <w:right w:val="nil"/>
                    <w:tl2br w:val="nil"/>
                    <w:tr2bl w:val="nil"/>
                  </w:tcBorders>
                  <w:shd w:val="clear" w:color="auto" w:fill="auto"/>
                  <w:tcMar>
                    <w:left w:w="40" w:type="dxa"/>
                    <w:right w:w="40" w:type="dxa"/>
                  </w:tcMar>
                  <w:vAlign w:val="bottom"/>
                </w:tcPr>
                <w:p w14:paraId="49161CD9" w14:textId="77777777" w:rsidR="00213131" w:rsidRPr="004D7A72" w:rsidRDefault="00213131" w:rsidP="00A65A6F">
                  <w:pPr>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Decrease (increase) in trade receivables and other receivables </w:t>
                  </w:r>
                </w:p>
              </w:tc>
              <w:tc>
                <w:tcPr>
                  <w:tcW w:w="1075" w:type="dxa"/>
                  <w:tcBorders>
                    <w:top w:val="nil"/>
                    <w:left w:val="nil"/>
                    <w:bottom w:val="nil"/>
                    <w:right w:val="nil"/>
                    <w:tl2br w:val="nil"/>
                    <w:tr2bl w:val="nil"/>
                  </w:tcBorders>
                  <w:shd w:val="clear" w:color="auto" w:fill="auto"/>
                  <w:noWrap/>
                  <w:tcMar>
                    <w:left w:w="40" w:type="dxa"/>
                    <w:right w:w="175" w:type="dxa"/>
                  </w:tcMar>
                  <w:vAlign w:val="bottom"/>
                </w:tcPr>
                <w:p w14:paraId="705D8F9D"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(359)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05B719F"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5F22B6B4"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(578)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1C7FE57"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00753F7A"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(535)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D10E611"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7C56DD3C"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(243)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B7241F1"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nil"/>
                    <w:right w:val="nil"/>
                    <w:tl2br w:val="nil"/>
                    <w:tr2bl w:val="nil"/>
                  </w:tcBorders>
                  <w:shd w:val="clear" w:color="auto" w:fill="auto"/>
                  <w:noWrap/>
                  <w:tcMar>
                    <w:left w:w="40" w:type="dxa"/>
                    <w:right w:w="175" w:type="dxa"/>
                  </w:tcMar>
                  <w:vAlign w:val="bottom"/>
                </w:tcPr>
                <w:p w14:paraId="59589570"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(450)</w:t>
                  </w:r>
                </w:p>
              </w:tc>
            </w:tr>
            <w:tr w:rsidR="00213131" w:rsidRPr="004D7A72" w14:paraId="7141466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9" w:type="dxa"/>
                  <w:gridSpan w:val="3"/>
                  <w:tcBorders>
                    <w:top w:val="nil"/>
                    <w:left w:val="nil"/>
                    <w:bottom w:val="nil"/>
                    <w:right w:val="nil"/>
                    <w:tl2br w:val="nil"/>
                    <w:tr2bl w:val="nil"/>
                  </w:tcBorders>
                  <w:shd w:val="clear" w:color="auto" w:fill="auto"/>
                  <w:tcMar>
                    <w:left w:w="40" w:type="dxa"/>
                    <w:right w:w="40" w:type="dxa"/>
                  </w:tcMar>
                  <w:vAlign w:val="bottom"/>
                </w:tcPr>
                <w:p w14:paraId="1464ADDD" w14:textId="77777777" w:rsidR="00213131" w:rsidRPr="004D7A72" w:rsidRDefault="00213131" w:rsidP="00A65A6F">
                  <w:pPr>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Increase (decrease) in trade and other payables</w:t>
                  </w:r>
                </w:p>
              </w:tc>
              <w:tc>
                <w:tcPr>
                  <w:tcW w:w="107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56EA464"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1,231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0A57781"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6E66E59"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1,022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124280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321146C"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366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71958AF"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26C2F87"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107</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B6834D9"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7C02467"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468</w:t>
                  </w:r>
                </w:p>
              </w:tc>
            </w:tr>
            <w:tr w:rsidR="00213131" w:rsidRPr="004D7A72" w14:paraId="627F5B5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7" w:type="dxa"/>
                  <w:tcBorders>
                    <w:top w:val="nil"/>
                    <w:left w:val="nil"/>
                    <w:bottom w:val="nil"/>
                    <w:right w:val="nil"/>
                    <w:tl2br w:val="nil"/>
                    <w:tr2bl w:val="nil"/>
                  </w:tcBorders>
                  <w:shd w:val="clear" w:color="auto" w:fill="auto"/>
                  <w:tcMar>
                    <w:left w:w="0" w:type="dxa"/>
                    <w:right w:w="0" w:type="dxa"/>
                  </w:tcMar>
                  <w:vAlign w:val="bottom"/>
                </w:tcPr>
                <w:p w14:paraId="7036C617"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572" w:type="dxa"/>
                  <w:tcBorders>
                    <w:top w:val="nil"/>
                    <w:left w:val="nil"/>
                    <w:bottom w:val="nil"/>
                    <w:right w:val="nil"/>
                    <w:tl2br w:val="nil"/>
                    <w:tr2bl w:val="nil"/>
                  </w:tcBorders>
                  <w:shd w:val="clear" w:color="auto" w:fill="auto"/>
                  <w:tcMar>
                    <w:left w:w="0" w:type="dxa"/>
                    <w:right w:w="0" w:type="dxa"/>
                  </w:tcMar>
                  <w:vAlign w:val="bottom"/>
                </w:tcPr>
                <w:p w14:paraId="005A571F"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2830" w:type="dxa"/>
                  <w:tcBorders>
                    <w:top w:val="nil"/>
                    <w:left w:val="nil"/>
                    <w:bottom w:val="nil"/>
                    <w:right w:val="nil"/>
                    <w:tl2br w:val="nil"/>
                    <w:tr2bl w:val="nil"/>
                  </w:tcBorders>
                  <w:shd w:val="clear" w:color="auto" w:fill="auto"/>
                  <w:tcMar>
                    <w:left w:w="0" w:type="dxa"/>
                    <w:right w:w="0" w:type="dxa"/>
                  </w:tcMar>
                  <w:vAlign w:val="bottom"/>
                </w:tcPr>
                <w:p w14:paraId="24CCEFFE"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07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51FB1CC"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872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BF4D520"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AA0E353"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444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93DB18F"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ED17C95"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(169)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5A564D3"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519E6DD"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(136)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DBAA200"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BE59B2F"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18</w:t>
                  </w:r>
                </w:p>
              </w:tc>
            </w:tr>
            <w:tr w:rsidR="00213131" w:rsidRPr="004D7A72" w14:paraId="5170DD8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77" w:type="dxa"/>
                  <w:tcBorders>
                    <w:top w:val="nil"/>
                    <w:left w:val="nil"/>
                    <w:bottom w:val="nil"/>
                    <w:right w:val="nil"/>
                    <w:tl2br w:val="nil"/>
                    <w:tr2bl w:val="nil"/>
                  </w:tcBorders>
                  <w:shd w:val="clear" w:color="auto" w:fill="auto"/>
                  <w:tcMar>
                    <w:left w:w="0" w:type="dxa"/>
                    <w:right w:w="0" w:type="dxa"/>
                  </w:tcMar>
                  <w:vAlign w:val="bottom"/>
                </w:tcPr>
                <w:p w14:paraId="4ADF65BB"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572" w:type="dxa"/>
                  <w:tcBorders>
                    <w:top w:val="nil"/>
                    <w:left w:val="nil"/>
                    <w:bottom w:val="nil"/>
                    <w:right w:val="nil"/>
                    <w:tl2br w:val="nil"/>
                    <w:tr2bl w:val="nil"/>
                  </w:tcBorders>
                  <w:shd w:val="clear" w:color="auto" w:fill="auto"/>
                  <w:tcMar>
                    <w:left w:w="0" w:type="dxa"/>
                    <w:right w:w="0" w:type="dxa"/>
                  </w:tcMar>
                  <w:vAlign w:val="bottom"/>
                </w:tcPr>
                <w:p w14:paraId="774E83F5"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2830" w:type="dxa"/>
                  <w:tcBorders>
                    <w:top w:val="nil"/>
                    <w:left w:val="nil"/>
                    <w:bottom w:val="nil"/>
                    <w:right w:val="nil"/>
                    <w:tl2br w:val="nil"/>
                    <w:tr2bl w:val="nil"/>
                  </w:tcBorders>
                  <w:shd w:val="clear" w:color="auto" w:fill="auto"/>
                  <w:tcMar>
                    <w:left w:w="0" w:type="dxa"/>
                    <w:right w:w="0" w:type="dxa"/>
                  </w:tcMar>
                  <w:vAlign w:val="bottom"/>
                </w:tcPr>
                <w:p w14:paraId="1A2943B8"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0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C17AB1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30C0CAA"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04EB824"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6FB0396"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6C56868"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E435299"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7C471F3"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6546439"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E95BC97" w14:textId="77777777" w:rsidR="00213131" w:rsidRPr="004D7A72" w:rsidRDefault="00213131" w:rsidP="00A65A6F">
                  <w:pPr>
                    <w:spacing w:before="0" w:after="0"/>
                    <w:jc w:val="right"/>
                    <w:rPr>
                      <w:rFonts w:asciiTheme="majorBidi" w:eastAsia="Ploni ML Medium AAA Medium" w:hAnsiTheme="majorBidi" w:cstheme="majorBidi"/>
                      <w:color w:val="000000"/>
                    </w:rPr>
                  </w:pPr>
                </w:p>
              </w:tc>
            </w:tr>
            <w:tr w:rsidR="00213131" w:rsidRPr="004D7A72" w14:paraId="02DFDEA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979" w:type="dxa"/>
                  <w:gridSpan w:val="3"/>
                  <w:tcBorders>
                    <w:top w:val="nil"/>
                    <w:left w:val="nil"/>
                    <w:bottom w:val="nil"/>
                    <w:right w:val="nil"/>
                    <w:tl2br w:val="nil"/>
                    <w:tr2bl w:val="nil"/>
                  </w:tcBorders>
                  <w:shd w:val="clear" w:color="auto" w:fill="auto"/>
                  <w:tcMar>
                    <w:left w:w="40" w:type="dxa"/>
                    <w:right w:w="40" w:type="dxa"/>
                  </w:tcMar>
                  <w:vAlign w:val="bottom"/>
                </w:tcPr>
                <w:p w14:paraId="71F024E4" w14:textId="77777777" w:rsidR="00213131" w:rsidRPr="004D7A72" w:rsidRDefault="00213131" w:rsidP="00A65A6F">
                  <w:pPr>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Net cash provided by operating activities before interest, dividend, and taxes </w:t>
                  </w:r>
                </w:p>
              </w:tc>
              <w:tc>
                <w:tcPr>
                  <w:tcW w:w="107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4C42149"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6,644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33DBB13"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23E7B4E"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6,149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20D2A09"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E129F24"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2,785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B701C4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6FA3899"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2,718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85A06C5"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0C28E74"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10,709</w:t>
                  </w:r>
                </w:p>
              </w:tc>
            </w:tr>
            <w:tr w:rsidR="00213131" w:rsidRPr="004D7A72" w14:paraId="117CA02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3979" w:type="dxa"/>
                  <w:gridSpan w:val="3"/>
                  <w:tcBorders>
                    <w:top w:val="nil"/>
                    <w:left w:val="nil"/>
                    <w:bottom w:val="nil"/>
                    <w:right w:val="nil"/>
                    <w:tl2br w:val="nil"/>
                    <w:tr2bl w:val="nil"/>
                  </w:tcBorders>
                  <w:shd w:val="clear" w:color="auto" w:fill="auto"/>
                  <w:tcMar>
                    <w:left w:w="0" w:type="dxa"/>
                    <w:right w:w="0" w:type="dxa"/>
                  </w:tcMar>
                  <w:vAlign w:val="bottom"/>
                </w:tcPr>
                <w:p w14:paraId="616D25FF"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07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357A179"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3DA76C6"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F0B5F46"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252D5FF"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EE8821D"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8D44A48"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3328B63"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51A5000"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3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D7BCD37" w14:textId="77777777" w:rsidR="00213131" w:rsidRPr="004D7A72" w:rsidRDefault="00213131" w:rsidP="00A65A6F">
                  <w:pPr>
                    <w:spacing w:before="0" w:after="0"/>
                    <w:jc w:val="left"/>
                    <w:rPr>
                      <w:rFonts w:asciiTheme="majorBidi" w:eastAsia="Ploni ML Medium AAA Medium" w:hAnsiTheme="majorBidi" w:cstheme="majorBidi"/>
                      <w:color w:val="000000"/>
                    </w:rPr>
                  </w:pPr>
                </w:p>
              </w:tc>
            </w:tr>
            <w:tr w:rsidR="00213131" w:rsidRPr="004D7A72" w14:paraId="21AF782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9" w:type="dxa"/>
                  <w:gridSpan w:val="3"/>
                  <w:tcBorders>
                    <w:top w:val="nil"/>
                    <w:left w:val="nil"/>
                    <w:bottom w:val="nil"/>
                    <w:right w:val="nil"/>
                    <w:tl2br w:val="nil"/>
                    <w:tr2bl w:val="nil"/>
                  </w:tcBorders>
                  <w:shd w:val="clear" w:color="auto" w:fill="auto"/>
                  <w:tcMar>
                    <w:left w:w="40" w:type="dxa"/>
                    <w:right w:w="40" w:type="dxa"/>
                  </w:tcMar>
                  <w:vAlign w:val="bottom"/>
                </w:tcPr>
                <w:p w14:paraId="7519DF72" w14:textId="77777777" w:rsidR="00213131" w:rsidRPr="004D7A72" w:rsidRDefault="00213131" w:rsidP="00A65A6F">
                  <w:pPr>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Cash paid and received during the period for:</w:t>
                  </w:r>
                </w:p>
              </w:tc>
              <w:tc>
                <w:tcPr>
                  <w:tcW w:w="1075" w:type="dxa"/>
                  <w:tcBorders>
                    <w:top w:val="nil"/>
                    <w:left w:val="nil"/>
                    <w:bottom w:val="nil"/>
                    <w:right w:val="nil"/>
                    <w:tl2br w:val="nil"/>
                    <w:tr2bl w:val="nil"/>
                  </w:tcBorders>
                  <w:shd w:val="clear" w:color="auto" w:fill="auto"/>
                  <w:noWrap/>
                  <w:tcMar>
                    <w:left w:w="0" w:type="dxa"/>
                    <w:right w:w="135" w:type="dxa"/>
                  </w:tcMar>
                  <w:vAlign w:val="bottom"/>
                </w:tcPr>
                <w:p w14:paraId="7C9E1757"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7F2596B"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0" w:type="dxa"/>
                    <w:right w:w="135" w:type="dxa"/>
                  </w:tcMar>
                  <w:vAlign w:val="bottom"/>
                </w:tcPr>
                <w:p w14:paraId="075D3E9B"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F3786E5"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0" w:type="dxa"/>
                    <w:right w:w="135" w:type="dxa"/>
                  </w:tcMar>
                  <w:vAlign w:val="bottom"/>
                </w:tcPr>
                <w:p w14:paraId="303EB6B7"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0F454CF"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0" w:type="dxa"/>
                    <w:right w:w="135" w:type="dxa"/>
                  </w:tcMar>
                  <w:vAlign w:val="bottom"/>
                </w:tcPr>
                <w:p w14:paraId="68666A3B"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C063BF7"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360" w:type="dxa"/>
                  <w:tcBorders>
                    <w:top w:val="nil"/>
                    <w:left w:val="nil"/>
                    <w:bottom w:val="nil"/>
                    <w:right w:val="nil"/>
                    <w:tl2br w:val="nil"/>
                    <w:tr2bl w:val="nil"/>
                  </w:tcBorders>
                  <w:shd w:val="clear" w:color="auto" w:fill="auto"/>
                  <w:noWrap/>
                  <w:tcMar>
                    <w:left w:w="0" w:type="dxa"/>
                    <w:right w:w="135" w:type="dxa"/>
                  </w:tcMar>
                  <w:vAlign w:val="bottom"/>
                </w:tcPr>
                <w:p w14:paraId="56374719" w14:textId="77777777" w:rsidR="00213131" w:rsidRPr="004D7A72" w:rsidRDefault="00213131" w:rsidP="00A65A6F">
                  <w:pPr>
                    <w:spacing w:before="0" w:after="0"/>
                    <w:jc w:val="left"/>
                    <w:rPr>
                      <w:rFonts w:asciiTheme="majorBidi" w:eastAsia="Ploni ML Medium AAA Medium" w:hAnsiTheme="majorBidi" w:cstheme="majorBidi"/>
                      <w:color w:val="000000"/>
                    </w:rPr>
                  </w:pPr>
                </w:p>
              </w:tc>
            </w:tr>
            <w:tr w:rsidR="00213131" w:rsidRPr="004D7A72" w14:paraId="5FC74C1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9" w:type="dxa"/>
                  <w:gridSpan w:val="3"/>
                  <w:tcBorders>
                    <w:top w:val="nil"/>
                    <w:left w:val="nil"/>
                    <w:bottom w:val="nil"/>
                    <w:right w:val="nil"/>
                    <w:tl2br w:val="nil"/>
                    <w:tr2bl w:val="nil"/>
                  </w:tcBorders>
                  <w:shd w:val="clear" w:color="auto" w:fill="auto"/>
                  <w:tcMar>
                    <w:left w:w="40" w:type="dxa"/>
                    <w:right w:w="40" w:type="dxa"/>
                  </w:tcMar>
                  <w:vAlign w:val="bottom"/>
                </w:tcPr>
                <w:p w14:paraId="63A1437D" w14:textId="77777777" w:rsidR="00213131" w:rsidRPr="004D7A72" w:rsidRDefault="00213131" w:rsidP="00A65A6F">
                  <w:pPr>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Interest paid</w:t>
                  </w:r>
                </w:p>
              </w:tc>
              <w:tc>
                <w:tcPr>
                  <w:tcW w:w="107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CA6EBA6"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(1,338)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AAB25F4"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2DBFC00"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(1,375)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C5F573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0A233FF"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(669)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9B19501"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CAE1943"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(706)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E0BE745"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9B42A4C"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(2,714)</w:t>
                  </w:r>
                </w:p>
              </w:tc>
            </w:tr>
            <w:tr w:rsidR="00213131" w:rsidRPr="004D7A72" w14:paraId="39F503B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5"/>
              </w:trPr>
              <w:tc>
                <w:tcPr>
                  <w:tcW w:w="577" w:type="dxa"/>
                  <w:tcBorders>
                    <w:top w:val="nil"/>
                    <w:left w:val="nil"/>
                    <w:bottom w:val="nil"/>
                    <w:right w:val="nil"/>
                    <w:tl2br w:val="nil"/>
                    <w:tr2bl w:val="nil"/>
                  </w:tcBorders>
                  <w:shd w:val="clear" w:color="auto" w:fill="auto"/>
                  <w:noWrap/>
                  <w:tcMar>
                    <w:left w:w="0" w:type="dxa"/>
                    <w:right w:w="0" w:type="dxa"/>
                  </w:tcMar>
                </w:tcPr>
                <w:p w14:paraId="7BC02909" w14:textId="77777777" w:rsidR="00213131" w:rsidRPr="004D7A72" w:rsidRDefault="00213131" w:rsidP="00A65A6F">
                  <w:pPr>
                    <w:spacing w:before="0" w:after="0"/>
                    <w:rPr>
                      <w:rFonts w:asciiTheme="majorBidi" w:eastAsia="Ploni ML Medium AAA Medium" w:hAnsiTheme="majorBidi" w:cstheme="majorBidi"/>
                      <w:color w:val="000000"/>
                    </w:rPr>
                  </w:pPr>
                </w:p>
              </w:tc>
              <w:tc>
                <w:tcPr>
                  <w:tcW w:w="572" w:type="dxa"/>
                  <w:tcBorders>
                    <w:top w:val="nil"/>
                    <w:left w:val="nil"/>
                    <w:bottom w:val="nil"/>
                    <w:right w:val="nil"/>
                    <w:tl2br w:val="nil"/>
                    <w:tr2bl w:val="nil"/>
                  </w:tcBorders>
                  <w:shd w:val="clear" w:color="auto" w:fill="auto"/>
                  <w:noWrap/>
                  <w:tcMar>
                    <w:left w:w="0" w:type="dxa"/>
                    <w:right w:w="0" w:type="dxa"/>
                  </w:tcMar>
                </w:tcPr>
                <w:p w14:paraId="15F32E11" w14:textId="77777777" w:rsidR="00213131" w:rsidRPr="004D7A72" w:rsidRDefault="00213131" w:rsidP="00A65A6F">
                  <w:pPr>
                    <w:spacing w:before="0" w:after="0"/>
                    <w:rPr>
                      <w:rFonts w:asciiTheme="majorBidi" w:eastAsia="Ploni ML Medium AAA Medium" w:hAnsiTheme="majorBidi" w:cstheme="majorBidi"/>
                      <w:color w:val="000000"/>
                    </w:rPr>
                  </w:pPr>
                </w:p>
              </w:tc>
              <w:tc>
                <w:tcPr>
                  <w:tcW w:w="2830" w:type="dxa"/>
                  <w:tcBorders>
                    <w:top w:val="nil"/>
                    <w:left w:val="nil"/>
                    <w:bottom w:val="nil"/>
                    <w:right w:val="nil"/>
                    <w:tl2br w:val="nil"/>
                    <w:tr2bl w:val="nil"/>
                  </w:tcBorders>
                  <w:shd w:val="clear" w:color="auto" w:fill="auto"/>
                  <w:noWrap/>
                  <w:tcMar>
                    <w:left w:w="0" w:type="dxa"/>
                    <w:right w:w="0" w:type="dxa"/>
                  </w:tcMar>
                </w:tcPr>
                <w:p w14:paraId="2D3AF5F4" w14:textId="77777777" w:rsidR="00213131" w:rsidRPr="004D7A72" w:rsidRDefault="00213131" w:rsidP="00A65A6F">
                  <w:pPr>
                    <w:spacing w:before="0" w:after="0"/>
                    <w:rPr>
                      <w:rFonts w:asciiTheme="majorBidi" w:eastAsia="Ploni ML Medium AAA Medium" w:hAnsiTheme="majorBidi" w:cstheme="majorBidi"/>
                      <w:color w:val="000000"/>
                    </w:rPr>
                  </w:pPr>
                </w:p>
              </w:tc>
              <w:tc>
                <w:tcPr>
                  <w:tcW w:w="10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FA58D2"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42E5F8F"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14C0AD"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1306A84"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73103D"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E42B62D"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5390CD"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0E6C1A5"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9FA11F" w14:textId="77777777" w:rsidR="00213131" w:rsidRPr="004D7A72" w:rsidRDefault="00213131" w:rsidP="00A65A6F">
                  <w:pPr>
                    <w:spacing w:before="0" w:after="0"/>
                    <w:jc w:val="right"/>
                    <w:rPr>
                      <w:rFonts w:asciiTheme="majorBidi" w:eastAsia="Ploni ML Medium AAA Medium" w:hAnsiTheme="majorBidi" w:cstheme="majorBidi"/>
                      <w:color w:val="000000"/>
                    </w:rPr>
                  </w:pPr>
                </w:p>
              </w:tc>
            </w:tr>
            <w:tr w:rsidR="00213131" w:rsidRPr="004D7A72" w14:paraId="6533778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9" w:type="dxa"/>
                  <w:gridSpan w:val="3"/>
                  <w:tcBorders>
                    <w:top w:val="nil"/>
                    <w:left w:val="nil"/>
                    <w:bottom w:val="nil"/>
                    <w:right w:val="nil"/>
                    <w:tl2br w:val="nil"/>
                    <w:tr2bl w:val="nil"/>
                  </w:tcBorders>
                  <w:shd w:val="clear" w:color="auto" w:fill="auto"/>
                  <w:tcMar>
                    <w:left w:w="40" w:type="dxa"/>
                    <w:right w:w="40" w:type="dxa"/>
                  </w:tcMar>
                  <w:vAlign w:val="bottom"/>
                </w:tcPr>
                <w:p w14:paraId="079D75EE" w14:textId="77777777" w:rsidR="00213131" w:rsidRPr="004D7A72" w:rsidRDefault="00213131" w:rsidP="00A65A6F">
                  <w:pPr>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Net cash from operating activities</w:t>
                  </w:r>
                </w:p>
              </w:tc>
              <w:tc>
                <w:tcPr>
                  <w:tcW w:w="107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EC1E023"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5,306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EC06CC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71A6590"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4,774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AB71988"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D5B568B"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2,116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413C7B2"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5E0D028"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2,012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C9E55DC"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150D621"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7,995</w:t>
                  </w:r>
                </w:p>
              </w:tc>
            </w:tr>
            <w:tr w:rsidR="00213131" w:rsidRPr="004D7A72" w14:paraId="52F86A8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1"/>
              </w:trPr>
              <w:tc>
                <w:tcPr>
                  <w:tcW w:w="577" w:type="dxa"/>
                  <w:tcBorders>
                    <w:top w:val="nil"/>
                    <w:left w:val="nil"/>
                    <w:bottom w:val="nil"/>
                    <w:right w:val="nil"/>
                    <w:tl2br w:val="nil"/>
                    <w:tr2bl w:val="nil"/>
                  </w:tcBorders>
                  <w:shd w:val="clear" w:color="auto" w:fill="auto"/>
                  <w:noWrap/>
                  <w:tcMar>
                    <w:left w:w="0" w:type="dxa"/>
                    <w:right w:w="0" w:type="dxa"/>
                  </w:tcMar>
                  <w:vAlign w:val="bottom"/>
                </w:tcPr>
                <w:p w14:paraId="027DFB3F"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572" w:type="dxa"/>
                  <w:tcBorders>
                    <w:top w:val="nil"/>
                    <w:left w:val="nil"/>
                    <w:bottom w:val="nil"/>
                    <w:right w:val="nil"/>
                    <w:tl2br w:val="nil"/>
                    <w:tr2bl w:val="nil"/>
                  </w:tcBorders>
                  <w:shd w:val="clear" w:color="auto" w:fill="auto"/>
                  <w:noWrap/>
                  <w:tcMar>
                    <w:left w:w="0" w:type="dxa"/>
                    <w:right w:w="0" w:type="dxa"/>
                  </w:tcMar>
                  <w:vAlign w:val="bottom"/>
                </w:tcPr>
                <w:p w14:paraId="361C5B02"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2830" w:type="dxa"/>
                  <w:tcBorders>
                    <w:top w:val="nil"/>
                    <w:left w:val="nil"/>
                    <w:bottom w:val="nil"/>
                    <w:right w:val="nil"/>
                    <w:tl2br w:val="nil"/>
                    <w:tr2bl w:val="nil"/>
                  </w:tcBorders>
                  <w:shd w:val="clear" w:color="auto" w:fill="auto"/>
                  <w:noWrap/>
                  <w:tcMar>
                    <w:left w:w="0" w:type="dxa"/>
                    <w:right w:w="0" w:type="dxa"/>
                  </w:tcMar>
                  <w:vAlign w:val="bottom"/>
                </w:tcPr>
                <w:p w14:paraId="78DC1B44"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0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0EF1BF"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B5CF18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AB546F"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2D318BE"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68F282"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02C5BFD"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D1CEEF"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BFC4805"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63AD33" w14:textId="77777777" w:rsidR="00213131" w:rsidRPr="004D7A72" w:rsidRDefault="00213131" w:rsidP="00A65A6F">
                  <w:pPr>
                    <w:spacing w:before="0" w:after="0"/>
                    <w:jc w:val="right"/>
                    <w:rPr>
                      <w:rFonts w:asciiTheme="majorBidi" w:eastAsia="Ploni ML Medium AAA Medium" w:hAnsiTheme="majorBidi" w:cstheme="majorBidi"/>
                      <w:color w:val="000000"/>
                    </w:rPr>
                  </w:pPr>
                </w:p>
              </w:tc>
            </w:tr>
            <w:tr w:rsidR="00213131" w:rsidRPr="004D7A72" w14:paraId="0AC42CE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9" w:type="dxa"/>
                  <w:gridSpan w:val="3"/>
                  <w:tcBorders>
                    <w:top w:val="nil"/>
                    <w:left w:val="nil"/>
                    <w:bottom w:val="nil"/>
                    <w:right w:val="nil"/>
                    <w:tl2br w:val="nil"/>
                    <w:tr2bl w:val="nil"/>
                  </w:tcBorders>
                  <w:shd w:val="clear" w:color="auto" w:fill="auto"/>
                  <w:noWrap/>
                  <w:tcMar>
                    <w:left w:w="40" w:type="dxa"/>
                    <w:right w:w="40" w:type="dxa"/>
                  </w:tcMar>
                  <w:vAlign w:val="bottom"/>
                </w:tcPr>
                <w:p w14:paraId="1F1AF1D1" w14:textId="77777777" w:rsidR="00213131" w:rsidRPr="004D7A72" w:rsidRDefault="00213131" w:rsidP="00A65A6F">
                  <w:pPr>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Cash flows from investment activities</w:t>
                  </w:r>
                </w:p>
              </w:tc>
              <w:tc>
                <w:tcPr>
                  <w:tcW w:w="1075" w:type="dxa"/>
                  <w:tcBorders>
                    <w:top w:val="nil"/>
                    <w:left w:val="nil"/>
                    <w:bottom w:val="nil"/>
                    <w:right w:val="nil"/>
                    <w:tl2br w:val="nil"/>
                    <w:tr2bl w:val="nil"/>
                  </w:tcBorders>
                  <w:shd w:val="clear" w:color="auto" w:fill="auto"/>
                  <w:noWrap/>
                  <w:tcMar>
                    <w:left w:w="0" w:type="dxa"/>
                    <w:right w:w="0" w:type="dxa"/>
                  </w:tcMar>
                  <w:vAlign w:val="bottom"/>
                </w:tcPr>
                <w:p w14:paraId="67BBAAAD"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58FA131"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0" w:type="dxa"/>
                    <w:right w:w="0" w:type="dxa"/>
                  </w:tcMar>
                  <w:vAlign w:val="bottom"/>
                </w:tcPr>
                <w:p w14:paraId="12278F53"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2B21150"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0" w:type="dxa"/>
                    <w:right w:w="0" w:type="dxa"/>
                  </w:tcMar>
                  <w:vAlign w:val="bottom"/>
                </w:tcPr>
                <w:p w14:paraId="544ED957"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FF4D00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0" w:type="dxa"/>
                    <w:right w:w="0" w:type="dxa"/>
                  </w:tcMar>
                  <w:vAlign w:val="bottom"/>
                </w:tcPr>
                <w:p w14:paraId="1DDE365A"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0D7D403"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nil"/>
                    <w:right w:val="nil"/>
                    <w:tl2br w:val="nil"/>
                    <w:tr2bl w:val="nil"/>
                  </w:tcBorders>
                  <w:shd w:val="clear" w:color="auto" w:fill="auto"/>
                  <w:noWrap/>
                  <w:tcMar>
                    <w:left w:w="0" w:type="dxa"/>
                    <w:right w:w="0" w:type="dxa"/>
                  </w:tcMar>
                  <w:vAlign w:val="bottom"/>
                </w:tcPr>
                <w:p w14:paraId="22ED7592" w14:textId="77777777" w:rsidR="00213131" w:rsidRPr="004D7A72" w:rsidRDefault="00213131" w:rsidP="00A65A6F">
                  <w:pPr>
                    <w:spacing w:before="0" w:after="0"/>
                    <w:jc w:val="right"/>
                    <w:rPr>
                      <w:rFonts w:asciiTheme="majorBidi" w:eastAsia="Ploni ML Medium AAA Medium" w:hAnsiTheme="majorBidi" w:cstheme="majorBidi"/>
                      <w:color w:val="000000"/>
                    </w:rPr>
                  </w:pPr>
                </w:p>
              </w:tc>
            </w:tr>
            <w:tr w:rsidR="00213131" w:rsidRPr="004D7A72" w14:paraId="15E3966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45"/>
              </w:trPr>
              <w:tc>
                <w:tcPr>
                  <w:tcW w:w="3979" w:type="dxa"/>
                  <w:gridSpan w:val="3"/>
                  <w:tcBorders>
                    <w:top w:val="nil"/>
                    <w:left w:val="nil"/>
                    <w:bottom w:val="nil"/>
                    <w:right w:val="nil"/>
                    <w:tl2br w:val="nil"/>
                    <w:tr2bl w:val="nil"/>
                  </w:tcBorders>
                  <w:shd w:val="clear" w:color="auto" w:fill="auto"/>
                  <w:noWrap/>
                  <w:tcMar>
                    <w:left w:w="40" w:type="dxa"/>
                    <w:right w:w="40" w:type="dxa"/>
                  </w:tcMar>
                  <w:vAlign w:val="bottom"/>
                </w:tcPr>
                <w:p w14:paraId="22FB1247" w14:textId="77777777" w:rsidR="00213131" w:rsidRPr="004D7A72" w:rsidRDefault="00213131" w:rsidP="00A65A6F">
                  <w:pPr>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Acquisition, construction, and development of investment property</w:t>
                  </w:r>
                </w:p>
              </w:tc>
              <w:tc>
                <w:tcPr>
                  <w:tcW w:w="1075" w:type="dxa"/>
                  <w:tcBorders>
                    <w:top w:val="nil"/>
                    <w:left w:val="nil"/>
                    <w:bottom w:val="nil"/>
                    <w:right w:val="nil"/>
                    <w:tl2br w:val="nil"/>
                    <w:tr2bl w:val="nil"/>
                  </w:tcBorders>
                  <w:shd w:val="clear" w:color="auto" w:fill="auto"/>
                  <w:noWrap/>
                  <w:tcMar>
                    <w:left w:w="40" w:type="dxa"/>
                    <w:right w:w="175" w:type="dxa"/>
                  </w:tcMar>
                  <w:vAlign w:val="bottom"/>
                </w:tcPr>
                <w:p w14:paraId="14F8F368"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(955)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D9E8671"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35987697"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(719)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50A5B05"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69529253"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(135)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FC46D3F"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4D9FBD5D"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4306A76"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nil"/>
                    <w:right w:val="nil"/>
                    <w:tl2br w:val="nil"/>
                    <w:tr2bl w:val="nil"/>
                  </w:tcBorders>
                  <w:shd w:val="clear" w:color="auto" w:fill="auto"/>
                  <w:noWrap/>
                  <w:tcMar>
                    <w:left w:w="40" w:type="dxa"/>
                    <w:right w:w="175" w:type="dxa"/>
                  </w:tcMar>
                  <w:vAlign w:val="bottom"/>
                </w:tcPr>
                <w:p w14:paraId="5070E3E5"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(1,234)</w:t>
                  </w:r>
                </w:p>
              </w:tc>
            </w:tr>
            <w:tr w:rsidR="00213131" w:rsidRPr="004D7A72" w14:paraId="73B05A5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6"/>
              </w:trPr>
              <w:tc>
                <w:tcPr>
                  <w:tcW w:w="3979" w:type="dxa"/>
                  <w:gridSpan w:val="3"/>
                  <w:tcBorders>
                    <w:top w:val="nil"/>
                    <w:left w:val="nil"/>
                    <w:bottom w:val="nil"/>
                    <w:right w:val="nil"/>
                    <w:tl2br w:val="nil"/>
                    <w:tr2bl w:val="nil"/>
                  </w:tcBorders>
                  <w:shd w:val="clear" w:color="auto" w:fill="auto"/>
                  <w:noWrap/>
                  <w:tcMar>
                    <w:left w:w="40" w:type="dxa"/>
                    <w:right w:w="40" w:type="dxa"/>
                  </w:tcMar>
                  <w:vAlign w:val="bottom"/>
                </w:tcPr>
                <w:p w14:paraId="570E529F" w14:textId="0A69003F" w:rsidR="00213131" w:rsidRPr="004D7A72" w:rsidRDefault="00A453F4" w:rsidP="00A65A6F">
                  <w:pPr>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Investments in</w:t>
                  </w:r>
                  <w:r w:rsidR="00213131" w:rsidRPr="004D7A72">
                    <w:rPr>
                      <w:rFonts w:asciiTheme="majorBidi" w:hAnsiTheme="majorBidi" w:cstheme="majorBidi"/>
                      <w:color w:val="000000"/>
                    </w:rPr>
                    <w:t xml:space="preserve"> property, plant and equipment and other assets</w:t>
                  </w:r>
                </w:p>
              </w:tc>
              <w:tc>
                <w:tcPr>
                  <w:tcW w:w="107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B84901A"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(116)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7991655"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6FA690A"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(86)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F9C53EA"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B4C0316"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E1F3CF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4F7348CB"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(73)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4BC64E5"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A77742B"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(275)</w:t>
                  </w:r>
                </w:p>
              </w:tc>
            </w:tr>
            <w:tr w:rsidR="00213131" w:rsidRPr="004D7A72" w14:paraId="199469A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9" w:type="dxa"/>
                  <w:gridSpan w:val="3"/>
                  <w:tcBorders>
                    <w:top w:val="nil"/>
                    <w:left w:val="nil"/>
                    <w:bottom w:val="nil"/>
                    <w:right w:val="nil"/>
                    <w:tl2br w:val="nil"/>
                    <w:tr2bl w:val="nil"/>
                  </w:tcBorders>
                  <w:shd w:val="clear" w:color="auto" w:fill="auto"/>
                  <w:noWrap/>
                  <w:tcMar>
                    <w:left w:w="40" w:type="dxa"/>
                    <w:right w:w="40" w:type="dxa"/>
                  </w:tcMar>
                  <w:vAlign w:val="bottom"/>
                </w:tcPr>
                <w:p w14:paraId="4F863802" w14:textId="77777777" w:rsidR="00213131" w:rsidRPr="004D7A72" w:rsidRDefault="00213131" w:rsidP="00A65A6F">
                  <w:pPr>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Net cash used for investment activities</w:t>
                  </w:r>
                </w:p>
              </w:tc>
              <w:tc>
                <w:tcPr>
                  <w:tcW w:w="107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B1F895A"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(1,071)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3E53FBA"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7CCA8A20"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(805)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121D960"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0A9CF326"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(170)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2289FE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B8BD8AC"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(127)</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F03F5A2"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5F315B4"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(1,509)</w:t>
                  </w:r>
                </w:p>
              </w:tc>
            </w:tr>
            <w:tr w:rsidR="00213131" w:rsidRPr="004D7A72" w14:paraId="7EFCF17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6"/>
              </w:trPr>
              <w:tc>
                <w:tcPr>
                  <w:tcW w:w="577" w:type="dxa"/>
                  <w:tcBorders>
                    <w:top w:val="nil"/>
                    <w:left w:val="nil"/>
                    <w:bottom w:val="nil"/>
                    <w:right w:val="nil"/>
                    <w:tl2br w:val="nil"/>
                    <w:tr2bl w:val="nil"/>
                  </w:tcBorders>
                  <w:shd w:val="clear" w:color="auto" w:fill="auto"/>
                  <w:noWrap/>
                  <w:tcMar>
                    <w:left w:w="0" w:type="dxa"/>
                    <w:right w:w="0" w:type="dxa"/>
                  </w:tcMar>
                  <w:vAlign w:val="bottom"/>
                </w:tcPr>
                <w:p w14:paraId="6DA67F57"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572" w:type="dxa"/>
                  <w:tcBorders>
                    <w:top w:val="nil"/>
                    <w:left w:val="nil"/>
                    <w:bottom w:val="nil"/>
                    <w:right w:val="nil"/>
                    <w:tl2br w:val="nil"/>
                    <w:tr2bl w:val="nil"/>
                  </w:tcBorders>
                  <w:shd w:val="clear" w:color="auto" w:fill="auto"/>
                  <w:noWrap/>
                  <w:tcMar>
                    <w:left w:w="0" w:type="dxa"/>
                    <w:right w:w="0" w:type="dxa"/>
                  </w:tcMar>
                  <w:vAlign w:val="bottom"/>
                </w:tcPr>
                <w:p w14:paraId="27700B9E"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2830" w:type="dxa"/>
                  <w:tcBorders>
                    <w:top w:val="nil"/>
                    <w:left w:val="nil"/>
                    <w:bottom w:val="nil"/>
                    <w:right w:val="nil"/>
                    <w:tl2br w:val="nil"/>
                    <w:tr2bl w:val="nil"/>
                  </w:tcBorders>
                  <w:shd w:val="clear" w:color="auto" w:fill="auto"/>
                  <w:noWrap/>
                  <w:tcMar>
                    <w:left w:w="0" w:type="dxa"/>
                    <w:right w:w="0" w:type="dxa"/>
                  </w:tcMar>
                  <w:vAlign w:val="bottom"/>
                </w:tcPr>
                <w:p w14:paraId="107A6C2A"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0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9450D6"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BEE09D2"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FB7C3A"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BD9AD16"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D21409"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E577E9A"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A0B1E9"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8D61AEC"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D3C36C" w14:textId="77777777" w:rsidR="00213131" w:rsidRPr="004D7A72" w:rsidRDefault="00213131" w:rsidP="00A65A6F">
                  <w:pPr>
                    <w:spacing w:before="0" w:after="0"/>
                    <w:jc w:val="right"/>
                    <w:rPr>
                      <w:rFonts w:asciiTheme="majorBidi" w:eastAsia="Ploni ML Medium AAA Medium" w:hAnsiTheme="majorBidi" w:cstheme="majorBidi"/>
                      <w:color w:val="000000"/>
                    </w:rPr>
                  </w:pPr>
                </w:p>
              </w:tc>
            </w:tr>
            <w:tr w:rsidR="00213131" w:rsidRPr="004D7A72" w14:paraId="1B7579D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9" w:type="dxa"/>
                  <w:gridSpan w:val="3"/>
                  <w:tcBorders>
                    <w:top w:val="nil"/>
                    <w:left w:val="nil"/>
                    <w:bottom w:val="nil"/>
                    <w:right w:val="nil"/>
                    <w:tl2br w:val="nil"/>
                    <w:tr2bl w:val="nil"/>
                  </w:tcBorders>
                  <w:shd w:val="clear" w:color="auto" w:fill="auto"/>
                  <w:noWrap/>
                  <w:tcMar>
                    <w:left w:w="40" w:type="dxa"/>
                    <w:right w:w="40" w:type="dxa"/>
                  </w:tcMar>
                  <w:vAlign w:val="bottom"/>
                </w:tcPr>
                <w:p w14:paraId="48C7EC92" w14:textId="77777777" w:rsidR="00213131" w:rsidRPr="004D7A72" w:rsidRDefault="00213131" w:rsidP="00A65A6F">
                  <w:pPr>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Cash flow from financing activities</w:t>
                  </w:r>
                </w:p>
              </w:tc>
              <w:tc>
                <w:tcPr>
                  <w:tcW w:w="1075" w:type="dxa"/>
                  <w:tcBorders>
                    <w:top w:val="nil"/>
                    <w:left w:val="nil"/>
                    <w:bottom w:val="nil"/>
                    <w:right w:val="nil"/>
                    <w:tl2br w:val="nil"/>
                    <w:tr2bl w:val="nil"/>
                  </w:tcBorders>
                  <w:shd w:val="clear" w:color="auto" w:fill="auto"/>
                  <w:noWrap/>
                  <w:tcMar>
                    <w:left w:w="0" w:type="dxa"/>
                    <w:right w:w="0" w:type="dxa"/>
                  </w:tcMar>
                  <w:vAlign w:val="bottom"/>
                </w:tcPr>
                <w:p w14:paraId="38CB7994"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103E2C0"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0" w:type="dxa"/>
                    <w:right w:w="0" w:type="dxa"/>
                  </w:tcMar>
                  <w:vAlign w:val="bottom"/>
                </w:tcPr>
                <w:p w14:paraId="3D1EE499"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5349D5E"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0" w:type="dxa"/>
                    <w:right w:w="0" w:type="dxa"/>
                  </w:tcMar>
                  <w:vAlign w:val="bottom"/>
                </w:tcPr>
                <w:p w14:paraId="2E860C8C"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79C11D3"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0" w:type="dxa"/>
                    <w:right w:w="0" w:type="dxa"/>
                  </w:tcMar>
                  <w:vAlign w:val="bottom"/>
                </w:tcPr>
                <w:p w14:paraId="6964C9F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AA58576"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nil"/>
                    <w:right w:val="nil"/>
                    <w:tl2br w:val="nil"/>
                    <w:tr2bl w:val="nil"/>
                  </w:tcBorders>
                  <w:shd w:val="clear" w:color="auto" w:fill="auto"/>
                  <w:noWrap/>
                  <w:tcMar>
                    <w:left w:w="0" w:type="dxa"/>
                    <w:right w:w="0" w:type="dxa"/>
                  </w:tcMar>
                  <w:vAlign w:val="bottom"/>
                </w:tcPr>
                <w:p w14:paraId="1AFDF38F" w14:textId="77777777" w:rsidR="00213131" w:rsidRPr="004D7A72" w:rsidRDefault="00213131" w:rsidP="00A65A6F">
                  <w:pPr>
                    <w:spacing w:before="0" w:after="0"/>
                    <w:jc w:val="right"/>
                    <w:rPr>
                      <w:rFonts w:asciiTheme="majorBidi" w:eastAsia="Ploni ML Medium AAA Medium" w:hAnsiTheme="majorBidi" w:cstheme="majorBidi"/>
                      <w:color w:val="000000"/>
                    </w:rPr>
                  </w:pPr>
                </w:p>
              </w:tc>
            </w:tr>
            <w:tr w:rsidR="00213131" w:rsidRPr="004D7A72" w14:paraId="0A41E3B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9" w:type="dxa"/>
                  <w:gridSpan w:val="3"/>
                  <w:tcBorders>
                    <w:top w:val="nil"/>
                    <w:left w:val="nil"/>
                    <w:bottom w:val="nil"/>
                    <w:right w:val="nil"/>
                    <w:tl2br w:val="nil"/>
                    <w:tr2bl w:val="nil"/>
                  </w:tcBorders>
                  <w:shd w:val="clear" w:color="auto" w:fill="auto"/>
                  <w:noWrap/>
                  <w:tcMar>
                    <w:left w:w="40" w:type="dxa"/>
                    <w:right w:w="40" w:type="dxa"/>
                  </w:tcMar>
                  <w:vAlign w:val="bottom"/>
                </w:tcPr>
                <w:p w14:paraId="04CED145" w14:textId="77777777" w:rsidR="00213131" w:rsidRPr="004D7A72" w:rsidRDefault="00213131" w:rsidP="00A65A6F">
                  <w:pPr>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Shareholders’ investment</w:t>
                  </w:r>
                </w:p>
              </w:tc>
              <w:tc>
                <w:tcPr>
                  <w:tcW w:w="1075" w:type="dxa"/>
                  <w:tcBorders>
                    <w:top w:val="nil"/>
                    <w:left w:val="nil"/>
                    <w:bottom w:val="nil"/>
                    <w:right w:val="nil"/>
                    <w:tl2br w:val="nil"/>
                    <w:tr2bl w:val="nil"/>
                  </w:tcBorders>
                  <w:shd w:val="clear" w:color="auto" w:fill="auto"/>
                  <w:noWrap/>
                  <w:tcMar>
                    <w:left w:w="40" w:type="dxa"/>
                    <w:right w:w="175" w:type="dxa"/>
                  </w:tcMar>
                  <w:vAlign w:val="bottom"/>
                </w:tcPr>
                <w:p w14:paraId="0D3EFA18"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40D1CC5"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4615984B"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536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5805036"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6691EEB9"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7801783"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5812AA12"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F135831"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nil"/>
                    <w:right w:val="nil"/>
                    <w:tl2br w:val="nil"/>
                    <w:tr2bl w:val="nil"/>
                  </w:tcBorders>
                  <w:shd w:val="clear" w:color="auto" w:fill="auto"/>
                  <w:noWrap/>
                  <w:tcMar>
                    <w:left w:w="40" w:type="dxa"/>
                    <w:right w:w="175" w:type="dxa"/>
                  </w:tcMar>
                  <w:vAlign w:val="bottom"/>
                </w:tcPr>
                <w:p w14:paraId="042B3FF9"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2,072</w:t>
                  </w:r>
                </w:p>
              </w:tc>
            </w:tr>
            <w:tr w:rsidR="00213131" w:rsidRPr="004D7A72" w14:paraId="115E817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9" w:type="dxa"/>
                  <w:gridSpan w:val="3"/>
                  <w:tcBorders>
                    <w:top w:val="nil"/>
                    <w:left w:val="nil"/>
                    <w:bottom w:val="nil"/>
                    <w:right w:val="nil"/>
                    <w:tl2br w:val="nil"/>
                    <w:tr2bl w:val="nil"/>
                  </w:tcBorders>
                  <w:shd w:val="clear" w:color="auto" w:fill="auto"/>
                  <w:noWrap/>
                  <w:tcMar>
                    <w:left w:w="40" w:type="dxa"/>
                    <w:right w:w="40" w:type="dxa"/>
                  </w:tcMar>
                  <w:vAlign w:val="bottom"/>
                </w:tcPr>
                <w:p w14:paraId="1CC9960F" w14:textId="77777777" w:rsidR="00213131" w:rsidRPr="004D7A72" w:rsidRDefault="00213131" w:rsidP="00A65A6F">
                  <w:pPr>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Dividend paid to Company shareholders</w:t>
                  </w:r>
                </w:p>
              </w:tc>
              <w:tc>
                <w:tcPr>
                  <w:tcW w:w="1075" w:type="dxa"/>
                  <w:tcBorders>
                    <w:top w:val="nil"/>
                    <w:left w:val="nil"/>
                    <w:bottom w:val="nil"/>
                    <w:right w:val="nil"/>
                    <w:tl2br w:val="nil"/>
                    <w:tr2bl w:val="nil"/>
                  </w:tcBorders>
                  <w:shd w:val="clear" w:color="auto" w:fill="auto"/>
                  <w:noWrap/>
                  <w:tcMar>
                    <w:left w:w="40" w:type="dxa"/>
                    <w:right w:w="175" w:type="dxa"/>
                  </w:tcMar>
                  <w:vAlign w:val="bottom"/>
                </w:tcPr>
                <w:p w14:paraId="7C8E8839"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(545)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30CFD8E"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2467D407"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(3,505)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E3DE72A"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67D9FFD6"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1389CD2"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nil"/>
                    <w:right w:val="nil"/>
                    <w:tl2br w:val="nil"/>
                    <w:tr2bl w:val="nil"/>
                  </w:tcBorders>
                  <w:shd w:val="clear" w:color="auto" w:fill="auto"/>
                  <w:noWrap/>
                  <w:tcMar>
                    <w:left w:w="40" w:type="dxa"/>
                    <w:right w:w="175" w:type="dxa"/>
                  </w:tcMar>
                  <w:vAlign w:val="bottom"/>
                </w:tcPr>
                <w:p w14:paraId="63E4E33A"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(2,505)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EEE1816"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nil"/>
                    <w:right w:val="nil"/>
                    <w:tl2br w:val="nil"/>
                    <w:tr2bl w:val="nil"/>
                  </w:tcBorders>
                  <w:shd w:val="clear" w:color="auto" w:fill="auto"/>
                  <w:noWrap/>
                  <w:tcMar>
                    <w:left w:w="40" w:type="dxa"/>
                    <w:right w:w="175" w:type="dxa"/>
                  </w:tcMar>
                  <w:vAlign w:val="bottom"/>
                </w:tcPr>
                <w:p w14:paraId="6F1EF309"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(8,440)</w:t>
                  </w:r>
                </w:p>
              </w:tc>
            </w:tr>
            <w:tr w:rsidR="00213131" w:rsidRPr="004D7A72" w14:paraId="610DC77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9" w:type="dxa"/>
                  <w:gridSpan w:val="3"/>
                  <w:tcBorders>
                    <w:top w:val="nil"/>
                    <w:left w:val="nil"/>
                    <w:bottom w:val="nil"/>
                    <w:right w:val="nil"/>
                    <w:tl2br w:val="nil"/>
                    <w:tr2bl w:val="nil"/>
                  </w:tcBorders>
                  <w:shd w:val="clear" w:color="auto" w:fill="auto"/>
                  <w:noWrap/>
                  <w:tcMar>
                    <w:left w:w="40" w:type="dxa"/>
                    <w:right w:w="40" w:type="dxa"/>
                  </w:tcMar>
                  <w:vAlign w:val="bottom"/>
                </w:tcPr>
                <w:p w14:paraId="7199093E" w14:textId="77777777" w:rsidR="00213131" w:rsidRPr="004D7A72" w:rsidRDefault="00213131" w:rsidP="00A65A6F">
                  <w:pPr>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Net cash used for financing activities</w:t>
                  </w:r>
                </w:p>
              </w:tc>
              <w:tc>
                <w:tcPr>
                  <w:tcW w:w="107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17048204"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(531)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2FC9BE9"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FF605EC"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(2,969)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C4E0521"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8278706"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F73C853"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07D8D526"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(2,479)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475C0BD"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546FD366"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(6,368)</w:t>
                  </w:r>
                </w:p>
              </w:tc>
            </w:tr>
            <w:tr w:rsidR="00213131" w:rsidRPr="004D7A72" w14:paraId="29145FB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77" w:type="dxa"/>
                  <w:tcBorders>
                    <w:top w:val="nil"/>
                    <w:left w:val="nil"/>
                    <w:bottom w:val="nil"/>
                    <w:right w:val="nil"/>
                    <w:tl2br w:val="nil"/>
                    <w:tr2bl w:val="nil"/>
                  </w:tcBorders>
                  <w:shd w:val="clear" w:color="auto" w:fill="auto"/>
                  <w:noWrap/>
                  <w:tcMar>
                    <w:left w:w="0" w:type="dxa"/>
                    <w:right w:w="0" w:type="dxa"/>
                  </w:tcMar>
                  <w:vAlign w:val="bottom"/>
                </w:tcPr>
                <w:p w14:paraId="68AB2C00"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572" w:type="dxa"/>
                  <w:tcBorders>
                    <w:top w:val="nil"/>
                    <w:left w:val="nil"/>
                    <w:bottom w:val="nil"/>
                    <w:right w:val="nil"/>
                    <w:tl2br w:val="nil"/>
                    <w:tr2bl w:val="nil"/>
                  </w:tcBorders>
                  <w:shd w:val="clear" w:color="auto" w:fill="auto"/>
                  <w:tcMar>
                    <w:left w:w="0" w:type="dxa"/>
                    <w:right w:w="0" w:type="dxa"/>
                  </w:tcMar>
                  <w:vAlign w:val="bottom"/>
                </w:tcPr>
                <w:p w14:paraId="09C3E62D"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2830" w:type="dxa"/>
                  <w:tcBorders>
                    <w:top w:val="nil"/>
                    <w:left w:val="nil"/>
                    <w:bottom w:val="nil"/>
                    <w:right w:val="nil"/>
                    <w:tl2br w:val="nil"/>
                    <w:tr2bl w:val="nil"/>
                  </w:tcBorders>
                  <w:shd w:val="clear" w:color="auto" w:fill="auto"/>
                  <w:tcMar>
                    <w:left w:w="0" w:type="dxa"/>
                    <w:right w:w="0" w:type="dxa"/>
                  </w:tcMar>
                  <w:vAlign w:val="bottom"/>
                </w:tcPr>
                <w:p w14:paraId="3B620E96" w14:textId="77777777" w:rsidR="00213131" w:rsidRPr="004D7A72" w:rsidRDefault="00213131" w:rsidP="00A65A6F">
                  <w:pPr>
                    <w:spacing w:before="0" w:after="0"/>
                    <w:jc w:val="left"/>
                    <w:rPr>
                      <w:rFonts w:asciiTheme="majorBidi" w:eastAsia="Ploni ML Medium AAA Medium" w:hAnsiTheme="majorBidi" w:cstheme="majorBidi"/>
                      <w:color w:val="000000"/>
                    </w:rPr>
                  </w:pPr>
                </w:p>
              </w:tc>
              <w:tc>
                <w:tcPr>
                  <w:tcW w:w="10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D659D9"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941AD01"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96CAAA"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EE9CAA7"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103BE9"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BD75247"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7C58B7"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364460A"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DFB44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r>
            <w:tr w:rsidR="00213131" w:rsidRPr="004D7A72" w14:paraId="40031D1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3"/>
              </w:trPr>
              <w:tc>
                <w:tcPr>
                  <w:tcW w:w="3979" w:type="dxa"/>
                  <w:gridSpan w:val="3"/>
                  <w:tcBorders>
                    <w:top w:val="nil"/>
                    <w:left w:val="nil"/>
                    <w:bottom w:val="nil"/>
                    <w:right w:val="nil"/>
                    <w:tl2br w:val="nil"/>
                    <w:tr2bl w:val="nil"/>
                  </w:tcBorders>
                  <w:shd w:val="clear" w:color="auto" w:fill="auto"/>
                  <w:noWrap/>
                  <w:tcMar>
                    <w:left w:w="40" w:type="dxa"/>
                    <w:right w:w="40" w:type="dxa"/>
                  </w:tcMar>
                  <w:vAlign w:val="center"/>
                </w:tcPr>
                <w:p w14:paraId="0DA99BDF" w14:textId="77777777" w:rsidR="00213131" w:rsidRPr="004D7A72" w:rsidRDefault="00213131" w:rsidP="00A65A6F">
                  <w:pPr>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Increase (decrease) in cash and cash equivalents</w:t>
                  </w:r>
                </w:p>
              </w:tc>
              <w:tc>
                <w:tcPr>
                  <w:tcW w:w="107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ECD750E"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3,704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B107905"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1FF93F9"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1,000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4DCABA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0B2B4D5"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1,946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2D03701"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8DB0338"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(594)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5175DE0"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C792EBF"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118</w:t>
                  </w:r>
                </w:p>
              </w:tc>
            </w:tr>
            <w:tr w:rsidR="00213131" w:rsidRPr="004D7A72" w14:paraId="725EF5F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4"/>
              </w:trPr>
              <w:tc>
                <w:tcPr>
                  <w:tcW w:w="3979" w:type="dxa"/>
                  <w:gridSpan w:val="3"/>
                  <w:tcBorders>
                    <w:top w:val="nil"/>
                    <w:left w:val="nil"/>
                    <w:bottom w:val="nil"/>
                    <w:right w:val="nil"/>
                    <w:tl2br w:val="nil"/>
                    <w:tr2bl w:val="nil"/>
                  </w:tcBorders>
                  <w:shd w:val="clear" w:color="auto" w:fill="auto"/>
                  <w:noWrap/>
                  <w:tcMar>
                    <w:left w:w="40" w:type="dxa"/>
                    <w:right w:w="40" w:type="dxa"/>
                  </w:tcMar>
                  <w:vAlign w:val="center"/>
                </w:tcPr>
                <w:p w14:paraId="527FF50A" w14:textId="77777777" w:rsidR="00213131" w:rsidRPr="004D7A72" w:rsidRDefault="00213131" w:rsidP="00A65A6F">
                  <w:pPr>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Cash and cash equivalents at the beginning of the period</w:t>
                  </w:r>
                </w:p>
              </w:tc>
              <w:tc>
                <w:tcPr>
                  <w:tcW w:w="107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11E859E0"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1,682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9CCA6A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5B229BC0"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1,564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9BE0657"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A061F87"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3,440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7F47BC7"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93D2CD3"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3,158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AED88F2"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15AB9424"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1,564</w:t>
                  </w:r>
                </w:p>
              </w:tc>
            </w:tr>
            <w:tr w:rsidR="00213131" w:rsidRPr="004D7A72" w14:paraId="2ADA590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979" w:type="dxa"/>
                  <w:gridSpan w:val="3"/>
                  <w:tcBorders>
                    <w:top w:val="nil"/>
                    <w:left w:val="nil"/>
                    <w:bottom w:val="nil"/>
                    <w:right w:val="nil"/>
                    <w:tl2br w:val="nil"/>
                    <w:tr2bl w:val="nil"/>
                  </w:tcBorders>
                  <w:shd w:val="clear" w:color="auto" w:fill="auto"/>
                  <w:noWrap/>
                  <w:tcMar>
                    <w:left w:w="40" w:type="dxa"/>
                    <w:right w:w="40" w:type="dxa"/>
                  </w:tcMar>
                  <w:vAlign w:val="bottom"/>
                </w:tcPr>
                <w:p w14:paraId="400E796B" w14:textId="77777777" w:rsidR="00213131" w:rsidRPr="004D7A72" w:rsidRDefault="00213131" w:rsidP="00A65A6F">
                  <w:pPr>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Cash and cash equivalents at the end of the period</w:t>
                  </w:r>
                </w:p>
              </w:tc>
              <w:tc>
                <w:tcPr>
                  <w:tcW w:w="107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0654C761"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5,386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D718EFB"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08871C9D"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2,564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2615607"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2B2E1DB7"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5,386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336C0C9"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076"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068EA78E"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2,564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9BE9F78" w14:textId="77777777" w:rsidR="00213131" w:rsidRPr="004D7A72" w:rsidRDefault="00213131" w:rsidP="00A65A6F">
                  <w:pPr>
                    <w:spacing w:before="0" w:after="0"/>
                    <w:jc w:val="right"/>
                    <w:rPr>
                      <w:rFonts w:asciiTheme="majorBidi" w:eastAsia="Ploni ML Medium AAA Medium" w:hAnsiTheme="majorBidi" w:cstheme="majorBidi"/>
                      <w:color w:val="000000"/>
                    </w:rPr>
                  </w:pPr>
                </w:p>
              </w:tc>
              <w:tc>
                <w:tcPr>
                  <w:tcW w:w="136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10F890DE" w14:textId="77777777" w:rsidR="00213131" w:rsidRPr="004D7A72" w:rsidRDefault="00213131" w:rsidP="00A65A6F">
                  <w:pPr>
                    <w:spacing w:before="0" w:after="0"/>
                    <w:jc w:val="right"/>
                    <w:rPr>
                      <w:rFonts w:asciiTheme="majorBidi" w:eastAsia="Ploni ML Medium AAA Medium" w:hAnsiTheme="majorBidi" w:cstheme="majorBidi"/>
                      <w:color w:val="000000"/>
                    </w:rPr>
                  </w:pPr>
                  <w:r w:rsidRPr="004D7A72">
                    <w:rPr>
                      <w:rFonts w:asciiTheme="majorBidi" w:hAnsiTheme="majorBidi" w:cstheme="majorBidi"/>
                      <w:color w:val="000000"/>
                    </w:rPr>
                    <w:t xml:space="preserve"> 1,682</w:t>
                  </w:r>
                </w:p>
              </w:tc>
            </w:tr>
          </w:tbl>
          <w:p w14:paraId="15976812" w14:textId="77777777" w:rsidR="00213131" w:rsidRPr="004D7A72" w:rsidRDefault="00213131" w:rsidP="00A65A6F">
            <w:pPr>
              <w:rPr>
                <w:rFonts w:asciiTheme="majorBidi" w:hAnsiTheme="majorBidi" w:cstheme="majorBidi"/>
              </w:rPr>
            </w:pPr>
          </w:p>
        </w:tc>
      </w:tr>
    </w:tbl>
    <w:p w14:paraId="1088720E" w14:textId="77777777" w:rsidR="00213131" w:rsidRPr="004D7A72" w:rsidRDefault="00213131" w:rsidP="00213131">
      <w:pPr>
        <w:keepNext/>
        <w:pageBreakBefore/>
        <w:pBdr>
          <w:top w:val="nil"/>
          <w:left w:val="nil"/>
          <w:bottom w:val="nil"/>
          <w:right w:val="nil"/>
          <w:between w:val="nil"/>
          <w:bar w:val="nil"/>
        </w:pBdr>
        <w:tabs>
          <w:tab w:val="left" w:pos="-4254"/>
        </w:tabs>
        <w:contextualSpacing/>
        <w:outlineLvl w:val="3"/>
        <w:rPr>
          <w:rFonts w:asciiTheme="majorBidi" w:eastAsia="Calibri" w:hAnsiTheme="majorBidi" w:cstheme="majorBidi"/>
          <w:b/>
          <w:bCs/>
          <w:sz w:val="21"/>
          <w:szCs w:val="21"/>
        </w:rPr>
      </w:pPr>
      <w:r w:rsidRPr="004D7A72">
        <w:rPr>
          <w:rFonts w:asciiTheme="majorBidi" w:hAnsiTheme="majorBidi" w:cstheme="majorBidi"/>
          <w:b/>
          <w:sz w:val="21"/>
        </w:rPr>
        <w:lastRenderedPageBreak/>
        <w:t>Note 7 - Condensed Financial Information of G Alpha (contd.)</w:t>
      </w:r>
    </w:p>
    <w:p w14:paraId="5D8C325D" w14:textId="77777777" w:rsidR="00213131" w:rsidRPr="004D7A72" w:rsidRDefault="00213131" w:rsidP="00213131">
      <w:pPr>
        <w:pStyle w:val="ListParagraph"/>
        <w:keepNext/>
        <w:keepLines/>
        <w:tabs>
          <w:tab w:val="left" w:pos="1133"/>
        </w:tabs>
        <w:ind w:left="0"/>
        <w:contextualSpacing w:val="0"/>
        <w:outlineLvl w:val="0"/>
        <w:rPr>
          <w:rFonts w:asciiTheme="majorBidi" w:hAnsiTheme="majorBidi" w:cstheme="majorBidi"/>
          <w:sz w:val="21"/>
          <w:szCs w:val="21"/>
          <w:u w:val="single"/>
        </w:rPr>
      </w:pPr>
      <w:bookmarkStart w:id="172" w:name="H4_באור_10Note_כללי_0"/>
      <w:r w:rsidRPr="004D7A72">
        <w:rPr>
          <w:rFonts w:asciiTheme="majorBidi" w:hAnsiTheme="majorBidi" w:cstheme="majorBidi"/>
          <w:sz w:val="21"/>
          <w:u w:val="single"/>
        </w:rPr>
        <w:t>Key Notes</w:t>
      </w:r>
    </w:p>
    <w:bookmarkEnd w:id="172"/>
    <w:p w14:paraId="66750B39" w14:textId="77777777" w:rsidR="00213131" w:rsidRPr="004D7A72" w:rsidRDefault="00213131" w:rsidP="004D7A72">
      <w:pPr>
        <w:pStyle w:val="ListParagraph"/>
        <w:keepNext/>
        <w:keepLines/>
        <w:numPr>
          <w:ilvl w:val="3"/>
          <w:numId w:val="56"/>
        </w:numPr>
        <w:tabs>
          <w:tab w:val="left" w:pos="425"/>
          <w:tab w:val="left" w:pos="1133"/>
        </w:tabs>
        <w:spacing w:before="60" w:after="60" w:line="276" w:lineRule="auto"/>
        <w:ind w:left="0" w:firstLine="0"/>
        <w:contextualSpacing w:val="0"/>
        <w:outlineLvl w:val="0"/>
        <w:rPr>
          <w:rFonts w:asciiTheme="majorBidi" w:hAnsiTheme="majorBidi" w:cstheme="majorBidi"/>
          <w:sz w:val="21"/>
          <w:szCs w:val="21"/>
        </w:rPr>
      </w:pPr>
      <w:r w:rsidRPr="004D7A72">
        <w:rPr>
          <w:rFonts w:asciiTheme="majorBidi" w:hAnsiTheme="majorBidi" w:cstheme="majorBidi"/>
          <w:sz w:val="21"/>
        </w:rPr>
        <w:t>General</w:t>
      </w:r>
    </w:p>
    <w:p w14:paraId="333C8A0F" w14:textId="77777777" w:rsidR="00213131" w:rsidRPr="004D7A72" w:rsidRDefault="00213131" w:rsidP="004D7A72">
      <w:pPr>
        <w:pStyle w:val="ListParagraph"/>
        <w:keepLines/>
        <w:numPr>
          <w:ilvl w:val="0"/>
          <w:numId w:val="63"/>
        </w:numPr>
        <w:tabs>
          <w:tab w:val="left" w:pos="425"/>
        </w:tabs>
        <w:spacing w:before="60" w:after="60" w:line="276" w:lineRule="auto"/>
        <w:ind w:left="851"/>
        <w:contextualSpacing w:val="0"/>
        <w:rPr>
          <w:rFonts w:asciiTheme="majorBidi" w:hAnsiTheme="majorBidi" w:cstheme="majorBidi"/>
          <w:sz w:val="21"/>
          <w:szCs w:val="21"/>
        </w:rPr>
      </w:pPr>
      <w:r w:rsidRPr="004D7A72">
        <w:rPr>
          <w:rFonts w:asciiTheme="majorBidi" w:hAnsiTheme="majorBidi" w:cstheme="majorBidi"/>
          <w:sz w:val="21"/>
        </w:rPr>
        <w:t>G Alpha is a limited liability company established pursuant to the laws of the State of Delaware in the USA, on October 23, 2023.</w:t>
      </w:r>
    </w:p>
    <w:p w14:paraId="3489410F" w14:textId="77777777" w:rsidR="00213131" w:rsidRPr="004D7A72" w:rsidRDefault="00213131" w:rsidP="004D7A72">
      <w:pPr>
        <w:pStyle w:val="ListParagraph"/>
        <w:keepLines/>
        <w:numPr>
          <w:ilvl w:val="0"/>
          <w:numId w:val="63"/>
        </w:numPr>
        <w:tabs>
          <w:tab w:val="left" w:pos="425"/>
        </w:tabs>
        <w:spacing w:before="60" w:after="60" w:line="276" w:lineRule="auto"/>
        <w:ind w:left="851"/>
        <w:contextualSpacing w:val="0"/>
        <w:rPr>
          <w:rFonts w:asciiTheme="majorBidi" w:hAnsiTheme="majorBidi" w:cstheme="majorBidi"/>
          <w:sz w:val="21"/>
          <w:szCs w:val="21"/>
        </w:rPr>
      </w:pPr>
      <w:r w:rsidRPr="004D7A72">
        <w:rPr>
          <w:rFonts w:asciiTheme="majorBidi" w:hAnsiTheme="majorBidi" w:cstheme="majorBidi"/>
          <w:sz w:val="21"/>
        </w:rPr>
        <w:t>G Alpha engages, through companies under its control, in the management of income-generating mixed-use real estate properties, including for commercial and residential rental uses, in densely populated urban areas in large cities in the US, mainly in New York, Boston, and Miami, and as at reporting date, it owns 6 income-generating properties.</w:t>
      </w:r>
    </w:p>
    <w:p w14:paraId="1091AD9A" w14:textId="77777777" w:rsidR="00213131" w:rsidRPr="004D7A72" w:rsidRDefault="00213131" w:rsidP="004D7A72">
      <w:pPr>
        <w:pStyle w:val="ListParagraph"/>
        <w:keepLines/>
        <w:numPr>
          <w:ilvl w:val="0"/>
          <w:numId w:val="63"/>
        </w:numPr>
        <w:tabs>
          <w:tab w:val="left" w:pos="425"/>
        </w:tabs>
        <w:spacing w:before="60" w:after="60" w:line="276" w:lineRule="auto"/>
        <w:ind w:left="851"/>
        <w:contextualSpacing w:val="0"/>
        <w:rPr>
          <w:rFonts w:asciiTheme="majorBidi" w:hAnsiTheme="majorBidi" w:cstheme="majorBidi"/>
          <w:sz w:val="21"/>
          <w:szCs w:val="21"/>
        </w:rPr>
      </w:pPr>
      <w:r w:rsidRPr="004D7A72">
        <w:rPr>
          <w:rFonts w:asciiTheme="majorBidi" w:hAnsiTheme="majorBidi" w:cstheme="majorBidi"/>
          <w:sz w:val="21"/>
        </w:rPr>
        <w:t>On February 4, 2024, Gazit Horizons Inc., which holds the entire capital of G Alpha, transferred to G Alpha its entire holdings in 6 wholly-owned private companies, each of which owns an income-generating property.</w:t>
      </w:r>
    </w:p>
    <w:p w14:paraId="3FBD958F" w14:textId="77777777" w:rsidR="00213131" w:rsidRPr="004D7A72" w:rsidRDefault="00213131" w:rsidP="004D7A72">
      <w:pPr>
        <w:pStyle w:val="ListParagraph"/>
        <w:keepLines/>
        <w:numPr>
          <w:ilvl w:val="0"/>
          <w:numId w:val="63"/>
        </w:numPr>
        <w:tabs>
          <w:tab w:val="left" w:pos="425"/>
        </w:tabs>
        <w:spacing w:before="60" w:after="60" w:line="276" w:lineRule="auto"/>
        <w:ind w:left="851"/>
        <w:contextualSpacing w:val="0"/>
        <w:rPr>
          <w:rFonts w:asciiTheme="majorBidi" w:hAnsiTheme="majorBidi" w:cstheme="majorBidi"/>
          <w:sz w:val="21"/>
          <w:szCs w:val="21"/>
        </w:rPr>
      </w:pPr>
      <w:r w:rsidRPr="004D7A72">
        <w:rPr>
          <w:rFonts w:asciiTheme="majorBidi" w:hAnsiTheme="majorBidi" w:cstheme="majorBidi"/>
          <w:sz w:val="21"/>
        </w:rPr>
        <w:t>Due to the establishment of G Alpha on October 23, 2023 and the transfer of the private companies to it as aforesaid, G Alpha prepared these condensed consolidated financial statements pursuant to the provisions of Regulations 9A and 38B of the Securities Regulations (Periodic and Immediate Reports) 1970, which reflect the results of G Alpha’s consolidated operations, as though the consolidated companies that were transferred to it were consolidated in its financial statements in the said periods. All the comparable data and financial information presented above that refer to a period prior to the transfer of the private companies to it, are proforma information.</w:t>
      </w:r>
    </w:p>
    <w:p w14:paraId="671F53A8" w14:textId="77777777" w:rsidR="00213131" w:rsidRPr="004D7A72" w:rsidRDefault="00213131" w:rsidP="004D7A72">
      <w:pPr>
        <w:pStyle w:val="ListParagraph"/>
        <w:keepNext/>
        <w:keepLines/>
        <w:numPr>
          <w:ilvl w:val="3"/>
          <w:numId w:val="56"/>
        </w:numPr>
        <w:tabs>
          <w:tab w:val="left" w:pos="425"/>
          <w:tab w:val="left" w:pos="1133"/>
        </w:tabs>
        <w:spacing w:before="60" w:after="60" w:line="276" w:lineRule="auto"/>
        <w:ind w:left="0" w:firstLine="0"/>
        <w:contextualSpacing w:val="0"/>
        <w:outlineLvl w:val="0"/>
        <w:rPr>
          <w:rFonts w:asciiTheme="majorBidi" w:hAnsiTheme="majorBidi" w:cstheme="majorBidi"/>
          <w:sz w:val="21"/>
          <w:szCs w:val="21"/>
        </w:rPr>
      </w:pPr>
      <w:r w:rsidRPr="004D7A72">
        <w:rPr>
          <w:rFonts w:asciiTheme="majorBidi" w:hAnsiTheme="majorBidi" w:cstheme="majorBidi"/>
          <w:sz w:val="21"/>
        </w:rPr>
        <w:t>Significant Accounting Policies</w:t>
      </w:r>
    </w:p>
    <w:p w14:paraId="37D94386" w14:textId="77777777" w:rsidR="00213131" w:rsidRPr="004D7A72" w:rsidRDefault="00213131" w:rsidP="00213131">
      <w:pPr>
        <w:pStyle w:val="ListParagraph"/>
        <w:keepLines/>
        <w:tabs>
          <w:tab w:val="left" w:pos="425"/>
        </w:tabs>
        <w:ind w:left="426"/>
        <w:contextualSpacing w:val="0"/>
        <w:outlineLvl w:val="0"/>
        <w:rPr>
          <w:rFonts w:asciiTheme="majorBidi" w:hAnsiTheme="majorBidi" w:cstheme="majorBidi"/>
          <w:sz w:val="21"/>
          <w:szCs w:val="21"/>
        </w:rPr>
      </w:pPr>
      <w:r w:rsidRPr="004D7A72">
        <w:rPr>
          <w:rFonts w:asciiTheme="majorBidi" w:hAnsiTheme="majorBidi" w:cstheme="majorBidi"/>
          <w:sz w:val="21"/>
        </w:rPr>
        <w:t>The main accounting policies that were applied in the financial statements attributable to G Alpha are consistent with those applied in the preparation of these consolidated financial statements.</w:t>
      </w:r>
    </w:p>
    <w:p w14:paraId="2500504F" w14:textId="77777777" w:rsidR="00213131" w:rsidRPr="004D7A72" w:rsidRDefault="00213131" w:rsidP="004D7A72">
      <w:pPr>
        <w:pStyle w:val="ListParagraph"/>
        <w:keepNext/>
        <w:keepLines/>
        <w:numPr>
          <w:ilvl w:val="3"/>
          <w:numId w:val="56"/>
        </w:numPr>
        <w:tabs>
          <w:tab w:val="left" w:pos="425"/>
          <w:tab w:val="left" w:pos="1133"/>
        </w:tabs>
        <w:spacing w:before="60" w:after="60" w:line="276" w:lineRule="auto"/>
        <w:ind w:left="0" w:firstLine="0"/>
        <w:contextualSpacing w:val="0"/>
        <w:outlineLvl w:val="0"/>
        <w:rPr>
          <w:rFonts w:asciiTheme="majorBidi" w:hAnsiTheme="majorBidi" w:cstheme="majorBidi"/>
          <w:sz w:val="21"/>
          <w:szCs w:val="21"/>
        </w:rPr>
      </w:pPr>
      <w:r w:rsidRPr="004D7A72">
        <w:rPr>
          <w:rFonts w:asciiTheme="majorBidi" w:hAnsiTheme="majorBidi" w:cstheme="majorBidi"/>
          <w:sz w:val="21"/>
        </w:rPr>
        <w:t>Proforma assumptions</w:t>
      </w:r>
    </w:p>
    <w:p w14:paraId="1815BE5E" w14:textId="77777777" w:rsidR="00213131" w:rsidRPr="004D7A72" w:rsidRDefault="00213131" w:rsidP="004D7A72">
      <w:pPr>
        <w:pStyle w:val="ListParagraph"/>
        <w:keepLines/>
        <w:numPr>
          <w:ilvl w:val="0"/>
          <w:numId w:val="64"/>
        </w:numPr>
        <w:spacing w:before="60" w:after="60" w:line="276" w:lineRule="auto"/>
        <w:ind w:left="851" w:hanging="284"/>
        <w:contextualSpacing w:val="0"/>
        <w:rPr>
          <w:rFonts w:asciiTheme="majorBidi" w:hAnsiTheme="majorBidi" w:cstheme="majorBidi"/>
          <w:sz w:val="21"/>
          <w:szCs w:val="21"/>
        </w:rPr>
      </w:pPr>
      <w:r w:rsidRPr="004D7A72">
        <w:rPr>
          <w:rFonts w:asciiTheme="majorBidi" w:hAnsiTheme="majorBidi" w:cstheme="majorBidi"/>
          <w:sz w:val="21"/>
        </w:rPr>
        <w:t>All the comparable data and financial information that relate to a period prior to the transfer of the private companies to it, are proforma information.</w:t>
      </w:r>
    </w:p>
    <w:p w14:paraId="1534E38F" w14:textId="77777777" w:rsidR="00213131" w:rsidRPr="004D7A72" w:rsidRDefault="00213131" w:rsidP="004D7A72">
      <w:pPr>
        <w:pStyle w:val="ListParagraph"/>
        <w:keepLines/>
        <w:numPr>
          <w:ilvl w:val="0"/>
          <w:numId w:val="64"/>
        </w:numPr>
        <w:spacing w:before="60" w:after="60" w:line="276" w:lineRule="auto"/>
        <w:ind w:left="851" w:hanging="284"/>
        <w:contextualSpacing w:val="0"/>
        <w:rPr>
          <w:rFonts w:asciiTheme="majorBidi" w:hAnsiTheme="majorBidi" w:cstheme="majorBidi"/>
          <w:sz w:val="21"/>
          <w:szCs w:val="21"/>
        </w:rPr>
      </w:pPr>
      <w:r w:rsidRPr="004D7A72">
        <w:rPr>
          <w:rFonts w:asciiTheme="majorBidi" w:hAnsiTheme="majorBidi" w:cstheme="majorBidi"/>
          <w:sz w:val="21"/>
        </w:rPr>
        <w:t>The financial information is presented in order to reflect the financial position, profit or loss and cash flows attributable to G Alpha as if it had existed and as if its consolidated companies were consolidated in its statements in the presented periods.</w:t>
      </w:r>
    </w:p>
    <w:p w14:paraId="290A9C66" w14:textId="77777777" w:rsidR="00213131" w:rsidRPr="004D7A72" w:rsidRDefault="00213131" w:rsidP="004D7A72">
      <w:pPr>
        <w:pStyle w:val="ListParagraph"/>
        <w:keepLines/>
        <w:numPr>
          <w:ilvl w:val="0"/>
          <w:numId w:val="64"/>
        </w:numPr>
        <w:spacing w:before="60" w:after="60" w:line="276" w:lineRule="auto"/>
        <w:ind w:left="851" w:hanging="284"/>
        <w:contextualSpacing w:val="0"/>
        <w:rPr>
          <w:rFonts w:asciiTheme="majorBidi" w:hAnsiTheme="majorBidi" w:cstheme="majorBidi"/>
          <w:sz w:val="21"/>
          <w:szCs w:val="21"/>
        </w:rPr>
      </w:pPr>
      <w:r w:rsidRPr="004D7A72">
        <w:rPr>
          <w:rFonts w:asciiTheme="majorBidi" w:hAnsiTheme="majorBidi" w:cstheme="majorBidi"/>
          <w:sz w:val="21"/>
        </w:rPr>
        <w:t>The financial information in these financial statements were consolidated into the consolidated financial statements of G City Ltd. for the relevant periods.</w:t>
      </w:r>
    </w:p>
    <w:p w14:paraId="171EB86B" w14:textId="4B0D2F2B" w:rsidR="00213131" w:rsidRPr="004D7A72" w:rsidRDefault="00213131" w:rsidP="004D7A72">
      <w:pPr>
        <w:pStyle w:val="ListParagraph"/>
        <w:keepLines/>
        <w:numPr>
          <w:ilvl w:val="0"/>
          <w:numId w:val="64"/>
        </w:numPr>
        <w:spacing w:before="60" w:after="60" w:line="276" w:lineRule="auto"/>
        <w:ind w:left="851" w:hanging="284"/>
        <w:contextualSpacing w:val="0"/>
        <w:rPr>
          <w:rFonts w:asciiTheme="majorBidi" w:hAnsiTheme="majorBidi" w:cstheme="majorBidi"/>
          <w:sz w:val="21"/>
          <w:szCs w:val="21"/>
        </w:rPr>
      </w:pPr>
      <w:r w:rsidRPr="004D7A72">
        <w:rPr>
          <w:rFonts w:asciiTheme="majorBidi" w:hAnsiTheme="majorBidi" w:cstheme="majorBidi"/>
          <w:sz w:val="21"/>
        </w:rPr>
        <w:t xml:space="preserve">The acquisition of the properties and/or the consolidated companies are reflected in these financial statements as though they were acquired by G Alpha at the time the companies and/or properties were originally acquired by Gazit Horizons Inc., and the financing of the acquisitions was by Gazit Horizons Inc. equity investments </w:t>
      </w:r>
      <w:r w:rsidR="007C54D4" w:rsidRPr="004D7A72">
        <w:rPr>
          <w:rFonts w:asciiTheme="majorBidi" w:hAnsiTheme="majorBidi" w:cstheme="majorBidi"/>
          <w:sz w:val="21"/>
        </w:rPr>
        <w:t>in G</w:t>
      </w:r>
      <w:r w:rsidRPr="004D7A72">
        <w:rPr>
          <w:rFonts w:asciiTheme="majorBidi" w:hAnsiTheme="majorBidi" w:cstheme="majorBidi"/>
          <w:sz w:val="21"/>
        </w:rPr>
        <w:t xml:space="preserve"> Alpha.</w:t>
      </w:r>
    </w:p>
    <w:p w14:paraId="10959FAA" w14:textId="77777777" w:rsidR="00213131" w:rsidRPr="004D7A72" w:rsidRDefault="00213131" w:rsidP="004D7A72">
      <w:pPr>
        <w:pStyle w:val="ListParagraph"/>
        <w:keepLines/>
        <w:numPr>
          <w:ilvl w:val="0"/>
          <w:numId w:val="64"/>
        </w:numPr>
        <w:spacing w:before="60" w:after="60" w:line="276" w:lineRule="auto"/>
        <w:ind w:left="851" w:hanging="284"/>
        <w:contextualSpacing w:val="0"/>
        <w:rPr>
          <w:rFonts w:asciiTheme="majorBidi" w:hAnsiTheme="majorBidi" w:cstheme="majorBidi"/>
          <w:sz w:val="21"/>
          <w:szCs w:val="21"/>
        </w:rPr>
      </w:pPr>
      <w:bookmarkStart w:id="173" w:name="_Hlk152755830"/>
      <w:r w:rsidRPr="004D7A72">
        <w:rPr>
          <w:rFonts w:asciiTheme="majorBidi" w:hAnsiTheme="majorBidi" w:cstheme="majorBidi"/>
          <w:sz w:val="21"/>
        </w:rPr>
        <w:t>G Alpha and Gazit Horizons Inc. are consolidated for income tax purposes in the United States with their parent company, MGN USA Inc. (“MGN”), and the tax obligations apply to MGN, and therefore there are no income tax effects in the Company’s books.</w:t>
      </w:r>
      <w:bookmarkEnd w:id="173"/>
    </w:p>
    <w:p w14:paraId="571AF879" w14:textId="77777777" w:rsidR="00213131" w:rsidRPr="004D7A72" w:rsidRDefault="00213131" w:rsidP="00213131">
      <w:pPr>
        <w:keepNext/>
        <w:pageBreakBefore/>
        <w:tabs>
          <w:tab w:val="left" w:pos="-4254"/>
        </w:tabs>
        <w:contextualSpacing/>
        <w:outlineLvl w:val="3"/>
        <w:rPr>
          <w:rFonts w:asciiTheme="majorBidi" w:hAnsiTheme="majorBidi" w:cstheme="majorBidi"/>
          <w:b/>
          <w:bCs/>
          <w:sz w:val="21"/>
          <w:szCs w:val="21"/>
        </w:rPr>
      </w:pPr>
      <w:bookmarkStart w:id="174" w:name="RG_MARKER_56869"/>
      <w:bookmarkStart w:id="175" w:name="RG_MARKER_56870"/>
      <w:bookmarkStart w:id="176" w:name="H4_באור_60Note_מגזרי_פעילות_2"/>
      <w:bookmarkEnd w:id="174"/>
      <w:bookmarkEnd w:id="175"/>
      <w:r w:rsidRPr="004D7A72">
        <w:rPr>
          <w:rFonts w:asciiTheme="majorBidi" w:hAnsiTheme="majorBidi" w:cstheme="majorBidi"/>
          <w:b/>
          <w:sz w:val="21"/>
        </w:rPr>
        <w:lastRenderedPageBreak/>
        <w:t xml:space="preserve">Note 8 - Condensed Financial Information of CH </w:t>
      </w:r>
      <w:proofErr w:type="spellStart"/>
      <w:r w:rsidRPr="004D7A72">
        <w:rPr>
          <w:rFonts w:asciiTheme="majorBidi" w:hAnsiTheme="majorBidi" w:cstheme="majorBidi"/>
          <w:b/>
          <w:sz w:val="21"/>
        </w:rPr>
        <w:t>Targowek</w:t>
      </w:r>
      <w:proofErr w:type="spellEnd"/>
      <w:r w:rsidRPr="004D7A72">
        <w:rPr>
          <w:rFonts w:asciiTheme="majorBidi" w:hAnsiTheme="majorBidi" w:cstheme="majorBidi"/>
          <w:b/>
          <w:sz w:val="21"/>
        </w:rPr>
        <w:t xml:space="preserve">  </w:t>
      </w:r>
      <w:bookmarkEnd w:id="176"/>
    </w:p>
    <w:p w14:paraId="40BB313E" w14:textId="77777777" w:rsidR="00213131" w:rsidRPr="004D7A72" w:rsidRDefault="00213131" w:rsidP="00213131">
      <w:pPr>
        <w:keepNext/>
        <w:keepLines/>
        <w:tabs>
          <w:tab w:val="left" w:pos="425"/>
          <w:tab w:val="left" w:pos="1700"/>
          <w:tab w:val="left" w:pos="1789"/>
          <w:tab w:val="left" w:pos="1842"/>
          <w:tab w:val="left" w:pos="2267"/>
          <w:tab w:val="left" w:pos="2409"/>
        </w:tabs>
        <w:rPr>
          <w:rFonts w:asciiTheme="majorBidi" w:hAnsiTheme="majorBidi" w:cstheme="majorBidi"/>
          <w:sz w:val="21"/>
          <w:szCs w:val="21"/>
        </w:rPr>
      </w:pPr>
      <w:r w:rsidRPr="004D7A72">
        <w:rPr>
          <w:rFonts w:asciiTheme="majorBidi" w:hAnsiTheme="majorBidi" w:cstheme="majorBidi"/>
          <w:sz w:val="21"/>
        </w:rPr>
        <w:t xml:space="preserve">In July 2024, the Company issued to the public NIS 645 million par value Debentures (Series T) that are secured, among other things, by a first degree mortgage on the full interests of CH </w:t>
      </w:r>
      <w:proofErr w:type="spellStart"/>
      <w:r w:rsidRPr="004D7A72">
        <w:rPr>
          <w:rFonts w:asciiTheme="majorBidi" w:hAnsiTheme="majorBidi" w:cstheme="majorBidi"/>
          <w:sz w:val="21"/>
        </w:rPr>
        <w:t>Targowek</w:t>
      </w:r>
      <w:proofErr w:type="spellEnd"/>
      <w:r w:rsidRPr="004D7A72">
        <w:rPr>
          <w:rFonts w:asciiTheme="majorBidi" w:hAnsiTheme="majorBidi" w:cstheme="majorBidi"/>
          <w:sz w:val="21"/>
        </w:rPr>
        <w:t xml:space="preserve"> (a wholly owned subsidiary, indirectly, of the Company; the “Property Company”) in a commercial property known as the </w:t>
      </w:r>
      <w:proofErr w:type="spellStart"/>
      <w:r w:rsidRPr="004D7A72">
        <w:rPr>
          <w:rFonts w:asciiTheme="majorBidi" w:hAnsiTheme="majorBidi" w:cstheme="majorBidi"/>
          <w:sz w:val="21"/>
        </w:rPr>
        <w:t>Targowek</w:t>
      </w:r>
      <w:proofErr w:type="spellEnd"/>
      <w:r w:rsidRPr="004D7A72">
        <w:rPr>
          <w:rFonts w:asciiTheme="majorBidi" w:hAnsiTheme="majorBidi" w:cstheme="majorBidi"/>
          <w:sz w:val="21"/>
        </w:rPr>
        <w:t xml:space="preserve"> Shopping Center (“</w:t>
      </w:r>
      <w:proofErr w:type="spellStart"/>
      <w:r w:rsidRPr="004D7A72">
        <w:rPr>
          <w:rFonts w:asciiTheme="majorBidi" w:hAnsiTheme="majorBidi" w:cstheme="majorBidi"/>
          <w:sz w:val="21"/>
        </w:rPr>
        <w:t>Targowek</w:t>
      </w:r>
      <w:proofErr w:type="spellEnd"/>
      <w:r w:rsidRPr="004D7A72">
        <w:rPr>
          <w:rFonts w:asciiTheme="majorBidi" w:hAnsiTheme="majorBidi" w:cstheme="majorBidi"/>
          <w:sz w:val="21"/>
        </w:rPr>
        <w:t>”) and the accompanying rights, as well as a single lien on the bank account that was established and held by the Property Company, and a lien on the shares of the Property Company, as well as on the shareholders’ loan that was provided for it (for further information see Note 5D above).</w:t>
      </w:r>
    </w:p>
    <w:p w14:paraId="685CF7F4" w14:textId="77777777" w:rsidR="00213131" w:rsidRPr="004D7A72" w:rsidRDefault="00213131" w:rsidP="00213131">
      <w:pPr>
        <w:pStyle w:val="ListParagraph"/>
        <w:keepNext/>
        <w:keepLines/>
        <w:tabs>
          <w:tab w:val="left" w:pos="425"/>
          <w:tab w:val="left" w:pos="1700"/>
          <w:tab w:val="left" w:pos="1789"/>
          <w:tab w:val="left" w:pos="1842"/>
          <w:tab w:val="left" w:pos="2267"/>
          <w:tab w:val="left" w:pos="2409"/>
        </w:tabs>
        <w:ind w:left="0"/>
        <w:contextualSpacing w:val="0"/>
        <w:rPr>
          <w:rFonts w:asciiTheme="majorBidi" w:hAnsiTheme="majorBidi" w:cstheme="majorBidi"/>
          <w:sz w:val="21"/>
          <w:szCs w:val="21"/>
          <w:u w:val="single"/>
        </w:rPr>
      </w:pPr>
      <w:r w:rsidRPr="004D7A72">
        <w:rPr>
          <w:rFonts w:asciiTheme="majorBidi" w:hAnsiTheme="majorBidi" w:cstheme="majorBidi"/>
          <w:sz w:val="21"/>
          <w:u w:val="single"/>
        </w:rPr>
        <w:t>Breakdown of Condensed Financial Information of the Property Company and key notes:</w:t>
      </w:r>
    </w:p>
    <w:p w14:paraId="51A14313" w14:textId="77777777" w:rsidR="00213131" w:rsidRPr="004D7A72" w:rsidRDefault="00213131" w:rsidP="00213131">
      <w:pPr>
        <w:pStyle w:val="ListParagraph"/>
        <w:keepNext/>
        <w:keepLines/>
        <w:tabs>
          <w:tab w:val="left" w:pos="425"/>
          <w:tab w:val="left" w:pos="1700"/>
          <w:tab w:val="left" w:pos="1789"/>
          <w:tab w:val="left" w:pos="1842"/>
          <w:tab w:val="left" w:pos="2267"/>
          <w:tab w:val="left" w:pos="2409"/>
        </w:tabs>
        <w:ind w:left="0"/>
        <w:contextualSpacing w:val="0"/>
        <w:rPr>
          <w:rFonts w:asciiTheme="majorBidi" w:hAnsiTheme="majorBidi" w:cstheme="majorBidi"/>
          <w:sz w:val="21"/>
          <w:szCs w:val="21"/>
        </w:rPr>
      </w:pPr>
      <w:r w:rsidRPr="004D7A72">
        <w:rPr>
          <w:rFonts w:asciiTheme="majorBidi" w:hAnsiTheme="majorBidi" w:cstheme="majorBidi"/>
          <w:sz w:val="21"/>
        </w:rPr>
        <w:t xml:space="preserve">Condensed financial information of financial position -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13131" w:rsidRPr="004D7A72" w14:paraId="3DE22EF3" w14:textId="77777777" w:rsidTr="00A65A6F">
        <w:trPr>
          <w:cantSplit/>
        </w:trPr>
        <w:tc>
          <w:tcPr>
            <w:tcW w:w="5000" w:type="pct"/>
          </w:tcPr>
          <w:tbl>
            <w:tblPr>
              <w:tblStyle w:val="CDMRange1"/>
              <w:tblW w:w="9923" w:type="dxa"/>
              <w:tblLook w:val="0600" w:firstRow="0" w:lastRow="0" w:firstColumn="0" w:lastColumn="0" w:noHBand="1" w:noVBand="1"/>
            </w:tblPr>
            <w:tblGrid>
              <w:gridCol w:w="5258"/>
              <w:gridCol w:w="1314"/>
              <w:gridCol w:w="156"/>
              <w:gridCol w:w="1314"/>
              <w:gridCol w:w="156"/>
              <w:gridCol w:w="1509"/>
            </w:tblGrid>
            <w:tr w:rsidR="00213131" w:rsidRPr="004D7A72" w14:paraId="08690620" w14:textId="77777777" w:rsidTr="00A65A6F">
              <w:trPr>
                <w:cantSplit/>
                <w:trHeight w:hRule="exact" w:val="300"/>
              </w:trPr>
              <w:tc>
                <w:tcPr>
                  <w:tcW w:w="5431" w:type="dxa"/>
                  <w:tcBorders>
                    <w:top w:val="nil"/>
                    <w:left w:val="nil"/>
                    <w:bottom w:val="nil"/>
                    <w:right w:val="nil"/>
                    <w:tl2br w:val="nil"/>
                    <w:tr2bl w:val="nil"/>
                  </w:tcBorders>
                  <w:shd w:val="clear" w:color="auto" w:fill="auto"/>
                  <w:noWrap/>
                  <w:tcMar>
                    <w:left w:w="0" w:type="dxa"/>
                    <w:right w:w="0" w:type="dxa"/>
                  </w:tcMar>
                  <w:vAlign w:val="bottom"/>
                </w:tcPr>
                <w:p w14:paraId="32971E46"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u w:val="single"/>
                    </w:rPr>
                  </w:pPr>
                </w:p>
              </w:tc>
              <w:tc>
                <w:tcPr>
                  <w:tcW w:w="1336" w:type="dxa"/>
                  <w:tcBorders>
                    <w:top w:val="nil"/>
                    <w:left w:val="nil"/>
                    <w:bottom w:val="nil"/>
                    <w:right w:val="nil"/>
                    <w:tl2br w:val="nil"/>
                    <w:tr2bl w:val="nil"/>
                  </w:tcBorders>
                  <w:shd w:val="clear" w:color="auto" w:fill="auto"/>
                  <w:noWrap/>
                  <w:tcMar>
                    <w:left w:w="0" w:type="dxa"/>
                    <w:right w:w="0" w:type="dxa"/>
                  </w:tcMar>
                  <w:vAlign w:val="bottom"/>
                </w:tcPr>
                <w:p w14:paraId="6A712C42"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u w:val="single"/>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12BBCF19"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u w:val="single"/>
                    </w:rPr>
                  </w:pPr>
                </w:p>
              </w:tc>
              <w:tc>
                <w:tcPr>
                  <w:tcW w:w="1336" w:type="dxa"/>
                  <w:tcBorders>
                    <w:top w:val="nil"/>
                    <w:left w:val="nil"/>
                    <w:bottom w:val="nil"/>
                    <w:right w:val="nil"/>
                    <w:tl2br w:val="nil"/>
                    <w:tr2bl w:val="nil"/>
                  </w:tcBorders>
                  <w:shd w:val="clear" w:color="auto" w:fill="auto"/>
                  <w:noWrap/>
                  <w:tcMar>
                    <w:left w:w="0" w:type="dxa"/>
                    <w:right w:w="0" w:type="dxa"/>
                  </w:tcMar>
                  <w:vAlign w:val="bottom"/>
                </w:tcPr>
                <w:p w14:paraId="4A04B3DE"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u w:val="single"/>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317537EC"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u w:val="single"/>
                    </w:rPr>
                  </w:pPr>
                </w:p>
              </w:tc>
              <w:tc>
                <w:tcPr>
                  <w:tcW w:w="1538" w:type="dxa"/>
                  <w:tcBorders>
                    <w:top w:val="nil"/>
                    <w:left w:val="nil"/>
                    <w:bottom w:val="nil"/>
                    <w:right w:val="nil"/>
                    <w:tl2br w:val="nil"/>
                    <w:tr2bl w:val="nil"/>
                  </w:tcBorders>
                  <w:shd w:val="clear" w:color="auto" w:fill="auto"/>
                  <w:noWrap/>
                  <w:tcMar>
                    <w:left w:w="40" w:type="dxa"/>
                    <w:right w:w="40" w:type="dxa"/>
                  </w:tcMar>
                  <w:vAlign w:val="bottom"/>
                </w:tcPr>
                <w:p w14:paraId="78EF1E44"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At</w:t>
                  </w:r>
                </w:p>
              </w:tc>
            </w:tr>
            <w:tr w:rsidR="00213131" w:rsidRPr="004D7A72" w14:paraId="7A4ED61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0" w:type="dxa"/>
                    <w:right w:w="0" w:type="dxa"/>
                  </w:tcMar>
                  <w:vAlign w:val="bottom"/>
                </w:tcPr>
                <w:p w14:paraId="401CB0FF"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2813"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27BF0965"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June 30</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66D82A9A"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538" w:type="dxa"/>
                  <w:tcBorders>
                    <w:top w:val="nil"/>
                    <w:left w:val="nil"/>
                    <w:bottom w:val="nil"/>
                    <w:right w:val="nil"/>
                    <w:tl2br w:val="nil"/>
                    <w:tr2bl w:val="nil"/>
                  </w:tcBorders>
                  <w:shd w:val="clear" w:color="auto" w:fill="auto"/>
                  <w:noWrap/>
                  <w:tcMar>
                    <w:left w:w="40" w:type="dxa"/>
                    <w:right w:w="40" w:type="dxa"/>
                  </w:tcMar>
                  <w:vAlign w:val="bottom"/>
                </w:tcPr>
                <w:p w14:paraId="0DE737A8"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December 31</w:t>
                  </w:r>
                </w:p>
              </w:tc>
            </w:tr>
            <w:tr w:rsidR="00213131" w:rsidRPr="004D7A72" w14:paraId="2DCF9A5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431" w:type="dxa"/>
                  <w:tcBorders>
                    <w:top w:val="nil"/>
                    <w:left w:val="nil"/>
                    <w:bottom w:val="nil"/>
                    <w:right w:val="nil"/>
                    <w:tl2br w:val="nil"/>
                    <w:tr2bl w:val="nil"/>
                  </w:tcBorders>
                  <w:shd w:val="clear" w:color="auto" w:fill="auto"/>
                  <w:noWrap/>
                  <w:tcMar>
                    <w:left w:w="0" w:type="dxa"/>
                    <w:right w:w="0" w:type="dxa"/>
                  </w:tcMar>
                  <w:vAlign w:val="bottom"/>
                </w:tcPr>
                <w:p w14:paraId="3D78E536"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336"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1FE17F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2024</w:t>
                  </w: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EA4647"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336"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597130C"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2023</w:t>
                  </w:r>
                </w:p>
              </w:tc>
              <w:tc>
                <w:tcPr>
                  <w:tcW w:w="141" w:type="dxa"/>
                  <w:tcBorders>
                    <w:top w:val="nil"/>
                    <w:left w:val="nil"/>
                    <w:bottom w:val="single" w:sz="4" w:space="0" w:color="000000"/>
                    <w:right w:val="nil"/>
                    <w:tl2br w:val="nil"/>
                    <w:tr2bl w:val="nil"/>
                  </w:tcBorders>
                  <w:shd w:val="clear" w:color="auto" w:fill="auto"/>
                  <w:tcMar>
                    <w:left w:w="0" w:type="dxa"/>
                    <w:right w:w="0" w:type="dxa"/>
                  </w:tcMar>
                  <w:vAlign w:val="bottom"/>
                </w:tcPr>
                <w:p w14:paraId="5FC27392"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538" w:type="dxa"/>
                  <w:tcBorders>
                    <w:top w:val="nil"/>
                    <w:left w:val="nil"/>
                    <w:bottom w:val="single" w:sz="4" w:space="0" w:color="000000"/>
                    <w:right w:val="nil"/>
                    <w:tl2br w:val="nil"/>
                    <w:tr2bl w:val="nil"/>
                  </w:tcBorders>
                  <w:shd w:val="clear" w:color="auto" w:fill="auto"/>
                  <w:tcMar>
                    <w:left w:w="40" w:type="dxa"/>
                    <w:right w:w="40" w:type="dxa"/>
                  </w:tcMar>
                  <w:vAlign w:val="bottom"/>
                </w:tcPr>
                <w:p w14:paraId="41D89B6E"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2023</w:t>
                  </w:r>
                </w:p>
              </w:tc>
            </w:tr>
            <w:tr w:rsidR="00213131" w:rsidRPr="004D7A72" w14:paraId="1736BF3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0" w:type="dxa"/>
                    <w:right w:w="0" w:type="dxa"/>
                  </w:tcMar>
                  <w:vAlign w:val="bottom"/>
                </w:tcPr>
                <w:p w14:paraId="105FB041"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4492" w:type="dxa"/>
                  <w:gridSpan w:val="5"/>
                  <w:tcBorders>
                    <w:top w:val="nil"/>
                    <w:left w:val="nil"/>
                    <w:bottom w:val="single" w:sz="4" w:space="0" w:color="000000"/>
                    <w:right w:val="nil"/>
                    <w:tl2br w:val="nil"/>
                    <w:tr2bl w:val="nil"/>
                  </w:tcBorders>
                  <w:shd w:val="clear" w:color="auto" w:fill="auto"/>
                  <w:noWrap/>
                  <w:tcMar>
                    <w:left w:w="40" w:type="dxa"/>
                    <w:right w:w="40" w:type="dxa"/>
                  </w:tcMar>
                  <w:vAlign w:val="bottom"/>
                </w:tcPr>
                <w:p w14:paraId="41F96223"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EUR thousands</w:t>
                  </w:r>
                </w:p>
              </w:tc>
            </w:tr>
            <w:tr w:rsidR="00213131" w:rsidRPr="004D7A72" w14:paraId="34DFCD0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2A528D67"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u w:val="single"/>
                    </w:rPr>
                  </w:pPr>
                  <w:r w:rsidRPr="004D7A72">
                    <w:rPr>
                      <w:rFonts w:asciiTheme="majorBidi" w:hAnsiTheme="majorBidi" w:cstheme="majorBidi"/>
                      <w:color w:val="000000"/>
                      <w:sz w:val="21"/>
                      <w:u w:val="single"/>
                    </w:rPr>
                    <w:t>Properties</w:t>
                  </w:r>
                </w:p>
              </w:tc>
              <w:tc>
                <w:tcPr>
                  <w:tcW w:w="133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077BE3"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289AA5"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33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C163FC"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25B5A8"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538"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B6B238"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r>
            <w:tr w:rsidR="00213131" w:rsidRPr="004D7A72" w14:paraId="434A341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08CA9391"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u w:val="single"/>
                    </w:rPr>
                  </w:pPr>
                  <w:r w:rsidRPr="004D7A72">
                    <w:rPr>
                      <w:rFonts w:asciiTheme="majorBidi" w:hAnsiTheme="majorBidi" w:cstheme="majorBidi"/>
                      <w:color w:val="000000"/>
                      <w:sz w:val="21"/>
                      <w:u w:val="single"/>
                    </w:rPr>
                    <w:t>Current assets</w:t>
                  </w:r>
                </w:p>
              </w:tc>
              <w:tc>
                <w:tcPr>
                  <w:tcW w:w="1336" w:type="dxa"/>
                  <w:tcBorders>
                    <w:top w:val="nil"/>
                    <w:left w:val="nil"/>
                    <w:bottom w:val="nil"/>
                    <w:right w:val="nil"/>
                    <w:tl2br w:val="nil"/>
                    <w:tr2bl w:val="nil"/>
                  </w:tcBorders>
                  <w:shd w:val="clear" w:color="auto" w:fill="auto"/>
                  <w:noWrap/>
                  <w:tcMar>
                    <w:left w:w="0" w:type="dxa"/>
                    <w:right w:w="0" w:type="dxa"/>
                  </w:tcMar>
                  <w:vAlign w:val="bottom"/>
                </w:tcPr>
                <w:p w14:paraId="5E8BD05B"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34C5131E"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336" w:type="dxa"/>
                  <w:tcBorders>
                    <w:top w:val="nil"/>
                    <w:left w:val="nil"/>
                    <w:bottom w:val="nil"/>
                    <w:right w:val="nil"/>
                    <w:tl2br w:val="nil"/>
                    <w:tr2bl w:val="nil"/>
                  </w:tcBorders>
                  <w:shd w:val="clear" w:color="auto" w:fill="auto"/>
                  <w:noWrap/>
                  <w:tcMar>
                    <w:left w:w="0" w:type="dxa"/>
                    <w:right w:w="0" w:type="dxa"/>
                  </w:tcMar>
                  <w:vAlign w:val="bottom"/>
                </w:tcPr>
                <w:p w14:paraId="077B3A7F"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1D7FD063"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538" w:type="dxa"/>
                  <w:tcBorders>
                    <w:top w:val="nil"/>
                    <w:left w:val="nil"/>
                    <w:bottom w:val="nil"/>
                    <w:right w:val="nil"/>
                    <w:tl2br w:val="nil"/>
                    <w:tr2bl w:val="nil"/>
                  </w:tcBorders>
                  <w:shd w:val="clear" w:color="auto" w:fill="auto"/>
                  <w:noWrap/>
                  <w:tcMar>
                    <w:left w:w="0" w:type="dxa"/>
                    <w:right w:w="0" w:type="dxa"/>
                  </w:tcMar>
                  <w:vAlign w:val="bottom"/>
                </w:tcPr>
                <w:p w14:paraId="4B6A2CEC"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r>
            <w:tr w:rsidR="00213131" w:rsidRPr="004D7A72" w14:paraId="26DE7FE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10BD7F2C"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Cash and cash equivalents</w:t>
                  </w:r>
                </w:p>
              </w:tc>
              <w:tc>
                <w:tcPr>
                  <w:tcW w:w="1336" w:type="dxa"/>
                  <w:tcBorders>
                    <w:top w:val="nil"/>
                    <w:left w:val="nil"/>
                    <w:bottom w:val="nil"/>
                    <w:right w:val="nil"/>
                    <w:tl2br w:val="nil"/>
                    <w:tr2bl w:val="nil"/>
                  </w:tcBorders>
                  <w:shd w:val="clear" w:color="auto" w:fill="auto"/>
                  <w:noWrap/>
                  <w:tcMar>
                    <w:left w:w="40" w:type="dxa"/>
                    <w:right w:w="235" w:type="dxa"/>
                  </w:tcMar>
                  <w:vAlign w:val="bottom"/>
                </w:tcPr>
                <w:p w14:paraId="50C4778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1,220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C2A46E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nil"/>
                    <w:right w:val="nil"/>
                    <w:tl2br w:val="nil"/>
                    <w:tr2bl w:val="nil"/>
                  </w:tcBorders>
                  <w:shd w:val="clear" w:color="auto" w:fill="auto"/>
                  <w:noWrap/>
                  <w:tcMar>
                    <w:left w:w="40" w:type="dxa"/>
                    <w:right w:w="235" w:type="dxa"/>
                  </w:tcMar>
                  <w:vAlign w:val="bottom"/>
                </w:tcPr>
                <w:p w14:paraId="1CEE724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1,934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2A37C7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nil"/>
                    <w:right w:val="nil"/>
                    <w:tl2br w:val="nil"/>
                    <w:tr2bl w:val="nil"/>
                  </w:tcBorders>
                  <w:shd w:val="clear" w:color="auto" w:fill="auto"/>
                  <w:noWrap/>
                  <w:tcMar>
                    <w:left w:w="40" w:type="dxa"/>
                    <w:right w:w="235" w:type="dxa"/>
                  </w:tcMar>
                  <w:vAlign w:val="bottom"/>
                </w:tcPr>
                <w:p w14:paraId="54E9C2AE"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1,521</w:t>
                  </w:r>
                </w:p>
              </w:tc>
            </w:tr>
            <w:tr w:rsidR="00213131" w:rsidRPr="004D7A72" w14:paraId="39B2565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40DE9B76"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Trade receivables</w:t>
                  </w:r>
                </w:p>
              </w:tc>
              <w:tc>
                <w:tcPr>
                  <w:tcW w:w="1336" w:type="dxa"/>
                  <w:tcBorders>
                    <w:top w:val="nil"/>
                    <w:left w:val="nil"/>
                    <w:bottom w:val="nil"/>
                    <w:right w:val="nil"/>
                    <w:tl2br w:val="nil"/>
                    <w:tr2bl w:val="nil"/>
                  </w:tcBorders>
                  <w:shd w:val="clear" w:color="auto" w:fill="auto"/>
                  <w:noWrap/>
                  <w:tcMar>
                    <w:left w:w="40" w:type="dxa"/>
                    <w:right w:w="235" w:type="dxa"/>
                  </w:tcMar>
                  <w:vAlign w:val="bottom"/>
                </w:tcPr>
                <w:p w14:paraId="36FEDB1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726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A27669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nil"/>
                    <w:right w:val="nil"/>
                    <w:tl2br w:val="nil"/>
                    <w:tr2bl w:val="nil"/>
                  </w:tcBorders>
                  <w:shd w:val="clear" w:color="auto" w:fill="auto"/>
                  <w:noWrap/>
                  <w:tcMar>
                    <w:left w:w="40" w:type="dxa"/>
                    <w:right w:w="235" w:type="dxa"/>
                  </w:tcMar>
                  <w:vAlign w:val="bottom"/>
                </w:tcPr>
                <w:p w14:paraId="0498281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759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C45F34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nil"/>
                    <w:right w:val="nil"/>
                    <w:tl2br w:val="nil"/>
                    <w:tr2bl w:val="nil"/>
                  </w:tcBorders>
                  <w:shd w:val="clear" w:color="auto" w:fill="auto"/>
                  <w:noWrap/>
                  <w:tcMar>
                    <w:left w:w="40" w:type="dxa"/>
                    <w:right w:w="235" w:type="dxa"/>
                  </w:tcMar>
                  <w:vAlign w:val="bottom"/>
                </w:tcPr>
                <w:p w14:paraId="0292181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885</w:t>
                  </w:r>
                </w:p>
              </w:tc>
            </w:tr>
            <w:tr w:rsidR="00213131" w:rsidRPr="004D7A72" w14:paraId="037E123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09A7EFE1"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Loans to affiliated parties</w:t>
                  </w:r>
                </w:p>
              </w:tc>
              <w:tc>
                <w:tcPr>
                  <w:tcW w:w="1336" w:type="dxa"/>
                  <w:tcBorders>
                    <w:top w:val="nil"/>
                    <w:left w:val="nil"/>
                    <w:bottom w:val="nil"/>
                    <w:right w:val="nil"/>
                    <w:tl2br w:val="nil"/>
                    <w:tr2bl w:val="nil"/>
                  </w:tcBorders>
                  <w:shd w:val="clear" w:color="auto" w:fill="auto"/>
                  <w:noWrap/>
                  <w:tcMar>
                    <w:left w:w="40" w:type="dxa"/>
                    <w:right w:w="235" w:type="dxa"/>
                  </w:tcMar>
                  <w:vAlign w:val="bottom"/>
                </w:tcPr>
                <w:p w14:paraId="0AAA36CD"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F05027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nil"/>
                    <w:right w:val="nil"/>
                    <w:tl2br w:val="nil"/>
                    <w:tr2bl w:val="nil"/>
                  </w:tcBorders>
                  <w:shd w:val="clear" w:color="auto" w:fill="auto"/>
                  <w:noWrap/>
                  <w:tcMar>
                    <w:left w:w="40" w:type="dxa"/>
                    <w:right w:w="235" w:type="dxa"/>
                  </w:tcMar>
                  <w:vAlign w:val="bottom"/>
                </w:tcPr>
                <w:p w14:paraId="3E3C0DE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3,291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0ED669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nil"/>
                    <w:right w:val="nil"/>
                    <w:tl2br w:val="nil"/>
                    <w:tr2bl w:val="nil"/>
                  </w:tcBorders>
                  <w:shd w:val="clear" w:color="auto" w:fill="auto"/>
                  <w:noWrap/>
                  <w:tcMar>
                    <w:left w:w="40" w:type="dxa"/>
                    <w:right w:w="235" w:type="dxa"/>
                  </w:tcMar>
                  <w:vAlign w:val="bottom"/>
                </w:tcPr>
                <w:p w14:paraId="4E85F11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6,565</w:t>
                  </w:r>
                </w:p>
              </w:tc>
            </w:tr>
            <w:tr w:rsidR="00213131" w:rsidRPr="004D7A72" w14:paraId="20BC58D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168C7C54"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Other receivables</w:t>
                  </w:r>
                </w:p>
              </w:tc>
              <w:tc>
                <w:tcPr>
                  <w:tcW w:w="1336"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268A618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386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5CC6F0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2ECC4A7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723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E5198C9"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4B5F43E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679</w:t>
                  </w:r>
                </w:p>
              </w:tc>
            </w:tr>
            <w:tr w:rsidR="00213131" w:rsidRPr="004D7A72" w14:paraId="47CCB3A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0" w:type="dxa"/>
                    <w:right w:w="0" w:type="dxa"/>
                  </w:tcMar>
                  <w:vAlign w:val="bottom"/>
                </w:tcPr>
                <w:p w14:paraId="74A845B4"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336"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76870D4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2,332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615B65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79FFDA39"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6,707</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763C1A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7908205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9,650</w:t>
                  </w:r>
                </w:p>
              </w:tc>
            </w:tr>
            <w:tr w:rsidR="00213131" w:rsidRPr="004D7A72" w14:paraId="09B993C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0" w:type="dxa"/>
                    <w:right w:w="0" w:type="dxa"/>
                  </w:tcMar>
                  <w:vAlign w:val="bottom"/>
                </w:tcPr>
                <w:p w14:paraId="131584DC"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33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B96A85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DC3EE5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09B3AF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E3150B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4F297E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r>
            <w:tr w:rsidR="00213131" w:rsidRPr="004D7A72" w14:paraId="35B0E83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2F6697CD"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u w:val="single"/>
                    </w:rPr>
                  </w:pPr>
                  <w:r w:rsidRPr="004D7A72">
                    <w:rPr>
                      <w:rFonts w:asciiTheme="majorBidi" w:hAnsiTheme="majorBidi" w:cstheme="majorBidi"/>
                      <w:color w:val="000000"/>
                      <w:sz w:val="21"/>
                      <w:u w:val="single"/>
                    </w:rPr>
                    <w:t>Non-current assets</w:t>
                  </w:r>
                </w:p>
              </w:tc>
              <w:tc>
                <w:tcPr>
                  <w:tcW w:w="1336" w:type="dxa"/>
                  <w:tcBorders>
                    <w:top w:val="nil"/>
                    <w:left w:val="nil"/>
                    <w:bottom w:val="nil"/>
                    <w:right w:val="nil"/>
                    <w:tl2br w:val="nil"/>
                    <w:tr2bl w:val="nil"/>
                  </w:tcBorders>
                  <w:shd w:val="clear" w:color="auto" w:fill="auto"/>
                  <w:noWrap/>
                  <w:tcMar>
                    <w:left w:w="0" w:type="dxa"/>
                    <w:right w:w="135" w:type="dxa"/>
                  </w:tcMar>
                  <w:vAlign w:val="bottom"/>
                </w:tcPr>
                <w:p w14:paraId="0DDA65E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E83D48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nil"/>
                    <w:right w:val="nil"/>
                    <w:tl2br w:val="nil"/>
                    <w:tr2bl w:val="nil"/>
                  </w:tcBorders>
                  <w:shd w:val="clear" w:color="auto" w:fill="auto"/>
                  <w:noWrap/>
                  <w:tcMar>
                    <w:left w:w="0" w:type="dxa"/>
                    <w:right w:w="135" w:type="dxa"/>
                  </w:tcMar>
                  <w:vAlign w:val="bottom"/>
                </w:tcPr>
                <w:p w14:paraId="727D7D8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344DA1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nil"/>
                    <w:right w:val="nil"/>
                    <w:tl2br w:val="nil"/>
                    <w:tr2bl w:val="nil"/>
                  </w:tcBorders>
                  <w:shd w:val="clear" w:color="auto" w:fill="auto"/>
                  <w:noWrap/>
                  <w:tcMar>
                    <w:left w:w="0" w:type="dxa"/>
                    <w:right w:w="135" w:type="dxa"/>
                  </w:tcMar>
                  <w:vAlign w:val="bottom"/>
                </w:tcPr>
                <w:p w14:paraId="136F738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r>
            <w:tr w:rsidR="00213131" w:rsidRPr="004D7A72" w14:paraId="237DDA9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5EC8CFA8"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Investment property</w:t>
                  </w:r>
                </w:p>
              </w:tc>
              <w:tc>
                <w:tcPr>
                  <w:tcW w:w="1336" w:type="dxa"/>
                  <w:tcBorders>
                    <w:top w:val="nil"/>
                    <w:left w:val="nil"/>
                    <w:bottom w:val="nil"/>
                    <w:right w:val="nil"/>
                    <w:tl2br w:val="nil"/>
                    <w:tr2bl w:val="nil"/>
                  </w:tcBorders>
                  <w:shd w:val="clear" w:color="auto" w:fill="auto"/>
                  <w:noWrap/>
                  <w:tcMar>
                    <w:left w:w="40" w:type="dxa"/>
                    <w:right w:w="235" w:type="dxa"/>
                  </w:tcMar>
                  <w:vAlign w:val="bottom"/>
                </w:tcPr>
                <w:p w14:paraId="58D345C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230,538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C28FD1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nil"/>
                    <w:right w:val="nil"/>
                    <w:tl2br w:val="nil"/>
                    <w:tr2bl w:val="nil"/>
                  </w:tcBorders>
                  <w:shd w:val="clear" w:color="auto" w:fill="auto"/>
                  <w:noWrap/>
                  <w:tcMar>
                    <w:left w:w="40" w:type="dxa"/>
                    <w:right w:w="235" w:type="dxa"/>
                  </w:tcMar>
                  <w:vAlign w:val="bottom"/>
                </w:tcPr>
                <w:p w14:paraId="0B83649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228,713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AB6653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nil"/>
                    <w:right w:val="nil"/>
                    <w:tl2br w:val="nil"/>
                    <w:tr2bl w:val="nil"/>
                  </w:tcBorders>
                  <w:shd w:val="clear" w:color="auto" w:fill="auto"/>
                  <w:noWrap/>
                  <w:tcMar>
                    <w:left w:w="40" w:type="dxa"/>
                    <w:right w:w="235" w:type="dxa"/>
                  </w:tcMar>
                  <w:vAlign w:val="bottom"/>
                </w:tcPr>
                <w:p w14:paraId="52550A6D"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230,215</w:t>
                  </w:r>
                </w:p>
              </w:tc>
            </w:tr>
            <w:tr w:rsidR="00213131" w:rsidRPr="004D7A72" w14:paraId="045C543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2E373795"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Fixed assets, net</w:t>
                  </w:r>
                </w:p>
              </w:tc>
              <w:tc>
                <w:tcPr>
                  <w:tcW w:w="1336"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175C247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4F00B8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47F6FE2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980FC4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145B0F0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22</w:t>
                  </w:r>
                </w:p>
              </w:tc>
            </w:tr>
            <w:tr w:rsidR="00213131" w:rsidRPr="004D7A72" w14:paraId="396BF88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0" w:type="dxa"/>
                    <w:right w:w="0" w:type="dxa"/>
                  </w:tcMar>
                  <w:vAlign w:val="bottom"/>
                </w:tcPr>
                <w:p w14:paraId="65177F32"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336" w:type="dxa"/>
                  <w:tcBorders>
                    <w:top w:val="single" w:sz="4" w:space="0" w:color="000000"/>
                    <w:left w:val="nil"/>
                    <w:bottom w:val="single" w:sz="4" w:space="0" w:color="000000"/>
                    <w:right w:val="nil"/>
                    <w:tl2br w:val="nil"/>
                    <w:tr2bl w:val="nil"/>
                  </w:tcBorders>
                  <w:shd w:val="clear" w:color="auto" w:fill="auto"/>
                  <w:noWrap/>
                  <w:tcMar>
                    <w:left w:w="40" w:type="dxa"/>
                    <w:right w:w="235" w:type="dxa"/>
                  </w:tcMar>
                  <w:vAlign w:val="bottom"/>
                </w:tcPr>
                <w:p w14:paraId="51778A5D"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230,558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203EC8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single" w:sz="4" w:space="0" w:color="000000"/>
                    <w:left w:val="nil"/>
                    <w:bottom w:val="single" w:sz="4" w:space="0" w:color="000000"/>
                    <w:right w:val="nil"/>
                    <w:tl2br w:val="nil"/>
                    <w:tr2bl w:val="nil"/>
                  </w:tcBorders>
                  <w:shd w:val="clear" w:color="auto" w:fill="auto"/>
                  <w:noWrap/>
                  <w:tcMar>
                    <w:left w:w="40" w:type="dxa"/>
                    <w:right w:w="235" w:type="dxa"/>
                  </w:tcMar>
                  <w:vAlign w:val="bottom"/>
                </w:tcPr>
                <w:p w14:paraId="1B95A93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228,761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78AA45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single" w:sz="4" w:space="0" w:color="000000"/>
                    <w:left w:val="nil"/>
                    <w:bottom w:val="single" w:sz="4" w:space="0" w:color="000000"/>
                    <w:right w:val="nil"/>
                    <w:tl2br w:val="nil"/>
                    <w:tr2bl w:val="nil"/>
                  </w:tcBorders>
                  <w:shd w:val="clear" w:color="auto" w:fill="auto"/>
                  <w:noWrap/>
                  <w:tcMar>
                    <w:left w:w="40" w:type="dxa"/>
                    <w:right w:w="235" w:type="dxa"/>
                  </w:tcMar>
                  <w:vAlign w:val="bottom"/>
                </w:tcPr>
                <w:p w14:paraId="7CCF57E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230,237</w:t>
                  </w:r>
                </w:p>
              </w:tc>
            </w:tr>
            <w:tr w:rsidR="00213131" w:rsidRPr="004D7A72" w14:paraId="383DEA6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0" w:type="dxa"/>
                    <w:right w:w="0" w:type="dxa"/>
                  </w:tcMar>
                  <w:vAlign w:val="bottom"/>
                </w:tcPr>
                <w:p w14:paraId="7E2A5B7C"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33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A049B5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DC7EC4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9C18A2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0DD28B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F700A09"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r>
            <w:tr w:rsidR="00213131" w:rsidRPr="004D7A72" w14:paraId="563EE30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3A55C031"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u w:val="single"/>
                    </w:rPr>
                  </w:pPr>
                  <w:r w:rsidRPr="004D7A72">
                    <w:rPr>
                      <w:rFonts w:asciiTheme="majorBidi" w:hAnsiTheme="majorBidi" w:cstheme="majorBidi"/>
                      <w:color w:val="000000"/>
                      <w:sz w:val="21"/>
                      <w:u w:val="single"/>
                    </w:rPr>
                    <w:t>Total assets</w:t>
                  </w:r>
                </w:p>
              </w:tc>
              <w:tc>
                <w:tcPr>
                  <w:tcW w:w="1336" w:type="dxa"/>
                  <w:tcBorders>
                    <w:top w:val="nil"/>
                    <w:left w:val="nil"/>
                    <w:bottom w:val="double" w:sz="6" w:space="0" w:color="000000"/>
                    <w:right w:val="nil"/>
                    <w:tl2br w:val="nil"/>
                    <w:tr2bl w:val="nil"/>
                  </w:tcBorders>
                  <w:shd w:val="clear" w:color="auto" w:fill="auto"/>
                  <w:noWrap/>
                  <w:tcMar>
                    <w:left w:w="40" w:type="dxa"/>
                    <w:right w:w="235" w:type="dxa"/>
                  </w:tcMar>
                  <w:vAlign w:val="bottom"/>
                </w:tcPr>
                <w:p w14:paraId="06BAE4AE"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232,890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AE3A89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double" w:sz="6" w:space="0" w:color="000000"/>
                    <w:right w:val="nil"/>
                    <w:tl2br w:val="nil"/>
                    <w:tr2bl w:val="nil"/>
                  </w:tcBorders>
                  <w:shd w:val="clear" w:color="auto" w:fill="auto"/>
                  <w:noWrap/>
                  <w:tcMar>
                    <w:left w:w="40" w:type="dxa"/>
                    <w:right w:w="235" w:type="dxa"/>
                  </w:tcMar>
                  <w:vAlign w:val="bottom"/>
                </w:tcPr>
                <w:p w14:paraId="1AC8CB8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235,468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435E0B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double" w:sz="6" w:space="0" w:color="000000"/>
                    <w:right w:val="nil"/>
                    <w:tl2br w:val="nil"/>
                    <w:tr2bl w:val="nil"/>
                  </w:tcBorders>
                  <w:shd w:val="clear" w:color="auto" w:fill="auto"/>
                  <w:noWrap/>
                  <w:tcMar>
                    <w:left w:w="40" w:type="dxa"/>
                    <w:right w:w="235" w:type="dxa"/>
                  </w:tcMar>
                  <w:vAlign w:val="bottom"/>
                </w:tcPr>
                <w:p w14:paraId="41FB06C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239,887</w:t>
                  </w:r>
                </w:p>
              </w:tc>
            </w:tr>
            <w:tr w:rsidR="00213131" w:rsidRPr="004D7A72" w14:paraId="2B24743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0" w:type="dxa"/>
                    <w:right w:w="0" w:type="dxa"/>
                  </w:tcMar>
                  <w:vAlign w:val="bottom"/>
                </w:tcPr>
                <w:p w14:paraId="4598068A"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33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43FC029"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CBBD18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C6283A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A61ACC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02E4BF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r>
            <w:tr w:rsidR="00213131" w:rsidRPr="004D7A72" w14:paraId="2C35C52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308AE14F"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u w:val="single"/>
                    </w:rPr>
                  </w:pPr>
                  <w:r w:rsidRPr="004D7A72">
                    <w:rPr>
                      <w:rFonts w:asciiTheme="majorBidi" w:hAnsiTheme="majorBidi" w:cstheme="majorBidi"/>
                      <w:color w:val="000000"/>
                      <w:sz w:val="21"/>
                      <w:u w:val="single"/>
                    </w:rPr>
                    <w:t>Liabilities and Equity</w:t>
                  </w:r>
                </w:p>
              </w:tc>
              <w:tc>
                <w:tcPr>
                  <w:tcW w:w="1336" w:type="dxa"/>
                  <w:tcBorders>
                    <w:top w:val="nil"/>
                    <w:left w:val="nil"/>
                    <w:bottom w:val="nil"/>
                    <w:right w:val="nil"/>
                    <w:tl2br w:val="nil"/>
                    <w:tr2bl w:val="nil"/>
                  </w:tcBorders>
                  <w:shd w:val="clear" w:color="auto" w:fill="auto"/>
                  <w:noWrap/>
                  <w:tcMar>
                    <w:left w:w="0" w:type="dxa"/>
                    <w:right w:w="135" w:type="dxa"/>
                  </w:tcMar>
                  <w:vAlign w:val="bottom"/>
                </w:tcPr>
                <w:p w14:paraId="5AF2552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DBAE2D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nil"/>
                    <w:right w:val="nil"/>
                    <w:tl2br w:val="nil"/>
                    <w:tr2bl w:val="nil"/>
                  </w:tcBorders>
                  <w:shd w:val="clear" w:color="auto" w:fill="auto"/>
                  <w:noWrap/>
                  <w:tcMar>
                    <w:left w:w="0" w:type="dxa"/>
                    <w:right w:w="135" w:type="dxa"/>
                  </w:tcMar>
                  <w:vAlign w:val="bottom"/>
                </w:tcPr>
                <w:p w14:paraId="259D01C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3595D6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nil"/>
                    <w:right w:val="nil"/>
                    <w:tl2br w:val="nil"/>
                    <w:tr2bl w:val="nil"/>
                  </w:tcBorders>
                  <w:shd w:val="clear" w:color="auto" w:fill="auto"/>
                  <w:noWrap/>
                  <w:tcMar>
                    <w:left w:w="0" w:type="dxa"/>
                    <w:right w:w="135" w:type="dxa"/>
                  </w:tcMar>
                  <w:vAlign w:val="bottom"/>
                </w:tcPr>
                <w:p w14:paraId="6660D77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r>
            <w:tr w:rsidR="00213131" w:rsidRPr="004D7A72" w14:paraId="5A9448A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25D9E887"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u w:val="single"/>
                    </w:rPr>
                  </w:pPr>
                  <w:r w:rsidRPr="004D7A72">
                    <w:rPr>
                      <w:rFonts w:asciiTheme="majorBidi" w:hAnsiTheme="majorBidi" w:cstheme="majorBidi"/>
                      <w:color w:val="000000"/>
                      <w:sz w:val="21"/>
                      <w:u w:val="single"/>
                    </w:rPr>
                    <w:t>Current liabilities</w:t>
                  </w:r>
                </w:p>
              </w:tc>
              <w:tc>
                <w:tcPr>
                  <w:tcW w:w="1336" w:type="dxa"/>
                  <w:tcBorders>
                    <w:top w:val="nil"/>
                    <w:left w:val="nil"/>
                    <w:bottom w:val="nil"/>
                    <w:right w:val="nil"/>
                    <w:tl2br w:val="nil"/>
                    <w:tr2bl w:val="nil"/>
                  </w:tcBorders>
                  <w:shd w:val="clear" w:color="auto" w:fill="auto"/>
                  <w:noWrap/>
                  <w:tcMar>
                    <w:left w:w="0" w:type="dxa"/>
                    <w:right w:w="135" w:type="dxa"/>
                  </w:tcMar>
                  <w:vAlign w:val="bottom"/>
                </w:tcPr>
                <w:p w14:paraId="33BA37B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9F85BE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nil"/>
                    <w:right w:val="nil"/>
                    <w:tl2br w:val="nil"/>
                    <w:tr2bl w:val="nil"/>
                  </w:tcBorders>
                  <w:shd w:val="clear" w:color="auto" w:fill="auto"/>
                  <w:noWrap/>
                  <w:tcMar>
                    <w:left w:w="0" w:type="dxa"/>
                    <w:right w:w="135" w:type="dxa"/>
                  </w:tcMar>
                  <w:vAlign w:val="bottom"/>
                </w:tcPr>
                <w:p w14:paraId="17EB2A8E"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3CC377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nil"/>
                    <w:right w:val="nil"/>
                    <w:tl2br w:val="nil"/>
                    <w:tr2bl w:val="nil"/>
                  </w:tcBorders>
                  <w:shd w:val="clear" w:color="auto" w:fill="auto"/>
                  <w:noWrap/>
                  <w:tcMar>
                    <w:left w:w="0" w:type="dxa"/>
                    <w:right w:w="135" w:type="dxa"/>
                  </w:tcMar>
                  <w:vAlign w:val="bottom"/>
                </w:tcPr>
                <w:p w14:paraId="3C77CA2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r>
            <w:tr w:rsidR="00213131" w:rsidRPr="004D7A72" w14:paraId="3764BDD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431" w:type="dxa"/>
                  <w:tcBorders>
                    <w:top w:val="nil"/>
                    <w:left w:val="nil"/>
                    <w:bottom w:val="nil"/>
                    <w:right w:val="nil"/>
                    <w:tl2br w:val="nil"/>
                    <w:tr2bl w:val="nil"/>
                  </w:tcBorders>
                  <w:shd w:val="clear" w:color="auto" w:fill="auto"/>
                  <w:tcMar>
                    <w:left w:w="40" w:type="dxa"/>
                    <w:right w:w="40" w:type="dxa"/>
                  </w:tcMar>
                  <w:vAlign w:val="bottom"/>
                </w:tcPr>
                <w:p w14:paraId="05B36DB6"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Trade payables and service providers</w:t>
                  </w:r>
                </w:p>
              </w:tc>
              <w:tc>
                <w:tcPr>
                  <w:tcW w:w="1336" w:type="dxa"/>
                  <w:tcBorders>
                    <w:top w:val="nil"/>
                    <w:left w:val="nil"/>
                    <w:bottom w:val="nil"/>
                    <w:right w:val="nil"/>
                    <w:tl2br w:val="nil"/>
                    <w:tr2bl w:val="nil"/>
                  </w:tcBorders>
                  <w:shd w:val="clear" w:color="auto" w:fill="auto"/>
                  <w:noWrap/>
                  <w:tcMar>
                    <w:left w:w="40" w:type="dxa"/>
                    <w:right w:w="235" w:type="dxa"/>
                  </w:tcMar>
                  <w:vAlign w:val="bottom"/>
                </w:tcPr>
                <w:p w14:paraId="4F84801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201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932A2D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nil"/>
                    <w:right w:val="nil"/>
                    <w:tl2br w:val="nil"/>
                    <w:tr2bl w:val="nil"/>
                  </w:tcBorders>
                  <w:shd w:val="clear" w:color="auto" w:fill="auto"/>
                  <w:noWrap/>
                  <w:tcMar>
                    <w:left w:w="40" w:type="dxa"/>
                    <w:right w:w="235" w:type="dxa"/>
                  </w:tcMar>
                  <w:vAlign w:val="bottom"/>
                </w:tcPr>
                <w:p w14:paraId="169DB33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338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AF1767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nil"/>
                    <w:right w:val="nil"/>
                    <w:tl2br w:val="nil"/>
                    <w:tr2bl w:val="nil"/>
                  </w:tcBorders>
                  <w:shd w:val="clear" w:color="auto" w:fill="auto"/>
                  <w:noWrap/>
                  <w:tcMar>
                    <w:left w:w="40" w:type="dxa"/>
                    <w:right w:w="235" w:type="dxa"/>
                  </w:tcMar>
                  <w:vAlign w:val="bottom"/>
                </w:tcPr>
                <w:p w14:paraId="5C5B58A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214</w:t>
                  </w:r>
                </w:p>
              </w:tc>
            </w:tr>
            <w:tr w:rsidR="00213131" w:rsidRPr="004D7A72" w14:paraId="5470A3B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431" w:type="dxa"/>
                  <w:tcBorders>
                    <w:top w:val="nil"/>
                    <w:left w:val="nil"/>
                    <w:bottom w:val="nil"/>
                    <w:right w:val="nil"/>
                    <w:tl2br w:val="nil"/>
                    <w:tr2bl w:val="nil"/>
                  </w:tcBorders>
                  <w:shd w:val="clear" w:color="auto" w:fill="auto"/>
                  <w:tcMar>
                    <w:left w:w="40" w:type="dxa"/>
                    <w:right w:w="40" w:type="dxa"/>
                  </w:tcMar>
                  <w:vAlign w:val="bottom"/>
                </w:tcPr>
                <w:p w14:paraId="2ED372F1"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Other payables</w:t>
                  </w:r>
                </w:p>
              </w:tc>
              <w:tc>
                <w:tcPr>
                  <w:tcW w:w="1336" w:type="dxa"/>
                  <w:tcBorders>
                    <w:top w:val="nil"/>
                    <w:left w:val="nil"/>
                    <w:bottom w:val="nil"/>
                    <w:right w:val="nil"/>
                    <w:tl2br w:val="nil"/>
                    <w:tr2bl w:val="nil"/>
                  </w:tcBorders>
                  <w:shd w:val="clear" w:color="auto" w:fill="auto"/>
                  <w:noWrap/>
                  <w:tcMar>
                    <w:left w:w="40" w:type="dxa"/>
                    <w:right w:w="235" w:type="dxa"/>
                  </w:tcMar>
                  <w:vAlign w:val="bottom"/>
                </w:tcPr>
                <w:p w14:paraId="00ED43D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2,324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9517DF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nil"/>
                    <w:right w:val="nil"/>
                    <w:tl2br w:val="nil"/>
                    <w:tr2bl w:val="nil"/>
                  </w:tcBorders>
                  <w:shd w:val="clear" w:color="auto" w:fill="auto"/>
                  <w:noWrap/>
                  <w:tcMar>
                    <w:left w:w="40" w:type="dxa"/>
                    <w:right w:w="235" w:type="dxa"/>
                  </w:tcMar>
                  <w:vAlign w:val="bottom"/>
                </w:tcPr>
                <w:p w14:paraId="3659DF7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2,559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0DEDE2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nil"/>
                    <w:right w:val="nil"/>
                    <w:tl2br w:val="nil"/>
                    <w:tr2bl w:val="nil"/>
                  </w:tcBorders>
                  <w:shd w:val="clear" w:color="auto" w:fill="auto"/>
                  <w:noWrap/>
                  <w:tcMar>
                    <w:left w:w="40" w:type="dxa"/>
                    <w:right w:w="235" w:type="dxa"/>
                  </w:tcMar>
                  <w:vAlign w:val="bottom"/>
                </w:tcPr>
                <w:p w14:paraId="70FDD21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2,024</w:t>
                  </w:r>
                </w:p>
              </w:tc>
            </w:tr>
            <w:tr w:rsidR="00213131" w:rsidRPr="004D7A72" w14:paraId="70F2E56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0045F06A"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Short term liability with respect to leases</w:t>
                  </w:r>
                </w:p>
              </w:tc>
              <w:tc>
                <w:tcPr>
                  <w:tcW w:w="1336"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1624BDD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215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A92D45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0DE8040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207</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8EF02A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244472C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215</w:t>
                  </w:r>
                </w:p>
              </w:tc>
            </w:tr>
            <w:tr w:rsidR="00213131" w:rsidRPr="004D7A72" w14:paraId="25C392B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431" w:type="dxa"/>
                  <w:tcBorders>
                    <w:top w:val="nil"/>
                    <w:left w:val="nil"/>
                    <w:bottom w:val="nil"/>
                    <w:right w:val="nil"/>
                    <w:tl2br w:val="nil"/>
                    <w:tr2bl w:val="nil"/>
                  </w:tcBorders>
                  <w:shd w:val="clear" w:color="auto" w:fill="auto"/>
                  <w:tcMar>
                    <w:left w:w="0" w:type="dxa"/>
                    <w:right w:w="0" w:type="dxa"/>
                  </w:tcMar>
                  <w:vAlign w:val="bottom"/>
                </w:tcPr>
                <w:p w14:paraId="31569E0B"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336"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62F9E3B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2,740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7A29809"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23AF6AF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3,105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BA7231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75FA7E1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2,453</w:t>
                  </w:r>
                </w:p>
              </w:tc>
            </w:tr>
            <w:tr w:rsidR="00213131" w:rsidRPr="004D7A72" w14:paraId="46A49B9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5AE155F8"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u w:val="single"/>
                    </w:rPr>
                  </w:pPr>
                  <w:r w:rsidRPr="004D7A72">
                    <w:rPr>
                      <w:rFonts w:asciiTheme="majorBidi" w:hAnsiTheme="majorBidi" w:cstheme="majorBidi"/>
                      <w:color w:val="000000"/>
                      <w:sz w:val="21"/>
                      <w:u w:val="single"/>
                    </w:rPr>
                    <w:t>Non-current liabilities</w:t>
                  </w:r>
                </w:p>
              </w:tc>
              <w:tc>
                <w:tcPr>
                  <w:tcW w:w="133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1ABE7D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AEA917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3DAE14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F00A42D"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6A72E3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r>
            <w:tr w:rsidR="00213131" w:rsidRPr="004D7A72" w14:paraId="18F24B2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33F2D99C"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Loans from affiliated parties</w:t>
                  </w:r>
                </w:p>
              </w:tc>
              <w:tc>
                <w:tcPr>
                  <w:tcW w:w="1336" w:type="dxa"/>
                  <w:tcBorders>
                    <w:top w:val="nil"/>
                    <w:left w:val="nil"/>
                    <w:bottom w:val="nil"/>
                    <w:right w:val="nil"/>
                    <w:tl2br w:val="nil"/>
                    <w:tr2bl w:val="nil"/>
                  </w:tcBorders>
                  <w:shd w:val="clear" w:color="auto" w:fill="auto"/>
                  <w:noWrap/>
                  <w:tcMar>
                    <w:left w:w="40" w:type="dxa"/>
                    <w:right w:w="235" w:type="dxa"/>
                  </w:tcMar>
                  <w:vAlign w:val="bottom"/>
                </w:tcPr>
                <w:p w14:paraId="06930E0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69,213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28D68D9"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nil"/>
                    <w:right w:val="nil"/>
                    <w:tl2br w:val="nil"/>
                    <w:tr2bl w:val="nil"/>
                  </w:tcBorders>
                  <w:shd w:val="clear" w:color="auto" w:fill="auto"/>
                  <w:noWrap/>
                  <w:tcMar>
                    <w:left w:w="40" w:type="dxa"/>
                    <w:right w:w="235" w:type="dxa"/>
                  </w:tcMar>
                  <w:vAlign w:val="bottom"/>
                </w:tcPr>
                <w:p w14:paraId="15FC2BE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71,427</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62D9D1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nil"/>
                    <w:right w:val="nil"/>
                    <w:tl2br w:val="nil"/>
                    <w:tr2bl w:val="nil"/>
                  </w:tcBorders>
                  <w:shd w:val="clear" w:color="auto" w:fill="auto"/>
                  <w:noWrap/>
                  <w:tcMar>
                    <w:left w:w="40" w:type="dxa"/>
                    <w:right w:w="235" w:type="dxa"/>
                  </w:tcMar>
                  <w:vAlign w:val="bottom"/>
                </w:tcPr>
                <w:p w14:paraId="1EF0DA4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73,063</w:t>
                  </w:r>
                </w:p>
              </w:tc>
            </w:tr>
            <w:tr w:rsidR="00213131" w:rsidRPr="004D7A72" w14:paraId="387B95B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2239F8F4"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Other liabilities</w:t>
                  </w:r>
                </w:p>
              </w:tc>
              <w:tc>
                <w:tcPr>
                  <w:tcW w:w="1336"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25105DB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9,759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FE719D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5FD7B62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9,271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1730C9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65B6FFAE"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9,410</w:t>
                  </w:r>
                </w:p>
              </w:tc>
            </w:tr>
            <w:tr w:rsidR="00213131" w:rsidRPr="004D7A72" w14:paraId="084F2F0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0" w:type="dxa"/>
                    <w:right w:w="0" w:type="dxa"/>
                  </w:tcMar>
                  <w:vAlign w:val="bottom"/>
                </w:tcPr>
                <w:p w14:paraId="782C8A90" w14:textId="77777777" w:rsidR="00213131" w:rsidRPr="004D7A72" w:rsidRDefault="00213131" w:rsidP="00A65A6F">
                  <w:pPr>
                    <w:keepNext/>
                    <w:spacing w:before="0" w:after="0"/>
                    <w:jc w:val="left"/>
                    <w:rPr>
                      <w:rFonts w:asciiTheme="majorBidi" w:eastAsia="Arial" w:hAnsiTheme="majorBidi" w:cstheme="majorBidi"/>
                      <w:color w:val="000000"/>
                    </w:rPr>
                  </w:pPr>
                </w:p>
              </w:tc>
              <w:tc>
                <w:tcPr>
                  <w:tcW w:w="1336"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5FCCAFC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78,972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A80035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2C0CF43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80,698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80223D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5525057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82,473</w:t>
                  </w:r>
                </w:p>
              </w:tc>
            </w:tr>
            <w:tr w:rsidR="00213131" w:rsidRPr="004D7A72" w14:paraId="3BBA5E1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0" w:type="dxa"/>
                    <w:right w:w="0" w:type="dxa"/>
                  </w:tcMar>
                  <w:vAlign w:val="bottom"/>
                </w:tcPr>
                <w:p w14:paraId="60CAD024"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33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F9FD74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213D09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D34D62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F07F4E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F4B02E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r>
            <w:tr w:rsidR="00213131" w:rsidRPr="004D7A72" w14:paraId="193D9EA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77B83E7E"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Equity attributable to equity holders of the Company</w:t>
                  </w:r>
                </w:p>
              </w:tc>
              <w:tc>
                <w:tcPr>
                  <w:tcW w:w="1336"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7242531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151,178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579B79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59845ABE"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151,665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59A0AD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419F599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154,961</w:t>
                  </w:r>
                </w:p>
              </w:tc>
            </w:tr>
            <w:tr w:rsidR="00213131" w:rsidRPr="004D7A72" w14:paraId="45527DC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0" w:type="dxa"/>
                    <w:right w:w="0" w:type="dxa"/>
                  </w:tcMar>
                  <w:vAlign w:val="bottom"/>
                </w:tcPr>
                <w:p w14:paraId="6BFC0C23"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33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F6A7FA5" w14:textId="77777777" w:rsidR="00213131" w:rsidRPr="004D7A72" w:rsidRDefault="00213131" w:rsidP="00A65A6F">
                  <w:pPr>
                    <w:keepNext/>
                    <w:spacing w:before="0" w:after="0"/>
                    <w:jc w:val="right"/>
                    <w:rPr>
                      <w:rFonts w:asciiTheme="majorBidi" w:eastAsia="Calibri" w:hAnsiTheme="majorBidi" w:cstheme="majorBidi"/>
                      <w:color w:val="000000"/>
                      <w:sz w:val="22"/>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3AFAA31" w14:textId="77777777" w:rsidR="00213131" w:rsidRPr="004D7A72" w:rsidRDefault="00213131" w:rsidP="00A65A6F">
                  <w:pPr>
                    <w:keepNext/>
                    <w:spacing w:before="0" w:after="0"/>
                    <w:jc w:val="right"/>
                    <w:rPr>
                      <w:rFonts w:asciiTheme="majorBidi" w:eastAsia="Calibri" w:hAnsiTheme="majorBidi" w:cstheme="majorBidi"/>
                      <w:color w:val="000000"/>
                      <w:sz w:val="22"/>
                    </w:rPr>
                  </w:pPr>
                </w:p>
              </w:tc>
              <w:tc>
                <w:tcPr>
                  <w:tcW w:w="1336"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520FE0E" w14:textId="77777777" w:rsidR="00213131" w:rsidRPr="004D7A72" w:rsidRDefault="00213131" w:rsidP="00A65A6F">
                  <w:pPr>
                    <w:keepNext/>
                    <w:spacing w:before="0" w:after="0"/>
                    <w:jc w:val="right"/>
                    <w:rPr>
                      <w:rFonts w:asciiTheme="majorBidi" w:eastAsia="Calibri" w:hAnsiTheme="majorBidi" w:cstheme="majorBidi"/>
                      <w:color w:val="000000"/>
                      <w:sz w:val="22"/>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DBF3A6C" w14:textId="77777777" w:rsidR="00213131" w:rsidRPr="004D7A72" w:rsidRDefault="00213131" w:rsidP="00A65A6F">
                  <w:pPr>
                    <w:keepNext/>
                    <w:spacing w:before="0" w:after="0"/>
                    <w:jc w:val="right"/>
                    <w:rPr>
                      <w:rFonts w:asciiTheme="majorBidi" w:eastAsia="Calibri" w:hAnsiTheme="majorBidi" w:cstheme="majorBidi"/>
                      <w:color w:val="000000"/>
                      <w:sz w:val="22"/>
                    </w:rPr>
                  </w:pPr>
                </w:p>
              </w:tc>
              <w:tc>
                <w:tcPr>
                  <w:tcW w:w="1538"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C312B2F" w14:textId="77777777" w:rsidR="00213131" w:rsidRPr="004D7A72" w:rsidRDefault="00213131" w:rsidP="00A65A6F">
                  <w:pPr>
                    <w:keepNext/>
                    <w:spacing w:before="0" w:after="0"/>
                    <w:jc w:val="right"/>
                    <w:rPr>
                      <w:rFonts w:asciiTheme="majorBidi" w:eastAsia="Calibri" w:hAnsiTheme="majorBidi" w:cstheme="majorBidi"/>
                      <w:color w:val="000000"/>
                      <w:sz w:val="22"/>
                    </w:rPr>
                  </w:pPr>
                </w:p>
              </w:tc>
            </w:tr>
            <w:tr w:rsidR="00213131" w:rsidRPr="004D7A72" w14:paraId="6464D1E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431" w:type="dxa"/>
                  <w:tcBorders>
                    <w:top w:val="nil"/>
                    <w:left w:val="nil"/>
                    <w:bottom w:val="nil"/>
                    <w:right w:val="nil"/>
                    <w:tl2br w:val="nil"/>
                    <w:tr2bl w:val="nil"/>
                  </w:tcBorders>
                  <w:shd w:val="clear" w:color="auto" w:fill="auto"/>
                  <w:noWrap/>
                  <w:tcMar>
                    <w:left w:w="40" w:type="dxa"/>
                    <w:right w:w="40" w:type="dxa"/>
                  </w:tcMar>
                  <w:vAlign w:val="bottom"/>
                </w:tcPr>
                <w:p w14:paraId="08AFC44A"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Total equity and liabilities</w:t>
                  </w:r>
                </w:p>
              </w:tc>
              <w:tc>
                <w:tcPr>
                  <w:tcW w:w="1336" w:type="dxa"/>
                  <w:tcBorders>
                    <w:top w:val="nil"/>
                    <w:left w:val="nil"/>
                    <w:bottom w:val="double" w:sz="6" w:space="0" w:color="000000"/>
                    <w:right w:val="nil"/>
                    <w:tl2br w:val="nil"/>
                    <w:tr2bl w:val="nil"/>
                  </w:tcBorders>
                  <w:shd w:val="clear" w:color="auto" w:fill="auto"/>
                  <w:noWrap/>
                  <w:tcMar>
                    <w:left w:w="40" w:type="dxa"/>
                    <w:right w:w="235" w:type="dxa"/>
                  </w:tcMar>
                  <w:vAlign w:val="bottom"/>
                </w:tcPr>
                <w:p w14:paraId="5A09F69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232,890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B44EE8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336" w:type="dxa"/>
                  <w:tcBorders>
                    <w:top w:val="nil"/>
                    <w:left w:val="nil"/>
                    <w:bottom w:val="double" w:sz="6" w:space="0" w:color="000000"/>
                    <w:right w:val="nil"/>
                    <w:tl2br w:val="nil"/>
                    <w:tr2bl w:val="nil"/>
                  </w:tcBorders>
                  <w:shd w:val="clear" w:color="auto" w:fill="auto"/>
                  <w:noWrap/>
                  <w:tcMar>
                    <w:left w:w="40" w:type="dxa"/>
                    <w:right w:w="235" w:type="dxa"/>
                  </w:tcMar>
                  <w:vAlign w:val="bottom"/>
                </w:tcPr>
                <w:p w14:paraId="2E802A7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235,468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5EA7E5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538" w:type="dxa"/>
                  <w:tcBorders>
                    <w:top w:val="nil"/>
                    <w:left w:val="nil"/>
                    <w:bottom w:val="double" w:sz="6" w:space="0" w:color="000000"/>
                    <w:right w:val="nil"/>
                    <w:tl2br w:val="nil"/>
                    <w:tr2bl w:val="nil"/>
                  </w:tcBorders>
                  <w:shd w:val="clear" w:color="auto" w:fill="auto"/>
                  <w:noWrap/>
                  <w:tcMar>
                    <w:left w:w="40" w:type="dxa"/>
                    <w:right w:w="235" w:type="dxa"/>
                  </w:tcMar>
                  <w:vAlign w:val="bottom"/>
                </w:tcPr>
                <w:p w14:paraId="0FFC7D6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239,887</w:t>
                  </w:r>
                </w:p>
              </w:tc>
            </w:tr>
          </w:tbl>
          <w:p w14:paraId="0AD58F2C" w14:textId="77777777" w:rsidR="00213131" w:rsidRPr="004D7A72" w:rsidRDefault="00213131" w:rsidP="00A65A6F">
            <w:pPr>
              <w:rPr>
                <w:rFonts w:asciiTheme="majorBidi" w:hAnsiTheme="majorBidi" w:cstheme="majorBidi"/>
              </w:rPr>
            </w:pPr>
          </w:p>
        </w:tc>
      </w:tr>
    </w:tbl>
    <w:p w14:paraId="29300150" w14:textId="77777777" w:rsidR="00213131" w:rsidRPr="004D7A72" w:rsidRDefault="00213131" w:rsidP="00213131">
      <w:pPr>
        <w:pageBreakBefore/>
        <w:pBdr>
          <w:top w:val="nil"/>
          <w:left w:val="nil"/>
          <w:bottom w:val="nil"/>
          <w:right w:val="nil"/>
          <w:between w:val="nil"/>
          <w:bar w:val="nil"/>
        </w:pBdr>
        <w:tabs>
          <w:tab w:val="left" w:pos="-4254"/>
        </w:tabs>
        <w:contextualSpacing/>
        <w:outlineLvl w:val="3"/>
        <w:rPr>
          <w:rFonts w:asciiTheme="majorBidi" w:eastAsia="Calibri" w:hAnsiTheme="majorBidi" w:cstheme="majorBidi"/>
          <w:b/>
          <w:bCs/>
          <w:sz w:val="21"/>
          <w:szCs w:val="21"/>
        </w:rPr>
      </w:pPr>
      <w:r w:rsidRPr="004D7A72">
        <w:rPr>
          <w:rFonts w:asciiTheme="majorBidi" w:hAnsiTheme="majorBidi" w:cstheme="majorBidi"/>
          <w:b/>
          <w:sz w:val="21"/>
        </w:rPr>
        <w:lastRenderedPageBreak/>
        <w:t xml:space="preserve">Note 8 - Condensed Financial Information of CH </w:t>
      </w:r>
      <w:proofErr w:type="spellStart"/>
      <w:r w:rsidRPr="004D7A72">
        <w:rPr>
          <w:rFonts w:asciiTheme="majorBidi" w:hAnsiTheme="majorBidi" w:cstheme="majorBidi"/>
          <w:b/>
          <w:sz w:val="21"/>
        </w:rPr>
        <w:t>Targowek</w:t>
      </w:r>
      <w:proofErr w:type="spellEnd"/>
      <w:r w:rsidRPr="004D7A72">
        <w:rPr>
          <w:rFonts w:asciiTheme="majorBidi" w:hAnsiTheme="majorBidi" w:cstheme="majorBidi"/>
          <w:b/>
          <w:sz w:val="21"/>
        </w:rPr>
        <w:t xml:space="preserve"> (contd.)</w:t>
      </w:r>
    </w:p>
    <w:p w14:paraId="31AF1628" w14:textId="77777777" w:rsidR="00213131" w:rsidRPr="004D7A72" w:rsidRDefault="00213131" w:rsidP="00213131">
      <w:pPr>
        <w:pStyle w:val="ListParagraph"/>
        <w:keepLines/>
        <w:tabs>
          <w:tab w:val="left" w:pos="425"/>
          <w:tab w:val="left" w:pos="1133"/>
          <w:tab w:val="left" w:pos="1700"/>
          <w:tab w:val="left" w:pos="1789"/>
          <w:tab w:val="left" w:pos="1842"/>
          <w:tab w:val="left" w:pos="2267"/>
          <w:tab w:val="left" w:pos="2409"/>
        </w:tabs>
        <w:ind w:left="0"/>
        <w:contextualSpacing w:val="0"/>
        <w:rPr>
          <w:rFonts w:asciiTheme="majorBidi" w:eastAsia="Calibri" w:hAnsiTheme="majorBidi" w:cstheme="majorBidi"/>
          <w:b/>
          <w:bCs/>
          <w:sz w:val="21"/>
          <w:szCs w:val="21"/>
        </w:rPr>
      </w:pPr>
      <w:r w:rsidRPr="004D7A72">
        <w:rPr>
          <w:rFonts w:asciiTheme="majorBidi" w:hAnsiTheme="majorBidi" w:cstheme="majorBidi"/>
          <w:sz w:val="21"/>
        </w:rPr>
        <w:t>Condensed financial information of comprehensive income or loss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13131" w:rsidRPr="004D7A72" w14:paraId="747D99D5" w14:textId="77777777" w:rsidTr="00A65A6F">
        <w:trPr>
          <w:cantSplit/>
        </w:trPr>
        <w:tc>
          <w:tcPr>
            <w:tcW w:w="5000" w:type="pct"/>
          </w:tcPr>
          <w:tbl>
            <w:tblPr>
              <w:tblStyle w:val="CDMRange2"/>
              <w:tblW w:w="9707" w:type="dxa"/>
              <w:tblLook w:val="0600" w:firstRow="0" w:lastRow="0" w:firstColumn="0" w:lastColumn="0" w:noHBand="1" w:noVBand="1"/>
            </w:tblPr>
            <w:tblGrid>
              <w:gridCol w:w="3442"/>
              <w:gridCol w:w="875"/>
              <w:gridCol w:w="441"/>
              <w:gridCol w:w="873"/>
              <w:gridCol w:w="440"/>
              <w:gridCol w:w="873"/>
              <w:gridCol w:w="440"/>
              <w:gridCol w:w="873"/>
              <w:gridCol w:w="405"/>
              <w:gridCol w:w="80"/>
              <w:gridCol w:w="965"/>
            </w:tblGrid>
            <w:tr w:rsidR="00213131" w:rsidRPr="004D7A72" w14:paraId="2D32569D" w14:textId="77777777" w:rsidTr="00E35106">
              <w:trPr>
                <w:cantSplit/>
                <w:trHeight w:hRule="exact" w:val="300"/>
              </w:trPr>
              <w:tc>
                <w:tcPr>
                  <w:tcW w:w="3507" w:type="dxa"/>
                  <w:tcBorders>
                    <w:top w:val="nil"/>
                    <w:left w:val="nil"/>
                    <w:bottom w:val="nil"/>
                    <w:right w:val="nil"/>
                    <w:tl2br w:val="nil"/>
                    <w:tr2bl w:val="nil"/>
                  </w:tcBorders>
                  <w:shd w:val="clear" w:color="auto" w:fill="auto"/>
                  <w:noWrap/>
                  <w:tcMar>
                    <w:left w:w="0" w:type="dxa"/>
                    <w:right w:w="0" w:type="dxa"/>
                  </w:tcMar>
                  <w:vAlign w:val="bottom"/>
                </w:tcPr>
                <w:p w14:paraId="24F1C9EF"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6200" w:type="dxa"/>
                  <w:gridSpan w:val="10"/>
                  <w:tcBorders>
                    <w:top w:val="nil"/>
                    <w:left w:val="nil"/>
                    <w:bottom w:val="nil"/>
                    <w:right w:val="nil"/>
                    <w:tl2br w:val="nil"/>
                    <w:tr2bl w:val="nil"/>
                  </w:tcBorders>
                  <w:shd w:val="clear" w:color="auto" w:fill="auto"/>
                  <w:noWrap/>
                  <w:tcMar>
                    <w:left w:w="0" w:type="dxa"/>
                    <w:right w:w="0" w:type="dxa"/>
                  </w:tcMar>
                  <w:vAlign w:val="bottom"/>
                </w:tcPr>
                <w:p w14:paraId="6ADCA1A6"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p>
              </w:tc>
            </w:tr>
            <w:tr w:rsidR="00213131" w:rsidRPr="004D7A72" w14:paraId="781BC642"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0"/>
              </w:trPr>
              <w:tc>
                <w:tcPr>
                  <w:tcW w:w="3507" w:type="dxa"/>
                  <w:tcBorders>
                    <w:top w:val="nil"/>
                    <w:left w:val="nil"/>
                    <w:bottom w:val="nil"/>
                    <w:right w:val="nil"/>
                    <w:tl2br w:val="nil"/>
                    <w:tr2bl w:val="nil"/>
                  </w:tcBorders>
                  <w:shd w:val="clear" w:color="auto" w:fill="auto"/>
                  <w:noWrap/>
                  <w:tcMar>
                    <w:left w:w="0" w:type="dxa"/>
                    <w:right w:w="0" w:type="dxa"/>
                  </w:tcMar>
                  <w:vAlign w:val="bottom"/>
                </w:tcPr>
                <w:p w14:paraId="7F31A1DE"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2171"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2E1BC3E0"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 xml:space="preserve">Six months ended </w:t>
                  </w:r>
                </w:p>
                <w:p w14:paraId="7A363686"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June 30</w:t>
                  </w:r>
                </w:p>
              </w:tc>
              <w:tc>
                <w:tcPr>
                  <w:tcW w:w="4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CD69DD5" w14:textId="77777777" w:rsidR="00213131" w:rsidRPr="004D7A72" w:rsidRDefault="00213131" w:rsidP="00A65A6F">
                  <w:pPr>
                    <w:spacing w:before="0" w:after="0"/>
                    <w:jc w:val="left"/>
                    <w:rPr>
                      <w:rFonts w:asciiTheme="majorBidi" w:eastAsia="Ploni ML Medium AAA Medium" w:hAnsiTheme="majorBidi" w:cstheme="majorBidi"/>
                      <w:b/>
                      <w:color w:val="000000"/>
                      <w:sz w:val="21"/>
                    </w:rPr>
                  </w:pPr>
                </w:p>
              </w:tc>
              <w:tc>
                <w:tcPr>
                  <w:tcW w:w="2169"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20719E44"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 xml:space="preserve">Three months ended </w:t>
                  </w:r>
                </w:p>
                <w:p w14:paraId="41D15EC9"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June 30</w:t>
                  </w:r>
                </w:p>
              </w:tc>
              <w:tc>
                <w:tcPr>
                  <w:tcW w:w="259"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82E14D2" w14:textId="77777777" w:rsidR="00213131" w:rsidRPr="004D7A72" w:rsidRDefault="00213131" w:rsidP="00A65A6F">
                  <w:pPr>
                    <w:spacing w:before="0" w:after="0"/>
                    <w:jc w:val="left"/>
                    <w:rPr>
                      <w:rFonts w:asciiTheme="majorBidi" w:eastAsia="Ploni ML Medium AAA Medium" w:hAnsiTheme="majorBidi" w:cstheme="majorBidi"/>
                      <w:b/>
                      <w:color w:val="000000"/>
                      <w:sz w:val="21"/>
                    </w:rPr>
                  </w:pPr>
                </w:p>
              </w:tc>
              <w:tc>
                <w:tcPr>
                  <w:tcW w:w="1176" w:type="dxa"/>
                  <w:gridSpan w:val="2"/>
                  <w:tcBorders>
                    <w:top w:val="nil"/>
                    <w:left w:val="nil"/>
                    <w:bottom w:val="single" w:sz="4" w:space="0" w:color="000000"/>
                    <w:right w:val="nil"/>
                    <w:tl2br w:val="nil"/>
                    <w:tr2bl w:val="nil"/>
                  </w:tcBorders>
                  <w:shd w:val="clear" w:color="auto" w:fill="auto"/>
                  <w:tcMar>
                    <w:left w:w="40" w:type="dxa"/>
                    <w:right w:w="40" w:type="dxa"/>
                  </w:tcMar>
                  <w:vAlign w:val="bottom"/>
                </w:tcPr>
                <w:p w14:paraId="3AE180ED"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Year ended December 31</w:t>
                  </w:r>
                </w:p>
              </w:tc>
            </w:tr>
            <w:tr w:rsidR="00213131" w:rsidRPr="004D7A72" w14:paraId="4CD4C71A"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507" w:type="dxa"/>
                  <w:tcBorders>
                    <w:top w:val="nil"/>
                    <w:left w:val="nil"/>
                    <w:bottom w:val="nil"/>
                    <w:right w:val="nil"/>
                    <w:tl2br w:val="nil"/>
                    <w:tr2bl w:val="nil"/>
                  </w:tcBorders>
                  <w:shd w:val="clear" w:color="auto" w:fill="auto"/>
                  <w:noWrap/>
                  <w:tcMar>
                    <w:left w:w="0" w:type="dxa"/>
                    <w:right w:w="0" w:type="dxa"/>
                  </w:tcMar>
                  <w:vAlign w:val="bottom"/>
                </w:tcPr>
                <w:p w14:paraId="5C91BABA"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873"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DB54903"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2024</w:t>
                  </w:r>
                </w:p>
              </w:tc>
              <w:tc>
                <w:tcPr>
                  <w:tcW w:w="42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BED0F5"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p>
              </w:tc>
              <w:tc>
                <w:tcPr>
                  <w:tcW w:w="87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9630AD0"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2023</w:t>
                  </w:r>
                </w:p>
              </w:tc>
              <w:tc>
                <w:tcPr>
                  <w:tcW w:w="4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A2B629"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p>
              </w:tc>
              <w:tc>
                <w:tcPr>
                  <w:tcW w:w="87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833329D"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2024</w:t>
                  </w:r>
                </w:p>
              </w:tc>
              <w:tc>
                <w:tcPr>
                  <w:tcW w:w="4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F298448"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p>
              </w:tc>
              <w:tc>
                <w:tcPr>
                  <w:tcW w:w="87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6C4906E"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2023</w:t>
                  </w:r>
                </w:p>
              </w:tc>
              <w:tc>
                <w:tcPr>
                  <w:tcW w:w="259"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E59060"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p>
              </w:tc>
              <w:tc>
                <w:tcPr>
                  <w:tcW w:w="1176" w:type="dxa"/>
                  <w:gridSpan w:val="2"/>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AE06022"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2023</w:t>
                  </w:r>
                </w:p>
              </w:tc>
            </w:tr>
            <w:tr w:rsidR="00213131" w:rsidRPr="004D7A72" w14:paraId="3CD0408C"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507" w:type="dxa"/>
                  <w:tcBorders>
                    <w:top w:val="nil"/>
                    <w:left w:val="nil"/>
                    <w:bottom w:val="nil"/>
                    <w:right w:val="nil"/>
                    <w:tl2br w:val="nil"/>
                    <w:tr2bl w:val="nil"/>
                  </w:tcBorders>
                  <w:shd w:val="clear" w:color="auto" w:fill="auto"/>
                  <w:noWrap/>
                  <w:tcMar>
                    <w:left w:w="0" w:type="dxa"/>
                    <w:right w:w="0" w:type="dxa"/>
                  </w:tcMar>
                  <w:vAlign w:val="bottom"/>
                </w:tcPr>
                <w:p w14:paraId="19E7069E"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6200" w:type="dxa"/>
                  <w:gridSpan w:val="10"/>
                  <w:tcBorders>
                    <w:top w:val="nil"/>
                    <w:left w:val="nil"/>
                    <w:bottom w:val="single" w:sz="4" w:space="0" w:color="000000"/>
                    <w:right w:val="nil"/>
                    <w:tl2br w:val="nil"/>
                    <w:tr2bl w:val="nil"/>
                  </w:tcBorders>
                  <w:shd w:val="clear" w:color="auto" w:fill="auto"/>
                  <w:noWrap/>
                  <w:tcMar>
                    <w:left w:w="40" w:type="dxa"/>
                    <w:right w:w="40" w:type="dxa"/>
                  </w:tcMar>
                  <w:vAlign w:val="bottom"/>
                </w:tcPr>
                <w:p w14:paraId="4EF58A87" w14:textId="77777777" w:rsidR="00213131" w:rsidRPr="004D7A72" w:rsidRDefault="00213131" w:rsidP="00A65A6F">
                  <w:pPr>
                    <w:spacing w:before="0" w:after="0"/>
                    <w:jc w:val="center"/>
                    <w:rPr>
                      <w:rFonts w:asciiTheme="majorBidi" w:eastAsia="Ploni ML Medium AAA Medium" w:hAnsiTheme="majorBidi" w:cstheme="majorBidi"/>
                      <w:b/>
                      <w:color w:val="000000"/>
                      <w:sz w:val="21"/>
                    </w:rPr>
                  </w:pPr>
                  <w:r w:rsidRPr="004D7A72">
                    <w:rPr>
                      <w:rFonts w:asciiTheme="majorBidi" w:hAnsiTheme="majorBidi" w:cstheme="majorBidi"/>
                      <w:b/>
                      <w:color w:val="000000"/>
                      <w:sz w:val="21"/>
                    </w:rPr>
                    <w:t>EUR thousands</w:t>
                  </w:r>
                </w:p>
              </w:tc>
            </w:tr>
            <w:tr w:rsidR="00213131" w:rsidRPr="004D7A72" w14:paraId="3B01A1F1"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507" w:type="dxa"/>
                  <w:tcBorders>
                    <w:top w:val="nil"/>
                    <w:left w:val="nil"/>
                    <w:bottom w:val="nil"/>
                    <w:right w:val="nil"/>
                    <w:tl2br w:val="nil"/>
                    <w:tr2bl w:val="nil"/>
                  </w:tcBorders>
                  <w:shd w:val="clear" w:color="auto" w:fill="auto"/>
                  <w:noWrap/>
                  <w:tcMar>
                    <w:left w:w="0" w:type="dxa"/>
                    <w:right w:w="0" w:type="dxa"/>
                  </w:tcMar>
                  <w:vAlign w:val="bottom"/>
                </w:tcPr>
                <w:p w14:paraId="1C491D18"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873"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EDDA37"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42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D9482C"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872"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B291CE"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4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90732A"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872"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9ED83D"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4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DA8F07"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872"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ADC47B"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259"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575A5A"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1176"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57322D53"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r>
            <w:tr w:rsidR="00213131" w:rsidRPr="004D7A72" w14:paraId="74A2AEDF"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507" w:type="dxa"/>
                  <w:tcBorders>
                    <w:top w:val="nil"/>
                    <w:left w:val="nil"/>
                    <w:bottom w:val="nil"/>
                    <w:right w:val="nil"/>
                    <w:tl2br w:val="nil"/>
                    <w:tr2bl w:val="nil"/>
                  </w:tcBorders>
                  <w:shd w:val="clear" w:color="auto" w:fill="auto"/>
                  <w:tcMar>
                    <w:left w:w="40" w:type="dxa"/>
                    <w:right w:w="40" w:type="dxa"/>
                  </w:tcMar>
                  <w:vAlign w:val="center"/>
                </w:tcPr>
                <w:p w14:paraId="48AE7DC1"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Rental and other income</w:t>
                  </w:r>
                </w:p>
              </w:tc>
              <w:tc>
                <w:tcPr>
                  <w:tcW w:w="873" w:type="dxa"/>
                  <w:tcBorders>
                    <w:top w:val="nil"/>
                    <w:left w:val="nil"/>
                    <w:bottom w:val="nil"/>
                    <w:right w:val="nil"/>
                    <w:tl2br w:val="nil"/>
                    <w:tr2bl w:val="nil"/>
                  </w:tcBorders>
                  <w:shd w:val="clear" w:color="auto" w:fill="auto"/>
                  <w:noWrap/>
                  <w:tcMar>
                    <w:left w:w="40" w:type="dxa"/>
                    <w:right w:w="235" w:type="dxa"/>
                  </w:tcMar>
                  <w:vAlign w:val="bottom"/>
                </w:tcPr>
                <w:p w14:paraId="691B41D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8,729</w:t>
                  </w:r>
                </w:p>
              </w:tc>
              <w:tc>
                <w:tcPr>
                  <w:tcW w:w="426" w:type="dxa"/>
                  <w:tcBorders>
                    <w:top w:val="nil"/>
                    <w:left w:val="nil"/>
                    <w:bottom w:val="nil"/>
                    <w:right w:val="nil"/>
                    <w:tl2br w:val="nil"/>
                    <w:tr2bl w:val="nil"/>
                  </w:tcBorders>
                  <w:shd w:val="clear" w:color="auto" w:fill="auto"/>
                  <w:noWrap/>
                  <w:tcMar>
                    <w:left w:w="0" w:type="dxa"/>
                    <w:right w:w="405" w:type="dxa"/>
                  </w:tcMar>
                  <w:vAlign w:val="bottom"/>
                </w:tcPr>
                <w:p w14:paraId="55B977B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40" w:type="dxa"/>
                    <w:right w:w="235" w:type="dxa"/>
                  </w:tcMar>
                  <w:vAlign w:val="bottom"/>
                </w:tcPr>
                <w:p w14:paraId="4732CAE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8,317</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029EB97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40" w:type="dxa"/>
                    <w:right w:w="235" w:type="dxa"/>
                  </w:tcMar>
                  <w:vAlign w:val="bottom"/>
                </w:tcPr>
                <w:p w14:paraId="1E3DD0E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4,516</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4483795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40" w:type="dxa"/>
                    <w:right w:w="235" w:type="dxa"/>
                  </w:tcMar>
                  <w:vAlign w:val="bottom"/>
                </w:tcPr>
                <w:p w14:paraId="02D21C01"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4,259</w:t>
                  </w:r>
                </w:p>
              </w:tc>
              <w:tc>
                <w:tcPr>
                  <w:tcW w:w="425" w:type="dxa"/>
                  <w:gridSpan w:val="2"/>
                  <w:tcBorders>
                    <w:top w:val="nil"/>
                    <w:left w:val="nil"/>
                    <w:bottom w:val="nil"/>
                    <w:right w:val="nil"/>
                    <w:tl2br w:val="nil"/>
                    <w:tr2bl w:val="nil"/>
                  </w:tcBorders>
                  <w:shd w:val="clear" w:color="auto" w:fill="auto"/>
                  <w:noWrap/>
                  <w:tcMar>
                    <w:left w:w="0" w:type="dxa"/>
                    <w:right w:w="405" w:type="dxa"/>
                  </w:tcMar>
                  <w:vAlign w:val="bottom"/>
                </w:tcPr>
                <w:p w14:paraId="5189045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10" w:type="dxa"/>
                  <w:tcBorders>
                    <w:top w:val="nil"/>
                    <w:left w:val="nil"/>
                    <w:bottom w:val="nil"/>
                    <w:right w:val="nil"/>
                    <w:tl2br w:val="nil"/>
                    <w:tr2bl w:val="nil"/>
                  </w:tcBorders>
                  <w:shd w:val="clear" w:color="auto" w:fill="auto"/>
                  <w:noWrap/>
                  <w:tcMar>
                    <w:left w:w="40" w:type="dxa"/>
                    <w:right w:w="235" w:type="dxa"/>
                  </w:tcMar>
                  <w:vAlign w:val="bottom"/>
                </w:tcPr>
                <w:p w14:paraId="10785D5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17,298</w:t>
                  </w:r>
                </w:p>
              </w:tc>
            </w:tr>
            <w:tr w:rsidR="00213131" w:rsidRPr="004D7A72" w14:paraId="5C18B18F"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507" w:type="dxa"/>
                  <w:tcBorders>
                    <w:top w:val="nil"/>
                    <w:left w:val="nil"/>
                    <w:bottom w:val="nil"/>
                    <w:right w:val="nil"/>
                    <w:tl2br w:val="nil"/>
                    <w:tr2bl w:val="nil"/>
                  </w:tcBorders>
                  <w:shd w:val="clear" w:color="auto" w:fill="auto"/>
                  <w:tcMar>
                    <w:left w:w="40" w:type="dxa"/>
                    <w:right w:w="40" w:type="dxa"/>
                  </w:tcMar>
                  <w:vAlign w:val="center"/>
                </w:tcPr>
                <w:p w14:paraId="201B850B"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Property operating and other expenses</w:t>
                  </w:r>
                </w:p>
              </w:tc>
              <w:tc>
                <w:tcPr>
                  <w:tcW w:w="873"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5ACBBD5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1,971</w:t>
                  </w:r>
                </w:p>
              </w:tc>
              <w:tc>
                <w:tcPr>
                  <w:tcW w:w="426" w:type="dxa"/>
                  <w:tcBorders>
                    <w:top w:val="nil"/>
                    <w:left w:val="nil"/>
                    <w:bottom w:val="nil"/>
                    <w:right w:val="nil"/>
                    <w:tl2br w:val="nil"/>
                    <w:tr2bl w:val="nil"/>
                  </w:tcBorders>
                  <w:shd w:val="clear" w:color="auto" w:fill="auto"/>
                  <w:noWrap/>
                  <w:tcMar>
                    <w:left w:w="0" w:type="dxa"/>
                    <w:right w:w="405" w:type="dxa"/>
                  </w:tcMar>
                  <w:vAlign w:val="bottom"/>
                </w:tcPr>
                <w:p w14:paraId="552C150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172FF75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1,953</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26300B1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1C252B7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1,049</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59017F7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298324F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1,000</w:t>
                  </w:r>
                </w:p>
              </w:tc>
              <w:tc>
                <w:tcPr>
                  <w:tcW w:w="425" w:type="dxa"/>
                  <w:gridSpan w:val="2"/>
                  <w:tcBorders>
                    <w:top w:val="nil"/>
                    <w:left w:val="nil"/>
                    <w:bottom w:val="nil"/>
                    <w:right w:val="nil"/>
                    <w:tl2br w:val="nil"/>
                    <w:tr2bl w:val="nil"/>
                  </w:tcBorders>
                  <w:shd w:val="clear" w:color="auto" w:fill="auto"/>
                  <w:noWrap/>
                  <w:tcMar>
                    <w:left w:w="0" w:type="dxa"/>
                    <w:right w:w="405" w:type="dxa"/>
                  </w:tcMar>
                  <w:vAlign w:val="bottom"/>
                </w:tcPr>
                <w:p w14:paraId="272EB8F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10"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467A479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3,811</w:t>
                  </w:r>
                </w:p>
              </w:tc>
            </w:tr>
            <w:tr w:rsidR="00213131" w:rsidRPr="004D7A72" w14:paraId="519FBFD6"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507" w:type="dxa"/>
                  <w:tcBorders>
                    <w:top w:val="nil"/>
                    <w:left w:val="nil"/>
                    <w:bottom w:val="nil"/>
                    <w:right w:val="nil"/>
                    <w:tl2br w:val="nil"/>
                    <w:tr2bl w:val="nil"/>
                  </w:tcBorders>
                  <w:shd w:val="clear" w:color="auto" w:fill="auto"/>
                  <w:tcMar>
                    <w:left w:w="40" w:type="dxa"/>
                    <w:right w:w="40" w:type="dxa"/>
                  </w:tcMar>
                  <w:vAlign w:val="center"/>
                </w:tcPr>
                <w:p w14:paraId="3A60AF04"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Operating income, net </w:t>
                  </w:r>
                </w:p>
              </w:tc>
              <w:tc>
                <w:tcPr>
                  <w:tcW w:w="873"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2A26EDC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6,758</w:t>
                  </w:r>
                </w:p>
              </w:tc>
              <w:tc>
                <w:tcPr>
                  <w:tcW w:w="426" w:type="dxa"/>
                  <w:tcBorders>
                    <w:top w:val="nil"/>
                    <w:left w:val="nil"/>
                    <w:bottom w:val="nil"/>
                    <w:right w:val="nil"/>
                    <w:tl2br w:val="nil"/>
                    <w:tr2bl w:val="nil"/>
                  </w:tcBorders>
                  <w:shd w:val="clear" w:color="auto" w:fill="auto"/>
                  <w:noWrap/>
                  <w:tcMar>
                    <w:left w:w="0" w:type="dxa"/>
                    <w:right w:w="405" w:type="dxa"/>
                  </w:tcMar>
                  <w:vAlign w:val="bottom"/>
                </w:tcPr>
                <w:p w14:paraId="327D473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0B219A8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6,364</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233180C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3D25854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3,467</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6376660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5035231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3,259</w:t>
                  </w:r>
                </w:p>
              </w:tc>
              <w:tc>
                <w:tcPr>
                  <w:tcW w:w="425" w:type="dxa"/>
                  <w:gridSpan w:val="2"/>
                  <w:tcBorders>
                    <w:top w:val="nil"/>
                    <w:left w:val="nil"/>
                    <w:bottom w:val="nil"/>
                    <w:right w:val="nil"/>
                    <w:tl2br w:val="nil"/>
                    <w:tr2bl w:val="nil"/>
                  </w:tcBorders>
                  <w:shd w:val="clear" w:color="auto" w:fill="auto"/>
                  <w:noWrap/>
                  <w:tcMar>
                    <w:left w:w="0" w:type="dxa"/>
                    <w:right w:w="405" w:type="dxa"/>
                  </w:tcMar>
                  <w:vAlign w:val="bottom"/>
                </w:tcPr>
                <w:p w14:paraId="218EF4B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10"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044E79B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13,487</w:t>
                  </w:r>
                </w:p>
              </w:tc>
            </w:tr>
            <w:tr w:rsidR="00213131" w:rsidRPr="004D7A72" w14:paraId="5D61A703"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507" w:type="dxa"/>
                  <w:tcBorders>
                    <w:top w:val="nil"/>
                    <w:left w:val="nil"/>
                    <w:bottom w:val="nil"/>
                    <w:right w:val="nil"/>
                    <w:tl2br w:val="nil"/>
                    <w:tr2bl w:val="nil"/>
                  </w:tcBorders>
                  <w:shd w:val="clear" w:color="auto" w:fill="auto"/>
                  <w:tcMar>
                    <w:left w:w="0" w:type="dxa"/>
                    <w:right w:w="0" w:type="dxa"/>
                  </w:tcMar>
                  <w:vAlign w:val="bottom"/>
                </w:tcPr>
                <w:p w14:paraId="788F5F96"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873" w:type="dxa"/>
                  <w:tcBorders>
                    <w:top w:val="nil"/>
                    <w:left w:val="nil"/>
                    <w:bottom w:val="nil"/>
                    <w:right w:val="nil"/>
                    <w:tl2br w:val="nil"/>
                    <w:tr2bl w:val="nil"/>
                  </w:tcBorders>
                  <w:shd w:val="clear" w:color="auto" w:fill="auto"/>
                  <w:noWrap/>
                  <w:tcMar>
                    <w:left w:w="0" w:type="dxa"/>
                    <w:right w:w="0" w:type="dxa"/>
                  </w:tcMar>
                  <w:vAlign w:val="bottom"/>
                </w:tcPr>
                <w:p w14:paraId="2F52FE7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6" w:type="dxa"/>
                  <w:tcBorders>
                    <w:top w:val="nil"/>
                    <w:left w:val="nil"/>
                    <w:bottom w:val="nil"/>
                    <w:right w:val="nil"/>
                    <w:tl2br w:val="nil"/>
                    <w:tr2bl w:val="nil"/>
                  </w:tcBorders>
                  <w:shd w:val="clear" w:color="auto" w:fill="auto"/>
                  <w:noWrap/>
                  <w:tcMar>
                    <w:left w:w="0" w:type="dxa"/>
                    <w:right w:w="405" w:type="dxa"/>
                  </w:tcMar>
                  <w:vAlign w:val="bottom"/>
                </w:tcPr>
                <w:p w14:paraId="1DF8261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0" w:type="dxa"/>
                    <w:right w:w="0" w:type="dxa"/>
                  </w:tcMar>
                  <w:vAlign w:val="bottom"/>
                </w:tcPr>
                <w:p w14:paraId="53DB2A6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19F6CBF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0" w:type="dxa"/>
                    <w:right w:w="0" w:type="dxa"/>
                  </w:tcMar>
                  <w:vAlign w:val="bottom"/>
                </w:tcPr>
                <w:p w14:paraId="2BFCC4E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1B1AFF3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0" w:type="dxa"/>
                    <w:right w:w="0" w:type="dxa"/>
                  </w:tcMar>
                  <w:vAlign w:val="bottom"/>
                </w:tcPr>
                <w:p w14:paraId="75BE331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gridSpan w:val="2"/>
                  <w:tcBorders>
                    <w:top w:val="nil"/>
                    <w:left w:val="nil"/>
                    <w:bottom w:val="nil"/>
                    <w:right w:val="nil"/>
                    <w:tl2br w:val="nil"/>
                    <w:tr2bl w:val="nil"/>
                  </w:tcBorders>
                  <w:shd w:val="clear" w:color="auto" w:fill="auto"/>
                  <w:noWrap/>
                  <w:tcMar>
                    <w:left w:w="0" w:type="dxa"/>
                    <w:right w:w="405" w:type="dxa"/>
                  </w:tcMar>
                  <w:vAlign w:val="bottom"/>
                </w:tcPr>
                <w:p w14:paraId="1CBA6C6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10" w:type="dxa"/>
                  <w:tcBorders>
                    <w:top w:val="nil"/>
                    <w:left w:val="nil"/>
                    <w:bottom w:val="nil"/>
                    <w:right w:val="nil"/>
                    <w:tl2br w:val="nil"/>
                    <w:tr2bl w:val="nil"/>
                  </w:tcBorders>
                  <w:shd w:val="clear" w:color="auto" w:fill="auto"/>
                  <w:noWrap/>
                  <w:tcMar>
                    <w:left w:w="0" w:type="dxa"/>
                    <w:right w:w="0" w:type="dxa"/>
                  </w:tcMar>
                  <w:vAlign w:val="bottom"/>
                </w:tcPr>
                <w:p w14:paraId="36DD285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r>
            <w:tr w:rsidR="00213131" w:rsidRPr="004D7A72" w14:paraId="04042ACC"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507" w:type="dxa"/>
                  <w:tcBorders>
                    <w:top w:val="nil"/>
                    <w:left w:val="nil"/>
                    <w:bottom w:val="nil"/>
                    <w:right w:val="nil"/>
                    <w:tl2br w:val="nil"/>
                    <w:tr2bl w:val="nil"/>
                  </w:tcBorders>
                  <w:shd w:val="clear" w:color="auto" w:fill="auto"/>
                  <w:noWrap/>
                  <w:tcMar>
                    <w:left w:w="0" w:type="dxa"/>
                    <w:right w:w="0" w:type="dxa"/>
                  </w:tcMar>
                  <w:vAlign w:val="bottom"/>
                </w:tcPr>
                <w:p w14:paraId="0650FF47"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873" w:type="dxa"/>
                  <w:tcBorders>
                    <w:top w:val="nil"/>
                    <w:left w:val="nil"/>
                    <w:bottom w:val="nil"/>
                    <w:right w:val="nil"/>
                    <w:tl2br w:val="nil"/>
                    <w:tr2bl w:val="nil"/>
                  </w:tcBorders>
                  <w:shd w:val="clear" w:color="auto" w:fill="auto"/>
                  <w:noWrap/>
                  <w:tcMar>
                    <w:left w:w="0" w:type="dxa"/>
                    <w:right w:w="135" w:type="dxa"/>
                  </w:tcMar>
                  <w:vAlign w:val="bottom"/>
                </w:tcPr>
                <w:p w14:paraId="6C5DEA7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6" w:type="dxa"/>
                  <w:tcBorders>
                    <w:top w:val="nil"/>
                    <w:left w:val="nil"/>
                    <w:bottom w:val="nil"/>
                    <w:right w:val="nil"/>
                    <w:tl2br w:val="nil"/>
                    <w:tr2bl w:val="nil"/>
                  </w:tcBorders>
                  <w:shd w:val="clear" w:color="auto" w:fill="auto"/>
                  <w:noWrap/>
                  <w:tcMar>
                    <w:left w:w="0" w:type="dxa"/>
                    <w:right w:w="405" w:type="dxa"/>
                  </w:tcMar>
                  <w:vAlign w:val="bottom"/>
                </w:tcPr>
                <w:p w14:paraId="69F8760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0" w:type="dxa"/>
                    <w:right w:w="135" w:type="dxa"/>
                  </w:tcMar>
                  <w:vAlign w:val="bottom"/>
                </w:tcPr>
                <w:p w14:paraId="7BD4B731"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2A84CC0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0" w:type="dxa"/>
                    <w:right w:w="135" w:type="dxa"/>
                  </w:tcMar>
                  <w:vAlign w:val="bottom"/>
                </w:tcPr>
                <w:p w14:paraId="43944B3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2B163D9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0" w:type="dxa"/>
                    <w:right w:w="135" w:type="dxa"/>
                  </w:tcMar>
                  <w:vAlign w:val="bottom"/>
                </w:tcPr>
                <w:p w14:paraId="0F44D38C"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gridSpan w:val="2"/>
                  <w:tcBorders>
                    <w:top w:val="nil"/>
                    <w:left w:val="nil"/>
                    <w:bottom w:val="nil"/>
                    <w:right w:val="nil"/>
                    <w:tl2br w:val="nil"/>
                    <w:tr2bl w:val="nil"/>
                  </w:tcBorders>
                  <w:shd w:val="clear" w:color="auto" w:fill="auto"/>
                  <w:noWrap/>
                  <w:tcMar>
                    <w:left w:w="0" w:type="dxa"/>
                    <w:right w:w="405" w:type="dxa"/>
                  </w:tcMar>
                  <w:vAlign w:val="bottom"/>
                </w:tcPr>
                <w:p w14:paraId="5E745C9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10" w:type="dxa"/>
                  <w:tcBorders>
                    <w:top w:val="nil"/>
                    <w:left w:val="nil"/>
                    <w:bottom w:val="nil"/>
                    <w:right w:val="nil"/>
                    <w:tl2br w:val="nil"/>
                    <w:tr2bl w:val="nil"/>
                  </w:tcBorders>
                  <w:shd w:val="clear" w:color="auto" w:fill="auto"/>
                  <w:noWrap/>
                  <w:tcMar>
                    <w:left w:w="0" w:type="dxa"/>
                    <w:right w:w="135" w:type="dxa"/>
                  </w:tcMar>
                  <w:vAlign w:val="bottom"/>
                </w:tcPr>
                <w:p w14:paraId="3111695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r>
            <w:tr w:rsidR="00213131" w:rsidRPr="004D7A72" w14:paraId="7C2F2E58"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507" w:type="dxa"/>
                  <w:tcBorders>
                    <w:top w:val="nil"/>
                    <w:left w:val="nil"/>
                    <w:bottom w:val="nil"/>
                    <w:right w:val="nil"/>
                    <w:tl2br w:val="nil"/>
                    <w:tr2bl w:val="nil"/>
                  </w:tcBorders>
                  <w:shd w:val="clear" w:color="auto" w:fill="auto"/>
                  <w:tcMar>
                    <w:left w:w="40" w:type="dxa"/>
                    <w:right w:w="40" w:type="dxa"/>
                  </w:tcMar>
                  <w:vAlign w:val="bottom"/>
                </w:tcPr>
                <w:p w14:paraId="2EEA79F3"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Fair value gain from investment property and investment property under development, net</w:t>
                  </w:r>
                </w:p>
              </w:tc>
              <w:tc>
                <w:tcPr>
                  <w:tcW w:w="873" w:type="dxa"/>
                  <w:tcBorders>
                    <w:top w:val="nil"/>
                    <w:left w:val="nil"/>
                    <w:bottom w:val="nil"/>
                    <w:right w:val="nil"/>
                    <w:tl2br w:val="nil"/>
                    <w:tr2bl w:val="nil"/>
                  </w:tcBorders>
                  <w:shd w:val="clear" w:color="auto" w:fill="auto"/>
                  <w:noWrap/>
                  <w:tcMar>
                    <w:left w:w="40" w:type="dxa"/>
                    <w:right w:w="235" w:type="dxa"/>
                  </w:tcMar>
                  <w:vAlign w:val="bottom"/>
                </w:tcPr>
                <w:p w14:paraId="74552EB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254</w:t>
                  </w:r>
                </w:p>
              </w:tc>
              <w:tc>
                <w:tcPr>
                  <w:tcW w:w="426" w:type="dxa"/>
                  <w:tcBorders>
                    <w:top w:val="nil"/>
                    <w:left w:val="nil"/>
                    <w:bottom w:val="nil"/>
                    <w:right w:val="nil"/>
                    <w:tl2br w:val="nil"/>
                    <w:tr2bl w:val="nil"/>
                  </w:tcBorders>
                  <w:shd w:val="clear" w:color="auto" w:fill="auto"/>
                  <w:noWrap/>
                  <w:tcMar>
                    <w:left w:w="0" w:type="dxa"/>
                    <w:right w:w="405" w:type="dxa"/>
                  </w:tcMar>
                  <w:vAlign w:val="bottom"/>
                </w:tcPr>
                <w:p w14:paraId="02ED778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40" w:type="dxa"/>
                    <w:right w:w="235" w:type="dxa"/>
                  </w:tcMar>
                  <w:vAlign w:val="bottom"/>
                </w:tcPr>
                <w:p w14:paraId="6B100CB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405</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61C41CD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40" w:type="dxa"/>
                    <w:right w:w="235" w:type="dxa"/>
                  </w:tcMar>
                  <w:vAlign w:val="bottom"/>
                </w:tcPr>
                <w:p w14:paraId="3B9492DE"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125</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4DD3322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40" w:type="dxa"/>
                    <w:right w:w="235" w:type="dxa"/>
                  </w:tcMar>
                  <w:vAlign w:val="bottom"/>
                </w:tcPr>
                <w:p w14:paraId="3A37E46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198</w:t>
                  </w:r>
                </w:p>
              </w:tc>
              <w:tc>
                <w:tcPr>
                  <w:tcW w:w="425" w:type="dxa"/>
                  <w:gridSpan w:val="2"/>
                  <w:tcBorders>
                    <w:top w:val="nil"/>
                    <w:left w:val="nil"/>
                    <w:bottom w:val="nil"/>
                    <w:right w:val="nil"/>
                    <w:tl2br w:val="nil"/>
                    <w:tr2bl w:val="nil"/>
                  </w:tcBorders>
                  <w:shd w:val="clear" w:color="auto" w:fill="auto"/>
                  <w:noWrap/>
                  <w:tcMar>
                    <w:left w:w="0" w:type="dxa"/>
                    <w:right w:w="405" w:type="dxa"/>
                  </w:tcMar>
                  <w:vAlign w:val="bottom"/>
                </w:tcPr>
                <w:p w14:paraId="0D41FBE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10" w:type="dxa"/>
                  <w:tcBorders>
                    <w:top w:val="nil"/>
                    <w:left w:val="nil"/>
                    <w:bottom w:val="nil"/>
                    <w:right w:val="nil"/>
                    <w:tl2br w:val="nil"/>
                    <w:tr2bl w:val="nil"/>
                  </w:tcBorders>
                  <w:shd w:val="clear" w:color="auto" w:fill="auto"/>
                  <w:noWrap/>
                  <w:tcMar>
                    <w:left w:w="40" w:type="dxa"/>
                    <w:right w:w="235" w:type="dxa"/>
                  </w:tcMar>
                  <w:vAlign w:val="bottom"/>
                </w:tcPr>
                <w:p w14:paraId="376A183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1,664</w:t>
                  </w:r>
                </w:p>
              </w:tc>
            </w:tr>
            <w:tr w:rsidR="00213131" w:rsidRPr="004D7A72" w14:paraId="6283734F"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507" w:type="dxa"/>
                  <w:tcBorders>
                    <w:top w:val="nil"/>
                    <w:left w:val="nil"/>
                    <w:bottom w:val="nil"/>
                    <w:right w:val="nil"/>
                    <w:tl2br w:val="nil"/>
                    <w:tr2bl w:val="nil"/>
                  </w:tcBorders>
                  <w:shd w:val="clear" w:color="auto" w:fill="auto"/>
                  <w:tcMar>
                    <w:left w:w="40" w:type="dxa"/>
                    <w:right w:w="40" w:type="dxa"/>
                  </w:tcMar>
                  <w:vAlign w:val="bottom"/>
                </w:tcPr>
                <w:p w14:paraId="3911F3A9"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General and administrative expenses</w:t>
                  </w:r>
                </w:p>
              </w:tc>
              <w:tc>
                <w:tcPr>
                  <w:tcW w:w="873"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00BD607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1,368</w:t>
                  </w:r>
                </w:p>
              </w:tc>
              <w:tc>
                <w:tcPr>
                  <w:tcW w:w="426" w:type="dxa"/>
                  <w:tcBorders>
                    <w:top w:val="nil"/>
                    <w:left w:val="nil"/>
                    <w:bottom w:val="nil"/>
                    <w:right w:val="nil"/>
                    <w:tl2br w:val="nil"/>
                    <w:tr2bl w:val="nil"/>
                  </w:tcBorders>
                  <w:shd w:val="clear" w:color="auto" w:fill="auto"/>
                  <w:noWrap/>
                  <w:tcMar>
                    <w:left w:w="0" w:type="dxa"/>
                    <w:right w:w="405" w:type="dxa"/>
                  </w:tcMar>
                  <w:vAlign w:val="bottom"/>
                </w:tcPr>
                <w:p w14:paraId="7C2A159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758BE8D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348</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1370B6DC"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6623CA4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732</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06149E2E"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004F2A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(392)</w:t>
                  </w:r>
                </w:p>
              </w:tc>
              <w:tc>
                <w:tcPr>
                  <w:tcW w:w="425" w:type="dxa"/>
                  <w:gridSpan w:val="2"/>
                  <w:tcBorders>
                    <w:top w:val="nil"/>
                    <w:left w:val="nil"/>
                    <w:bottom w:val="nil"/>
                    <w:right w:val="nil"/>
                    <w:tl2br w:val="nil"/>
                    <w:tr2bl w:val="nil"/>
                  </w:tcBorders>
                  <w:shd w:val="clear" w:color="auto" w:fill="auto"/>
                  <w:noWrap/>
                  <w:tcMar>
                    <w:left w:w="0" w:type="dxa"/>
                    <w:right w:w="405" w:type="dxa"/>
                  </w:tcMar>
                  <w:vAlign w:val="bottom"/>
                </w:tcPr>
                <w:p w14:paraId="38DD9D0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10"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28DDDD6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1,584</w:t>
                  </w:r>
                </w:p>
              </w:tc>
            </w:tr>
            <w:tr w:rsidR="00213131" w:rsidRPr="004D7A72" w14:paraId="73A92CBA"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507" w:type="dxa"/>
                  <w:tcBorders>
                    <w:top w:val="nil"/>
                    <w:left w:val="nil"/>
                    <w:bottom w:val="nil"/>
                    <w:right w:val="nil"/>
                    <w:tl2br w:val="nil"/>
                    <w:tr2bl w:val="nil"/>
                  </w:tcBorders>
                  <w:shd w:val="clear" w:color="auto" w:fill="auto"/>
                  <w:tcMar>
                    <w:left w:w="40" w:type="dxa"/>
                    <w:right w:w="40" w:type="dxa"/>
                  </w:tcMar>
                  <w:vAlign w:val="bottom"/>
                </w:tcPr>
                <w:p w14:paraId="67EB950F"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Operating profit (loss)</w:t>
                  </w:r>
                </w:p>
              </w:tc>
              <w:tc>
                <w:tcPr>
                  <w:tcW w:w="873"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53C247D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5,644</w:t>
                  </w:r>
                </w:p>
              </w:tc>
              <w:tc>
                <w:tcPr>
                  <w:tcW w:w="426" w:type="dxa"/>
                  <w:tcBorders>
                    <w:top w:val="nil"/>
                    <w:left w:val="nil"/>
                    <w:bottom w:val="nil"/>
                    <w:right w:val="nil"/>
                    <w:tl2br w:val="nil"/>
                    <w:tr2bl w:val="nil"/>
                  </w:tcBorders>
                  <w:shd w:val="clear" w:color="auto" w:fill="auto"/>
                  <w:noWrap/>
                  <w:tcMar>
                    <w:left w:w="0" w:type="dxa"/>
                    <w:right w:w="405" w:type="dxa"/>
                  </w:tcMar>
                  <w:vAlign w:val="bottom"/>
                </w:tcPr>
                <w:p w14:paraId="5F4B432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655BD12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6,421</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0E74E3C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3551F0E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2,860</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2393919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6F44B56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3,849</w:t>
                  </w:r>
                </w:p>
              </w:tc>
              <w:tc>
                <w:tcPr>
                  <w:tcW w:w="425" w:type="dxa"/>
                  <w:gridSpan w:val="2"/>
                  <w:tcBorders>
                    <w:top w:val="nil"/>
                    <w:left w:val="nil"/>
                    <w:bottom w:val="nil"/>
                    <w:right w:val="nil"/>
                    <w:tl2br w:val="nil"/>
                    <w:tr2bl w:val="nil"/>
                  </w:tcBorders>
                  <w:shd w:val="clear" w:color="auto" w:fill="auto"/>
                  <w:noWrap/>
                  <w:tcMar>
                    <w:left w:w="0" w:type="dxa"/>
                    <w:right w:w="405" w:type="dxa"/>
                  </w:tcMar>
                  <w:vAlign w:val="bottom"/>
                </w:tcPr>
                <w:p w14:paraId="39F10E8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10" w:type="dxa"/>
                  <w:tcBorders>
                    <w:top w:val="single" w:sz="4" w:space="0" w:color="000000"/>
                    <w:left w:val="nil"/>
                    <w:bottom w:val="nil"/>
                    <w:right w:val="nil"/>
                    <w:tl2br w:val="nil"/>
                    <w:tr2bl w:val="nil"/>
                  </w:tcBorders>
                  <w:shd w:val="clear" w:color="auto" w:fill="auto"/>
                  <w:noWrap/>
                  <w:tcMar>
                    <w:left w:w="40" w:type="dxa"/>
                    <w:right w:w="235" w:type="dxa"/>
                  </w:tcMar>
                  <w:vAlign w:val="bottom"/>
                </w:tcPr>
                <w:p w14:paraId="6FC85671"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13,567</w:t>
                  </w:r>
                </w:p>
              </w:tc>
            </w:tr>
            <w:tr w:rsidR="00213131" w:rsidRPr="004D7A72" w14:paraId="3015CB5F"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507" w:type="dxa"/>
                  <w:tcBorders>
                    <w:top w:val="nil"/>
                    <w:left w:val="nil"/>
                    <w:bottom w:val="nil"/>
                    <w:right w:val="nil"/>
                    <w:tl2br w:val="nil"/>
                    <w:tr2bl w:val="nil"/>
                  </w:tcBorders>
                  <w:shd w:val="clear" w:color="auto" w:fill="auto"/>
                  <w:noWrap/>
                  <w:tcMar>
                    <w:left w:w="0" w:type="dxa"/>
                    <w:right w:w="0" w:type="dxa"/>
                  </w:tcMar>
                  <w:vAlign w:val="bottom"/>
                </w:tcPr>
                <w:p w14:paraId="3C25C931"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873" w:type="dxa"/>
                  <w:tcBorders>
                    <w:top w:val="nil"/>
                    <w:left w:val="nil"/>
                    <w:bottom w:val="nil"/>
                    <w:right w:val="nil"/>
                    <w:tl2br w:val="nil"/>
                    <w:tr2bl w:val="nil"/>
                  </w:tcBorders>
                  <w:shd w:val="clear" w:color="auto" w:fill="auto"/>
                  <w:noWrap/>
                  <w:tcMar>
                    <w:left w:w="0" w:type="dxa"/>
                    <w:right w:w="135" w:type="dxa"/>
                  </w:tcMar>
                  <w:vAlign w:val="bottom"/>
                </w:tcPr>
                <w:p w14:paraId="10A42CC1"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6" w:type="dxa"/>
                  <w:tcBorders>
                    <w:top w:val="nil"/>
                    <w:left w:val="nil"/>
                    <w:bottom w:val="nil"/>
                    <w:right w:val="nil"/>
                    <w:tl2br w:val="nil"/>
                    <w:tr2bl w:val="nil"/>
                  </w:tcBorders>
                  <w:shd w:val="clear" w:color="auto" w:fill="auto"/>
                  <w:noWrap/>
                  <w:tcMar>
                    <w:left w:w="0" w:type="dxa"/>
                    <w:right w:w="405" w:type="dxa"/>
                  </w:tcMar>
                  <w:vAlign w:val="bottom"/>
                </w:tcPr>
                <w:p w14:paraId="0555945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0" w:type="dxa"/>
                    <w:right w:w="135" w:type="dxa"/>
                  </w:tcMar>
                  <w:vAlign w:val="bottom"/>
                </w:tcPr>
                <w:p w14:paraId="3F27EE1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79E5120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0" w:type="dxa"/>
                    <w:right w:w="135" w:type="dxa"/>
                  </w:tcMar>
                  <w:vAlign w:val="bottom"/>
                </w:tcPr>
                <w:p w14:paraId="63F1D9E1"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50407B4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0" w:type="dxa"/>
                    <w:right w:w="135" w:type="dxa"/>
                  </w:tcMar>
                  <w:vAlign w:val="bottom"/>
                </w:tcPr>
                <w:p w14:paraId="54C569BE"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gridSpan w:val="2"/>
                  <w:tcBorders>
                    <w:top w:val="nil"/>
                    <w:left w:val="nil"/>
                    <w:bottom w:val="nil"/>
                    <w:right w:val="nil"/>
                    <w:tl2br w:val="nil"/>
                    <w:tr2bl w:val="nil"/>
                  </w:tcBorders>
                  <w:shd w:val="clear" w:color="auto" w:fill="auto"/>
                  <w:noWrap/>
                  <w:tcMar>
                    <w:left w:w="0" w:type="dxa"/>
                    <w:right w:w="405" w:type="dxa"/>
                  </w:tcMar>
                  <w:vAlign w:val="bottom"/>
                </w:tcPr>
                <w:p w14:paraId="347684E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10" w:type="dxa"/>
                  <w:tcBorders>
                    <w:top w:val="nil"/>
                    <w:left w:val="nil"/>
                    <w:bottom w:val="nil"/>
                    <w:right w:val="nil"/>
                    <w:tl2br w:val="nil"/>
                    <w:tr2bl w:val="nil"/>
                  </w:tcBorders>
                  <w:shd w:val="clear" w:color="auto" w:fill="auto"/>
                  <w:noWrap/>
                  <w:tcMar>
                    <w:left w:w="0" w:type="dxa"/>
                    <w:right w:w="135" w:type="dxa"/>
                  </w:tcMar>
                  <w:vAlign w:val="bottom"/>
                </w:tcPr>
                <w:p w14:paraId="41D5547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r>
            <w:tr w:rsidR="00213131" w:rsidRPr="004D7A72" w14:paraId="55F3CBED"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507" w:type="dxa"/>
                  <w:tcBorders>
                    <w:top w:val="nil"/>
                    <w:left w:val="nil"/>
                    <w:bottom w:val="nil"/>
                    <w:right w:val="nil"/>
                    <w:tl2br w:val="nil"/>
                    <w:tr2bl w:val="nil"/>
                  </w:tcBorders>
                  <w:shd w:val="clear" w:color="auto" w:fill="auto"/>
                  <w:tcMar>
                    <w:left w:w="40" w:type="dxa"/>
                    <w:right w:w="40" w:type="dxa"/>
                  </w:tcMar>
                  <w:vAlign w:val="bottom"/>
                </w:tcPr>
                <w:p w14:paraId="4F27BE33"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Financing expenses, net</w:t>
                  </w:r>
                </w:p>
              </w:tc>
              <w:tc>
                <w:tcPr>
                  <w:tcW w:w="873"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42B8775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2,629</w:t>
                  </w:r>
                </w:p>
              </w:tc>
              <w:tc>
                <w:tcPr>
                  <w:tcW w:w="426" w:type="dxa"/>
                  <w:tcBorders>
                    <w:top w:val="nil"/>
                    <w:left w:val="nil"/>
                    <w:bottom w:val="nil"/>
                    <w:right w:val="nil"/>
                    <w:tl2br w:val="nil"/>
                    <w:tr2bl w:val="nil"/>
                  </w:tcBorders>
                  <w:shd w:val="clear" w:color="auto" w:fill="auto"/>
                  <w:noWrap/>
                  <w:tcMar>
                    <w:left w:w="0" w:type="dxa"/>
                    <w:right w:w="405" w:type="dxa"/>
                  </w:tcMar>
                  <w:vAlign w:val="bottom"/>
                </w:tcPr>
                <w:p w14:paraId="39C6B253"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16B3E7B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5,595</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0ECCBE2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5FA7CF3C"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1,104</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43C60E4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201FBA8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4,388</w:t>
                  </w:r>
                </w:p>
              </w:tc>
              <w:tc>
                <w:tcPr>
                  <w:tcW w:w="425" w:type="dxa"/>
                  <w:gridSpan w:val="2"/>
                  <w:tcBorders>
                    <w:top w:val="nil"/>
                    <w:left w:val="nil"/>
                    <w:bottom w:val="nil"/>
                    <w:right w:val="nil"/>
                    <w:tl2br w:val="nil"/>
                    <w:tr2bl w:val="nil"/>
                  </w:tcBorders>
                  <w:shd w:val="clear" w:color="auto" w:fill="auto"/>
                  <w:noWrap/>
                  <w:tcMar>
                    <w:left w:w="0" w:type="dxa"/>
                    <w:right w:w="405" w:type="dxa"/>
                  </w:tcMar>
                  <w:vAlign w:val="bottom"/>
                </w:tcPr>
                <w:p w14:paraId="7C44827E"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10"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6B4F22B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9,240</w:t>
                  </w:r>
                </w:p>
              </w:tc>
            </w:tr>
            <w:tr w:rsidR="00213131" w:rsidRPr="004D7A72" w14:paraId="34397913"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507" w:type="dxa"/>
                  <w:tcBorders>
                    <w:top w:val="nil"/>
                    <w:left w:val="nil"/>
                    <w:bottom w:val="nil"/>
                    <w:right w:val="nil"/>
                    <w:tl2br w:val="nil"/>
                    <w:tr2bl w:val="nil"/>
                  </w:tcBorders>
                  <w:shd w:val="clear" w:color="auto" w:fill="auto"/>
                  <w:tcMar>
                    <w:left w:w="0" w:type="dxa"/>
                    <w:right w:w="0" w:type="dxa"/>
                  </w:tcMar>
                  <w:vAlign w:val="bottom"/>
                </w:tcPr>
                <w:p w14:paraId="04E33046"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873"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BF937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6" w:type="dxa"/>
                  <w:tcBorders>
                    <w:top w:val="nil"/>
                    <w:left w:val="nil"/>
                    <w:bottom w:val="nil"/>
                    <w:right w:val="nil"/>
                    <w:tl2br w:val="nil"/>
                    <w:tr2bl w:val="nil"/>
                  </w:tcBorders>
                  <w:shd w:val="clear" w:color="auto" w:fill="auto"/>
                  <w:noWrap/>
                  <w:tcMar>
                    <w:left w:w="0" w:type="dxa"/>
                    <w:right w:w="405" w:type="dxa"/>
                  </w:tcMar>
                  <w:vAlign w:val="bottom"/>
                </w:tcPr>
                <w:p w14:paraId="428A2D1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F1209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427C8BD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0D6D0E"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011D838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4BE341"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gridSpan w:val="2"/>
                  <w:tcBorders>
                    <w:top w:val="nil"/>
                    <w:left w:val="nil"/>
                    <w:bottom w:val="nil"/>
                    <w:right w:val="nil"/>
                    <w:tl2br w:val="nil"/>
                    <w:tr2bl w:val="nil"/>
                  </w:tcBorders>
                  <w:shd w:val="clear" w:color="auto" w:fill="auto"/>
                  <w:noWrap/>
                  <w:tcMar>
                    <w:left w:w="0" w:type="dxa"/>
                    <w:right w:w="405" w:type="dxa"/>
                  </w:tcMar>
                  <w:vAlign w:val="bottom"/>
                </w:tcPr>
                <w:p w14:paraId="4E5A0F3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0613F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r>
            <w:tr w:rsidR="00213131" w:rsidRPr="004D7A72" w14:paraId="5AC702E7"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507" w:type="dxa"/>
                  <w:tcBorders>
                    <w:top w:val="nil"/>
                    <w:left w:val="nil"/>
                    <w:bottom w:val="nil"/>
                    <w:right w:val="nil"/>
                    <w:tl2br w:val="nil"/>
                    <w:tr2bl w:val="nil"/>
                  </w:tcBorders>
                  <w:shd w:val="clear" w:color="auto" w:fill="auto"/>
                  <w:tcMar>
                    <w:left w:w="40" w:type="dxa"/>
                    <w:right w:w="40" w:type="dxa"/>
                  </w:tcMar>
                  <w:vAlign w:val="bottom"/>
                </w:tcPr>
                <w:p w14:paraId="1BE68F2B"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Income (loss) before taxes on income</w:t>
                  </w:r>
                </w:p>
              </w:tc>
              <w:tc>
                <w:tcPr>
                  <w:tcW w:w="873"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770F201C"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3,015</w:t>
                  </w:r>
                </w:p>
              </w:tc>
              <w:tc>
                <w:tcPr>
                  <w:tcW w:w="426" w:type="dxa"/>
                  <w:tcBorders>
                    <w:top w:val="nil"/>
                    <w:left w:val="nil"/>
                    <w:bottom w:val="nil"/>
                    <w:right w:val="nil"/>
                    <w:tl2br w:val="nil"/>
                    <w:tr2bl w:val="nil"/>
                  </w:tcBorders>
                  <w:shd w:val="clear" w:color="auto" w:fill="auto"/>
                  <w:noWrap/>
                  <w:tcMar>
                    <w:left w:w="0" w:type="dxa"/>
                    <w:right w:w="405" w:type="dxa"/>
                  </w:tcMar>
                  <w:vAlign w:val="bottom"/>
                </w:tcPr>
                <w:p w14:paraId="1A4FDAE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048E2FE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826</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5DCFA1A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0179787C"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1,756</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2C0FE75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92ADA9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(539)</w:t>
                  </w:r>
                </w:p>
              </w:tc>
              <w:tc>
                <w:tcPr>
                  <w:tcW w:w="425" w:type="dxa"/>
                  <w:gridSpan w:val="2"/>
                  <w:tcBorders>
                    <w:top w:val="nil"/>
                    <w:left w:val="nil"/>
                    <w:bottom w:val="nil"/>
                    <w:right w:val="nil"/>
                    <w:tl2br w:val="nil"/>
                    <w:tr2bl w:val="nil"/>
                  </w:tcBorders>
                  <w:shd w:val="clear" w:color="auto" w:fill="auto"/>
                  <w:noWrap/>
                  <w:tcMar>
                    <w:left w:w="0" w:type="dxa"/>
                    <w:right w:w="405" w:type="dxa"/>
                  </w:tcMar>
                  <w:vAlign w:val="bottom"/>
                </w:tcPr>
                <w:p w14:paraId="7C1073A2"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10" w:type="dxa"/>
                  <w:tcBorders>
                    <w:top w:val="nil"/>
                    <w:left w:val="nil"/>
                    <w:bottom w:val="single" w:sz="4" w:space="0" w:color="000000"/>
                    <w:right w:val="nil"/>
                    <w:tl2br w:val="nil"/>
                    <w:tr2bl w:val="nil"/>
                  </w:tcBorders>
                  <w:shd w:val="clear" w:color="auto" w:fill="auto"/>
                  <w:noWrap/>
                  <w:tcMar>
                    <w:left w:w="40" w:type="dxa"/>
                    <w:right w:w="235" w:type="dxa"/>
                  </w:tcMar>
                  <w:vAlign w:val="bottom"/>
                </w:tcPr>
                <w:p w14:paraId="1E310CD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4,327</w:t>
                  </w:r>
                </w:p>
              </w:tc>
            </w:tr>
            <w:tr w:rsidR="00213131" w:rsidRPr="004D7A72" w14:paraId="091F8DE0"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507" w:type="dxa"/>
                  <w:tcBorders>
                    <w:top w:val="nil"/>
                    <w:left w:val="nil"/>
                    <w:bottom w:val="nil"/>
                    <w:right w:val="nil"/>
                    <w:tl2br w:val="nil"/>
                    <w:tr2bl w:val="nil"/>
                  </w:tcBorders>
                  <w:shd w:val="clear" w:color="auto" w:fill="auto"/>
                  <w:tcMar>
                    <w:left w:w="0" w:type="dxa"/>
                    <w:right w:w="0" w:type="dxa"/>
                  </w:tcMar>
                  <w:vAlign w:val="bottom"/>
                </w:tcPr>
                <w:p w14:paraId="1FC72D7D"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873" w:type="dxa"/>
                  <w:tcBorders>
                    <w:top w:val="single" w:sz="4" w:space="0" w:color="000000"/>
                    <w:left w:val="nil"/>
                    <w:bottom w:val="nil"/>
                    <w:right w:val="nil"/>
                    <w:tl2br w:val="nil"/>
                    <w:tr2bl w:val="nil"/>
                  </w:tcBorders>
                  <w:shd w:val="clear" w:color="auto" w:fill="auto"/>
                  <w:tcMar>
                    <w:left w:w="0" w:type="dxa"/>
                    <w:right w:w="0" w:type="dxa"/>
                  </w:tcMar>
                  <w:vAlign w:val="bottom"/>
                </w:tcPr>
                <w:p w14:paraId="3728D88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6" w:type="dxa"/>
                  <w:tcBorders>
                    <w:top w:val="nil"/>
                    <w:left w:val="nil"/>
                    <w:bottom w:val="nil"/>
                    <w:right w:val="nil"/>
                    <w:tl2br w:val="nil"/>
                    <w:tr2bl w:val="nil"/>
                  </w:tcBorders>
                  <w:shd w:val="clear" w:color="auto" w:fill="auto"/>
                  <w:tcMar>
                    <w:left w:w="0" w:type="dxa"/>
                    <w:right w:w="0" w:type="dxa"/>
                  </w:tcMar>
                  <w:vAlign w:val="bottom"/>
                </w:tcPr>
                <w:p w14:paraId="3507446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single" w:sz="4" w:space="0" w:color="000000"/>
                    <w:left w:val="nil"/>
                    <w:bottom w:val="nil"/>
                    <w:right w:val="nil"/>
                    <w:tl2br w:val="nil"/>
                    <w:tr2bl w:val="nil"/>
                  </w:tcBorders>
                  <w:shd w:val="clear" w:color="auto" w:fill="auto"/>
                  <w:tcMar>
                    <w:left w:w="0" w:type="dxa"/>
                    <w:right w:w="0" w:type="dxa"/>
                  </w:tcMar>
                  <w:vAlign w:val="bottom"/>
                </w:tcPr>
                <w:p w14:paraId="72D8E8D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tcBorders>
                    <w:top w:val="nil"/>
                    <w:left w:val="nil"/>
                    <w:bottom w:val="nil"/>
                    <w:right w:val="nil"/>
                    <w:tl2br w:val="nil"/>
                    <w:tr2bl w:val="nil"/>
                  </w:tcBorders>
                  <w:shd w:val="clear" w:color="auto" w:fill="auto"/>
                  <w:tcMar>
                    <w:left w:w="0" w:type="dxa"/>
                    <w:right w:w="0" w:type="dxa"/>
                  </w:tcMar>
                  <w:vAlign w:val="bottom"/>
                </w:tcPr>
                <w:p w14:paraId="0669080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single" w:sz="4" w:space="0" w:color="000000"/>
                    <w:left w:val="nil"/>
                    <w:bottom w:val="nil"/>
                    <w:right w:val="nil"/>
                    <w:tl2br w:val="nil"/>
                    <w:tr2bl w:val="nil"/>
                  </w:tcBorders>
                  <w:shd w:val="clear" w:color="auto" w:fill="auto"/>
                  <w:tcMar>
                    <w:left w:w="0" w:type="dxa"/>
                    <w:right w:w="0" w:type="dxa"/>
                  </w:tcMar>
                  <w:vAlign w:val="bottom"/>
                </w:tcPr>
                <w:p w14:paraId="0666981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tcBorders>
                    <w:top w:val="nil"/>
                    <w:left w:val="nil"/>
                    <w:bottom w:val="nil"/>
                    <w:right w:val="nil"/>
                    <w:tl2br w:val="nil"/>
                    <w:tr2bl w:val="nil"/>
                  </w:tcBorders>
                  <w:shd w:val="clear" w:color="auto" w:fill="auto"/>
                  <w:tcMar>
                    <w:left w:w="0" w:type="dxa"/>
                    <w:right w:w="0" w:type="dxa"/>
                  </w:tcMar>
                  <w:vAlign w:val="bottom"/>
                </w:tcPr>
                <w:p w14:paraId="28E57B21"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single" w:sz="4" w:space="0" w:color="000000"/>
                    <w:left w:val="nil"/>
                    <w:bottom w:val="nil"/>
                    <w:right w:val="nil"/>
                    <w:tl2br w:val="nil"/>
                    <w:tr2bl w:val="nil"/>
                  </w:tcBorders>
                  <w:shd w:val="clear" w:color="auto" w:fill="auto"/>
                  <w:tcMar>
                    <w:left w:w="0" w:type="dxa"/>
                    <w:right w:w="0" w:type="dxa"/>
                  </w:tcMar>
                  <w:vAlign w:val="bottom"/>
                </w:tcPr>
                <w:p w14:paraId="06B1737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259" w:type="dxa"/>
                  <w:tcBorders>
                    <w:top w:val="nil"/>
                    <w:left w:val="nil"/>
                    <w:bottom w:val="nil"/>
                    <w:right w:val="nil"/>
                    <w:tl2br w:val="nil"/>
                    <w:tr2bl w:val="nil"/>
                  </w:tcBorders>
                  <w:shd w:val="clear" w:color="auto" w:fill="auto"/>
                  <w:tcMar>
                    <w:left w:w="0" w:type="dxa"/>
                    <w:right w:w="0" w:type="dxa"/>
                  </w:tcMar>
                  <w:vAlign w:val="bottom"/>
                </w:tcPr>
                <w:p w14:paraId="60A8355C"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176"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3013F80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r>
            <w:tr w:rsidR="00213131" w:rsidRPr="004D7A72" w14:paraId="19334C61"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507" w:type="dxa"/>
                  <w:tcBorders>
                    <w:top w:val="nil"/>
                    <w:left w:val="nil"/>
                    <w:bottom w:val="nil"/>
                    <w:right w:val="nil"/>
                    <w:tl2br w:val="nil"/>
                    <w:tr2bl w:val="nil"/>
                  </w:tcBorders>
                  <w:shd w:val="clear" w:color="auto" w:fill="auto"/>
                  <w:noWrap/>
                  <w:tcMar>
                    <w:left w:w="40" w:type="dxa"/>
                    <w:right w:w="40" w:type="dxa"/>
                  </w:tcMar>
                  <w:vAlign w:val="bottom"/>
                </w:tcPr>
                <w:p w14:paraId="1A926F9E"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Taxes on income (tax benefit)</w:t>
                  </w:r>
                </w:p>
              </w:tc>
              <w:tc>
                <w:tcPr>
                  <w:tcW w:w="873" w:type="dxa"/>
                  <w:tcBorders>
                    <w:top w:val="nil"/>
                    <w:left w:val="nil"/>
                    <w:bottom w:val="nil"/>
                    <w:right w:val="nil"/>
                    <w:tl2br w:val="nil"/>
                    <w:tr2bl w:val="nil"/>
                  </w:tcBorders>
                  <w:shd w:val="clear" w:color="auto" w:fill="auto"/>
                  <w:noWrap/>
                  <w:tcMar>
                    <w:left w:w="40" w:type="dxa"/>
                    <w:right w:w="235" w:type="dxa"/>
                  </w:tcMar>
                  <w:vAlign w:val="bottom"/>
                </w:tcPr>
                <w:p w14:paraId="7ED0BE7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450</w:t>
                  </w:r>
                </w:p>
              </w:tc>
              <w:tc>
                <w:tcPr>
                  <w:tcW w:w="426" w:type="dxa"/>
                  <w:tcBorders>
                    <w:top w:val="nil"/>
                    <w:left w:val="nil"/>
                    <w:bottom w:val="nil"/>
                    <w:right w:val="nil"/>
                    <w:tl2br w:val="nil"/>
                    <w:tr2bl w:val="nil"/>
                  </w:tcBorders>
                  <w:shd w:val="clear" w:color="auto" w:fill="auto"/>
                  <w:noWrap/>
                  <w:tcMar>
                    <w:left w:w="0" w:type="dxa"/>
                    <w:right w:w="405" w:type="dxa"/>
                  </w:tcMar>
                  <w:vAlign w:val="bottom"/>
                </w:tcPr>
                <w:p w14:paraId="2926B7D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40" w:type="dxa"/>
                    <w:right w:w="175" w:type="dxa"/>
                  </w:tcMar>
                  <w:vAlign w:val="bottom"/>
                </w:tcPr>
                <w:p w14:paraId="4D667A6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(1,003)</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6F72CB6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40" w:type="dxa"/>
                    <w:right w:w="235" w:type="dxa"/>
                  </w:tcMar>
                  <w:vAlign w:val="bottom"/>
                </w:tcPr>
                <w:p w14:paraId="21F3517E" w14:textId="2FD71342" w:rsidR="00213131" w:rsidRPr="004D7A72" w:rsidRDefault="00DC55A8" w:rsidP="00A65A6F">
                  <w:pPr>
                    <w:spacing w:before="0" w:after="0"/>
                    <w:jc w:val="right"/>
                    <w:rPr>
                      <w:rFonts w:asciiTheme="majorBidi" w:eastAsia="Ploni ML Medium AAA Medium" w:hAnsiTheme="majorBidi" w:cstheme="majorBidi"/>
                      <w:color w:val="000000"/>
                      <w:sz w:val="21"/>
                    </w:rPr>
                  </w:pPr>
                  <w:r>
                    <w:rPr>
                      <w:rFonts w:asciiTheme="majorBidi" w:hAnsiTheme="majorBidi" w:cstheme="majorBidi"/>
                      <w:color w:val="000000"/>
                      <w:sz w:val="21"/>
                    </w:rPr>
                    <w:t>23</w:t>
                  </w:r>
                  <w:r w:rsidR="006B45F7">
                    <w:rPr>
                      <w:rFonts w:asciiTheme="majorBidi" w:hAnsiTheme="majorBidi" w:cstheme="majorBidi"/>
                      <w:color w:val="000000"/>
                      <w:sz w:val="21"/>
                    </w:rPr>
                    <w:t>2</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0E8A257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nil"/>
                    <w:right w:val="nil"/>
                    <w:tl2br w:val="nil"/>
                    <w:tr2bl w:val="nil"/>
                  </w:tcBorders>
                  <w:shd w:val="clear" w:color="auto" w:fill="auto"/>
                  <w:noWrap/>
                  <w:tcMar>
                    <w:left w:w="40" w:type="dxa"/>
                    <w:right w:w="175" w:type="dxa"/>
                  </w:tcMar>
                  <w:vAlign w:val="bottom"/>
                </w:tcPr>
                <w:p w14:paraId="64CC2623" w14:textId="66744B33"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w:t>
                  </w:r>
                  <w:r w:rsidR="006B45F7">
                    <w:rPr>
                      <w:rFonts w:asciiTheme="majorBidi" w:hAnsiTheme="majorBidi" w:cstheme="majorBidi"/>
                      <w:color w:val="000000"/>
                      <w:sz w:val="21"/>
                    </w:rPr>
                    <w:t>1,382</w:t>
                  </w:r>
                  <w:r w:rsidRPr="004D7A72">
                    <w:rPr>
                      <w:rFonts w:asciiTheme="majorBidi" w:hAnsiTheme="majorBidi" w:cstheme="majorBidi"/>
                      <w:color w:val="000000"/>
                      <w:sz w:val="21"/>
                    </w:rPr>
                    <w:t>)</w:t>
                  </w:r>
                </w:p>
              </w:tc>
              <w:tc>
                <w:tcPr>
                  <w:tcW w:w="425" w:type="dxa"/>
                  <w:gridSpan w:val="2"/>
                  <w:tcBorders>
                    <w:top w:val="nil"/>
                    <w:left w:val="nil"/>
                    <w:bottom w:val="nil"/>
                    <w:right w:val="nil"/>
                    <w:tl2br w:val="nil"/>
                    <w:tr2bl w:val="nil"/>
                  </w:tcBorders>
                  <w:shd w:val="clear" w:color="auto" w:fill="auto"/>
                  <w:noWrap/>
                  <w:tcMar>
                    <w:left w:w="0" w:type="dxa"/>
                    <w:right w:w="405" w:type="dxa"/>
                  </w:tcMar>
                  <w:vAlign w:val="bottom"/>
                </w:tcPr>
                <w:p w14:paraId="06DFF9BD"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10" w:type="dxa"/>
                  <w:tcBorders>
                    <w:top w:val="nil"/>
                    <w:left w:val="nil"/>
                    <w:bottom w:val="nil"/>
                    <w:right w:val="nil"/>
                    <w:tl2br w:val="nil"/>
                    <w:tr2bl w:val="nil"/>
                  </w:tcBorders>
                  <w:shd w:val="clear" w:color="auto" w:fill="auto"/>
                  <w:noWrap/>
                  <w:tcMar>
                    <w:left w:w="40" w:type="dxa"/>
                    <w:right w:w="175" w:type="dxa"/>
                  </w:tcMar>
                  <w:vAlign w:val="bottom"/>
                </w:tcPr>
                <w:p w14:paraId="597C862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(798)</w:t>
                  </w:r>
                </w:p>
              </w:tc>
            </w:tr>
            <w:tr w:rsidR="00213131" w:rsidRPr="004D7A72" w14:paraId="40A90084"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507" w:type="dxa"/>
                  <w:tcBorders>
                    <w:top w:val="nil"/>
                    <w:left w:val="nil"/>
                    <w:bottom w:val="nil"/>
                    <w:right w:val="nil"/>
                    <w:tl2br w:val="nil"/>
                    <w:tr2bl w:val="nil"/>
                  </w:tcBorders>
                  <w:shd w:val="clear" w:color="auto" w:fill="auto"/>
                  <w:noWrap/>
                  <w:tcMar>
                    <w:left w:w="0" w:type="dxa"/>
                    <w:right w:w="0" w:type="dxa"/>
                  </w:tcMar>
                  <w:vAlign w:val="bottom"/>
                </w:tcPr>
                <w:p w14:paraId="6005E048"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p>
              </w:tc>
              <w:tc>
                <w:tcPr>
                  <w:tcW w:w="873" w:type="dxa"/>
                  <w:tcBorders>
                    <w:top w:val="nil"/>
                    <w:left w:val="nil"/>
                    <w:bottom w:val="single" w:sz="4" w:space="0" w:color="000000"/>
                    <w:right w:val="nil"/>
                    <w:tl2br w:val="nil"/>
                    <w:tr2bl w:val="nil"/>
                  </w:tcBorders>
                  <w:shd w:val="clear" w:color="auto" w:fill="auto"/>
                  <w:noWrap/>
                  <w:tcMar>
                    <w:left w:w="0" w:type="dxa"/>
                    <w:right w:w="135" w:type="dxa"/>
                  </w:tcMar>
                  <w:vAlign w:val="bottom"/>
                </w:tcPr>
                <w:p w14:paraId="5C7A091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6" w:type="dxa"/>
                  <w:tcBorders>
                    <w:top w:val="nil"/>
                    <w:left w:val="nil"/>
                    <w:bottom w:val="nil"/>
                    <w:right w:val="nil"/>
                    <w:tl2br w:val="nil"/>
                    <w:tr2bl w:val="nil"/>
                  </w:tcBorders>
                  <w:shd w:val="clear" w:color="auto" w:fill="auto"/>
                  <w:noWrap/>
                  <w:tcMar>
                    <w:left w:w="0" w:type="dxa"/>
                    <w:right w:w="405" w:type="dxa"/>
                  </w:tcMar>
                  <w:vAlign w:val="bottom"/>
                </w:tcPr>
                <w:p w14:paraId="50BB9684"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single" w:sz="4" w:space="0" w:color="000000"/>
                    <w:right w:val="nil"/>
                    <w:tl2br w:val="nil"/>
                    <w:tr2bl w:val="nil"/>
                  </w:tcBorders>
                  <w:shd w:val="clear" w:color="auto" w:fill="auto"/>
                  <w:noWrap/>
                  <w:tcMar>
                    <w:left w:w="0" w:type="dxa"/>
                    <w:right w:w="135" w:type="dxa"/>
                  </w:tcMar>
                  <w:vAlign w:val="bottom"/>
                </w:tcPr>
                <w:p w14:paraId="478A13A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1720D55F"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single" w:sz="4" w:space="0" w:color="000000"/>
                    <w:right w:val="nil"/>
                    <w:tl2br w:val="nil"/>
                    <w:tr2bl w:val="nil"/>
                  </w:tcBorders>
                  <w:shd w:val="clear" w:color="auto" w:fill="auto"/>
                  <w:noWrap/>
                  <w:tcMar>
                    <w:left w:w="0" w:type="dxa"/>
                    <w:right w:w="135" w:type="dxa"/>
                  </w:tcMar>
                  <w:vAlign w:val="bottom"/>
                </w:tcPr>
                <w:p w14:paraId="61A65FF9"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46BCB1B7"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nil"/>
                    <w:left w:val="nil"/>
                    <w:bottom w:val="single" w:sz="4" w:space="0" w:color="000000"/>
                    <w:right w:val="nil"/>
                    <w:tl2br w:val="nil"/>
                    <w:tr2bl w:val="nil"/>
                  </w:tcBorders>
                  <w:shd w:val="clear" w:color="auto" w:fill="auto"/>
                  <w:noWrap/>
                  <w:tcMar>
                    <w:left w:w="0" w:type="dxa"/>
                    <w:right w:w="135" w:type="dxa"/>
                  </w:tcMar>
                  <w:vAlign w:val="bottom"/>
                </w:tcPr>
                <w:p w14:paraId="4FFAA6A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425" w:type="dxa"/>
                  <w:gridSpan w:val="2"/>
                  <w:tcBorders>
                    <w:top w:val="nil"/>
                    <w:left w:val="nil"/>
                    <w:bottom w:val="nil"/>
                    <w:right w:val="nil"/>
                    <w:tl2br w:val="nil"/>
                    <w:tr2bl w:val="nil"/>
                  </w:tcBorders>
                  <w:shd w:val="clear" w:color="auto" w:fill="auto"/>
                  <w:noWrap/>
                  <w:tcMar>
                    <w:left w:w="0" w:type="dxa"/>
                    <w:right w:w="405" w:type="dxa"/>
                  </w:tcMar>
                  <w:vAlign w:val="bottom"/>
                </w:tcPr>
                <w:p w14:paraId="5DD8211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10" w:type="dxa"/>
                  <w:tcBorders>
                    <w:top w:val="nil"/>
                    <w:left w:val="nil"/>
                    <w:bottom w:val="single" w:sz="4" w:space="0" w:color="000000"/>
                    <w:right w:val="nil"/>
                    <w:tl2br w:val="nil"/>
                    <w:tr2bl w:val="nil"/>
                  </w:tcBorders>
                  <w:shd w:val="clear" w:color="auto" w:fill="auto"/>
                  <w:noWrap/>
                  <w:tcMar>
                    <w:left w:w="0" w:type="dxa"/>
                    <w:right w:w="135" w:type="dxa"/>
                  </w:tcMar>
                  <w:vAlign w:val="bottom"/>
                </w:tcPr>
                <w:p w14:paraId="477A7A0C"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r>
            <w:tr w:rsidR="00213131" w:rsidRPr="004D7A72" w14:paraId="7280CE3F"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507" w:type="dxa"/>
                  <w:tcBorders>
                    <w:top w:val="nil"/>
                    <w:left w:val="nil"/>
                    <w:bottom w:val="nil"/>
                    <w:right w:val="nil"/>
                    <w:tl2br w:val="nil"/>
                    <w:tr2bl w:val="nil"/>
                  </w:tcBorders>
                  <w:shd w:val="clear" w:color="auto" w:fill="auto"/>
                  <w:tcMar>
                    <w:left w:w="40" w:type="dxa"/>
                    <w:right w:w="40" w:type="dxa"/>
                  </w:tcMar>
                  <w:vAlign w:val="bottom"/>
                </w:tcPr>
                <w:p w14:paraId="2E859FD8" w14:textId="77777777" w:rsidR="00213131" w:rsidRPr="004D7A72" w:rsidRDefault="00213131" w:rsidP="00A65A6F">
                  <w:pPr>
                    <w:spacing w:before="0" w:after="0"/>
                    <w:jc w:val="left"/>
                    <w:rPr>
                      <w:rFonts w:asciiTheme="majorBidi" w:eastAsia="Ploni ML Medium AAA Medium" w:hAnsiTheme="majorBidi" w:cstheme="majorBidi"/>
                      <w:color w:val="000000"/>
                      <w:sz w:val="21"/>
                    </w:rPr>
                  </w:pPr>
                  <w:r w:rsidRPr="004D7A72">
                    <w:rPr>
                      <w:rFonts w:asciiTheme="majorBidi" w:hAnsiTheme="majorBidi" w:cstheme="majorBidi"/>
                      <w:color w:val="000000"/>
                      <w:sz w:val="21"/>
                    </w:rPr>
                    <w:t>Net profit (loss)</w:t>
                  </w:r>
                </w:p>
              </w:tc>
              <w:tc>
                <w:tcPr>
                  <w:tcW w:w="873"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5751FDC8"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2,565</w:t>
                  </w:r>
                </w:p>
              </w:tc>
              <w:tc>
                <w:tcPr>
                  <w:tcW w:w="426" w:type="dxa"/>
                  <w:tcBorders>
                    <w:top w:val="nil"/>
                    <w:left w:val="nil"/>
                    <w:bottom w:val="nil"/>
                    <w:right w:val="nil"/>
                    <w:tl2br w:val="nil"/>
                    <w:tr2bl w:val="nil"/>
                  </w:tcBorders>
                  <w:shd w:val="clear" w:color="auto" w:fill="auto"/>
                  <w:noWrap/>
                  <w:tcMar>
                    <w:left w:w="0" w:type="dxa"/>
                    <w:right w:w="405" w:type="dxa"/>
                  </w:tcMar>
                  <w:vAlign w:val="bottom"/>
                </w:tcPr>
                <w:p w14:paraId="7F81B31A"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2DC0D74B"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1,829</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5A1032FC"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3A80C61D" w14:textId="0F25E39F"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w:t>
                  </w:r>
                  <w:r w:rsidR="00DC55A8">
                    <w:rPr>
                      <w:rFonts w:asciiTheme="majorBidi" w:hAnsiTheme="majorBidi" w:cstheme="majorBidi"/>
                      <w:color w:val="000000"/>
                      <w:sz w:val="21"/>
                    </w:rPr>
                    <w:t>524</w:t>
                  </w:r>
                </w:p>
              </w:tc>
              <w:tc>
                <w:tcPr>
                  <w:tcW w:w="425" w:type="dxa"/>
                  <w:tcBorders>
                    <w:top w:val="nil"/>
                    <w:left w:val="nil"/>
                    <w:bottom w:val="nil"/>
                    <w:right w:val="nil"/>
                    <w:tl2br w:val="nil"/>
                    <w:tr2bl w:val="nil"/>
                  </w:tcBorders>
                  <w:shd w:val="clear" w:color="auto" w:fill="auto"/>
                  <w:noWrap/>
                  <w:tcMar>
                    <w:left w:w="0" w:type="dxa"/>
                    <w:right w:w="405" w:type="dxa"/>
                  </w:tcMar>
                  <w:vAlign w:val="bottom"/>
                </w:tcPr>
                <w:p w14:paraId="793D14D5"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872"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37552877" w14:textId="1D418F3C" w:rsidR="00213131" w:rsidRPr="004D7A72" w:rsidRDefault="006B45F7" w:rsidP="00A65A6F">
                  <w:pPr>
                    <w:spacing w:before="0" w:after="0"/>
                    <w:jc w:val="right"/>
                    <w:rPr>
                      <w:rFonts w:asciiTheme="majorBidi" w:eastAsia="Ploni ML Medium AAA Medium" w:hAnsiTheme="majorBidi" w:cstheme="majorBidi"/>
                      <w:color w:val="000000"/>
                      <w:sz w:val="21"/>
                    </w:rPr>
                  </w:pPr>
                  <w:r>
                    <w:rPr>
                      <w:rFonts w:asciiTheme="majorBidi" w:hAnsiTheme="majorBidi" w:cstheme="majorBidi"/>
                      <w:color w:val="000000"/>
                      <w:sz w:val="21"/>
                    </w:rPr>
                    <w:t>843</w:t>
                  </w:r>
                </w:p>
              </w:tc>
              <w:tc>
                <w:tcPr>
                  <w:tcW w:w="425" w:type="dxa"/>
                  <w:gridSpan w:val="2"/>
                  <w:tcBorders>
                    <w:top w:val="nil"/>
                    <w:left w:val="nil"/>
                    <w:bottom w:val="nil"/>
                    <w:right w:val="nil"/>
                    <w:tl2br w:val="nil"/>
                    <w:tr2bl w:val="nil"/>
                  </w:tcBorders>
                  <w:shd w:val="clear" w:color="auto" w:fill="auto"/>
                  <w:noWrap/>
                  <w:tcMar>
                    <w:left w:w="0" w:type="dxa"/>
                    <w:right w:w="405" w:type="dxa"/>
                  </w:tcMar>
                  <w:vAlign w:val="bottom"/>
                </w:tcPr>
                <w:p w14:paraId="58FE2516"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p>
              </w:tc>
              <w:tc>
                <w:tcPr>
                  <w:tcW w:w="1010" w:type="dxa"/>
                  <w:tcBorders>
                    <w:top w:val="single" w:sz="4" w:space="0" w:color="000000"/>
                    <w:left w:val="nil"/>
                    <w:bottom w:val="double" w:sz="6" w:space="0" w:color="000000"/>
                    <w:right w:val="nil"/>
                    <w:tl2br w:val="nil"/>
                    <w:tr2bl w:val="nil"/>
                  </w:tcBorders>
                  <w:shd w:val="clear" w:color="auto" w:fill="auto"/>
                  <w:noWrap/>
                  <w:tcMar>
                    <w:left w:w="40" w:type="dxa"/>
                    <w:right w:w="235" w:type="dxa"/>
                  </w:tcMar>
                  <w:vAlign w:val="bottom"/>
                </w:tcPr>
                <w:p w14:paraId="28E19E40" w14:textId="77777777" w:rsidR="00213131" w:rsidRPr="004D7A72" w:rsidRDefault="00213131" w:rsidP="00A65A6F">
                  <w:pPr>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5,125</w:t>
                  </w:r>
                </w:p>
              </w:tc>
            </w:tr>
          </w:tbl>
          <w:p w14:paraId="52752E49" w14:textId="77777777" w:rsidR="00213131" w:rsidRPr="004D7A72" w:rsidRDefault="00213131" w:rsidP="00A65A6F">
            <w:pPr>
              <w:rPr>
                <w:rFonts w:asciiTheme="majorBidi" w:hAnsiTheme="majorBidi" w:cstheme="majorBidi"/>
              </w:rPr>
            </w:pPr>
          </w:p>
        </w:tc>
      </w:tr>
    </w:tbl>
    <w:p w14:paraId="47F7A1E2" w14:textId="77777777" w:rsidR="00381355" w:rsidRPr="004D7A72" w:rsidRDefault="00381355" w:rsidP="00381355">
      <w:pPr>
        <w:pageBreakBefore/>
        <w:pBdr>
          <w:top w:val="nil"/>
          <w:left w:val="nil"/>
          <w:bottom w:val="nil"/>
          <w:right w:val="nil"/>
          <w:between w:val="nil"/>
          <w:bar w:val="nil"/>
        </w:pBdr>
        <w:tabs>
          <w:tab w:val="left" w:pos="-4254"/>
        </w:tabs>
        <w:contextualSpacing/>
        <w:outlineLvl w:val="3"/>
        <w:rPr>
          <w:rFonts w:asciiTheme="majorBidi" w:eastAsia="Calibri" w:hAnsiTheme="majorBidi" w:cstheme="majorBidi"/>
          <w:b/>
          <w:bCs/>
          <w:sz w:val="21"/>
          <w:szCs w:val="21"/>
        </w:rPr>
      </w:pPr>
      <w:r w:rsidRPr="004D7A72">
        <w:rPr>
          <w:rFonts w:asciiTheme="majorBidi" w:hAnsiTheme="majorBidi" w:cstheme="majorBidi"/>
          <w:b/>
          <w:sz w:val="21"/>
        </w:rPr>
        <w:lastRenderedPageBreak/>
        <w:t xml:space="preserve">Note 8 - Condensed Financial Information of CH </w:t>
      </w:r>
      <w:proofErr w:type="spellStart"/>
      <w:r w:rsidRPr="004D7A72">
        <w:rPr>
          <w:rFonts w:asciiTheme="majorBidi" w:hAnsiTheme="majorBidi" w:cstheme="majorBidi"/>
          <w:b/>
          <w:sz w:val="21"/>
        </w:rPr>
        <w:t>Targowek</w:t>
      </w:r>
      <w:proofErr w:type="spellEnd"/>
      <w:r w:rsidRPr="004D7A72">
        <w:rPr>
          <w:rFonts w:asciiTheme="majorBidi" w:hAnsiTheme="majorBidi" w:cstheme="majorBidi"/>
          <w:b/>
          <w:sz w:val="21"/>
        </w:rPr>
        <w:t xml:space="preserve"> (contd.)</w:t>
      </w:r>
    </w:p>
    <w:p w14:paraId="11836F20" w14:textId="77777777" w:rsidR="00213131" w:rsidRPr="004D7A72" w:rsidRDefault="00213131" w:rsidP="00213131">
      <w:pPr>
        <w:pStyle w:val="ListParagraph"/>
        <w:keepNext/>
        <w:keepLines/>
        <w:tabs>
          <w:tab w:val="left" w:pos="425"/>
          <w:tab w:val="left" w:pos="1133"/>
          <w:tab w:val="left" w:pos="1700"/>
          <w:tab w:val="left" w:pos="1789"/>
          <w:tab w:val="left" w:pos="1842"/>
          <w:tab w:val="left" w:pos="2267"/>
          <w:tab w:val="left" w:pos="2409"/>
        </w:tabs>
        <w:ind w:left="0"/>
        <w:contextualSpacing w:val="0"/>
        <w:rPr>
          <w:rFonts w:asciiTheme="majorBidi" w:hAnsiTheme="majorBidi" w:cstheme="majorBidi"/>
          <w:sz w:val="21"/>
          <w:szCs w:val="21"/>
        </w:rPr>
      </w:pPr>
      <w:r w:rsidRPr="004D7A72">
        <w:rPr>
          <w:rFonts w:asciiTheme="majorBidi" w:hAnsiTheme="majorBidi" w:cstheme="majorBidi"/>
          <w:sz w:val="21"/>
        </w:rPr>
        <w:t>Condensed financial information of cash flow</w:t>
      </w:r>
    </w:p>
    <w:tbl>
      <w:tblPr>
        <w:tblStyle w:val="TableGrid"/>
        <w:tblW w:w="5000" w:type="pct"/>
        <w:tblLook w:val="04A0" w:firstRow="1" w:lastRow="0" w:firstColumn="1" w:lastColumn="0" w:noHBand="0" w:noVBand="1"/>
      </w:tblPr>
      <w:tblGrid>
        <w:gridCol w:w="9923"/>
      </w:tblGrid>
      <w:tr w:rsidR="00213131" w:rsidRPr="004D7A72" w14:paraId="1F36A16D" w14:textId="77777777" w:rsidTr="00A65A6F">
        <w:trPr>
          <w:cantSplit/>
        </w:trPr>
        <w:tc>
          <w:tcPr>
            <w:tcW w:w="5000" w:type="pct"/>
            <w:tcBorders>
              <w:top w:val="nil"/>
              <w:left w:val="nil"/>
              <w:bottom w:val="nil"/>
              <w:right w:val="nil"/>
            </w:tcBorders>
          </w:tcPr>
          <w:tbl>
            <w:tblPr>
              <w:tblStyle w:val="CDMRange1"/>
              <w:tblW w:w="9585" w:type="dxa"/>
              <w:tblLook w:val="0600" w:firstRow="0" w:lastRow="0" w:firstColumn="0" w:lastColumn="0" w:noHBand="1" w:noVBand="1"/>
            </w:tblPr>
            <w:tblGrid>
              <w:gridCol w:w="4096"/>
              <w:gridCol w:w="995"/>
              <w:gridCol w:w="141"/>
              <w:gridCol w:w="995"/>
              <w:gridCol w:w="141"/>
              <w:gridCol w:w="995"/>
              <w:gridCol w:w="141"/>
              <w:gridCol w:w="995"/>
              <w:gridCol w:w="141"/>
              <w:gridCol w:w="1067"/>
            </w:tblGrid>
            <w:tr w:rsidR="00213131" w:rsidRPr="004D7A72" w14:paraId="76A9C690" w14:textId="77777777" w:rsidTr="00A65A6F">
              <w:trPr>
                <w:cantSplit/>
                <w:trHeight w:val="1310"/>
              </w:trPr>
              <w:tc>
                <w:tcPr>
                  <w:tcW w:w="4290" w:type="dxa"/>
                  <w:tcBorders>
                    <w:top w:val="nil"/>
                    <w:left w:val="nil"/>
                    <w:bottom w:val="nil"/>
                    <w:right w:val="nil"/>
                    <w:tl2br w:val="nil"/>
                    <w:tr2bl w:val="nil"/>
                  </w:tcBorders>
                  <w:shd w:val="clear" w:color="auto" w:fill="auto"/>
                  <w:noWrap/>
                  <w:tcMar>
                    <w:left w:w="0" w:type="dxa"/>
                    <w:right w:w="0" w:type="dxa"/>
                  </w:tcMar>
                  <w:vAlign w:val="bottom"/>
                </w:tcPr>
                <w:p w14:paraId="7A4AE415"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2070"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261CE215"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 xml:space="preserve">Six months ended </w:t>
                  </w:r>
                </w:p>
                <w:p w14:paraId="3D19FB33"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June 30</w:t>
                  </w:r>
                </w:p>
              </w:tc>
              <w:tc>
                <w:tcPr>
                  <w:tcW w:w="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8C69684" w14:textId="77777777" w:rsidR="00213131" w:rsidRPr="004D7A72" w:rsidRDefault="00213131" w:rsidP="00A65A6F">
                  <w:pPr>
                    <w:keepNext/>
                    <w:spacing w:before="0" w:after="0"/>
                    <w:jc w:val="left"/>
                    <w:rPr>
                      <w:rFonts w:asciiTheme="majorBidi" w:eastAsia="Ploni ML Medium AAA Medium" w:hAnsiTheme="majorBidi" w:cstheme="majorBidi"/>
                      <w:b/>
                      <w:color w:val="000000"/>
                    </w:rPr>
                  </w:pPr>
                </w:p>
              </w:tc>
              <w:tc>
                <w:tcPr>
                  <w:tcW w:w="2070"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65890843"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 xml:space="preserve">Three months ended </w:t>
                  </w:r>
                </w:p>
                <w:p w14:paraId="550EE906"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June 30</w:t>
                  </w:r>
                </w:p>
              </w:tc>
              <w:tc>
                <w:tcPr>
                  <w:tcW w:w="30" w:type="dxa"/>
                  <w:tcBorders>
                    <w:top w:val="nil"/>
                    <w:left w:val="nil"/>
                    <w:bottom w:val="single" w:sz="4" w:space="0" w:color="000000"/>
                    <w:right w:val="nil"/>
                    <w:tl2br w:val="nil"/>
                    <w:tr2bl w:val="nil"/>
                  </w:tcBorders>
                  <w:shd w:val="clear" w:color="auto" w:fill="auto"/>
                  <w:tcMar>
                    <w:left w:w="0" w:type="dxa"/>
                    <w:right w:w="0" w:type="dxa"/>
                  </w:tcMar>
                  <w:vAlign w:val="bottom"/>
                </w:tcPr>
                <w:p w14:paraId="380E8098"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14:paraId="1F6812E6"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Year ended December 31</w:t>
                  </w:r>
                </w:p>
              </w:tc>
            </w:tr>
            <w:tr w:rsidR="00213131" w:rsidRPr="004D7A72" w14:paraId="1537E9D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0" w:type="dxa"/>
                    <w:right w:w="0" w:type="dxa"/>
                  </w:tcMar>
                  <w:vAlign w:val="bottom"/>
                </w:tcPr>
                <w:p w14:paraId="6A336750"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10F6292"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2024</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455434"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CBC2E93"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539585"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39BDA2C"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2024</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0D8F11"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C366B25"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c>
                <w:tcPr>
                  <w:tcW w:w="3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EB960D3"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8C47E8F"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2023</w:t>
                  </w:r>
                </w:p>
              </w:tc>
            </w:tr>
            <w:tr w:rsidR="00213131" w:rsidRPr="004D7A72" w14:paraId="3172EF3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0" w:type="dxa"/>
                    <w:right w:w="0" w:type="dxa"/>
                  </w:tcMar>
                  <w:vAlign w:val="bottom"/>
                </w:tcPr>
                <w:p w14:paraId="1D120E22"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5295" w:type="dxa"/>
                  <w:gridSpan w:val="9"/>
                  <w:tcBorders>
                    <w:top w:val="nil"/>
                    <w:left w:val="nil"/>
                    <w:bottom w:val="single" w:sz="4" w:space="0" w:color="000000"/>
                    <w:right w:val="nil"/>
                    <w:tl2br w:val="nil"/>
                    <w:tr2bl w:val="nil"/>
                  </w:tcBorders>
                  <w:shd w:val="clear" w:color="auto" w:fill="auto"/>
                  <w:noWrap/>
                  <w:tcMar>
                    <w:left w:w="40" w:type="dxa"/>
                    <w:right w:w="40" w:type="dxa"/>
                  </w:tcMar>
                  <w:vAlign w:val="bottom"/>
                </w:tcPr>
                <w:p w14:paraId="58B4F6F5" w14:textId="77777777" w:rsidR="00213131" w:rsidRPr="004D7A72" w:rsidRDefault="00213131" w:rsidP="00A65A6F">
                  <w:pPr>
                    <w:keepNext/>
                    <w:spacing w:before="0" w:after="0"/>
                    <w:jc w:val="center"/>
                    <w:rPr>
                      <w:rFonts w:asciiTheme="majorBidi" w:eastAsia="Ploni ML Medium AAA Medium" w:hAnsiTheme="majorBidi" w:cstheme="majorBidi"/>
                      <w:b/>
                      <w:color w:val="000000"/>
                    </w:rPr>
                  </w:pPr>
                  <w:r w:rsidRPr="004D7A72">
                    <w:rPr>
                      <w:rFonts w:asciiTheme="majorBidi" w:hAnsiTheme="majorBidi" w:cstheme="majorBidi"/>
                      <w:b/>
                      <w:color w:val="000000"/>
                    </w:rPr>
                    <w:t>EUR thousands</w:t>
                  </w:r>
                </w:p>
              </w:tc>
            </w:tr>
            <w:tr w:rsidR="00213131" w:rsidRPr="004D7A72" w14:paraId="73B4075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290" w:type="dxa"/>
                  <w:tcBorders>
                    <w:top w:val="nil"/>
                    <w:left w:val="nil"/>
                    <w:bottom w:val="nil"/>
                    <w:right w:val="nil"/>
                    <w:tl2br w:val="nil"/>
                    <w:tr2bl w:val="nil"/>
                  </w:tcBorders>
                  <w:shd w:val="clear" w:color="auto" w:fill="auto"/>
                  <w:tcMar>
                    <w:left w:w="40" w:type="dxa"/>
                    <w:right w:w="40" w:type="dxa"/>
                  </w:tcMar>
                  <w:vAlign w:val="bottom"/>
                </w:tcPr>
                <w:p w14:paraId="2150057F"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u w:val="single"/>
                    </w:rPr>
                  </w:pPr>
                  <w:r w:rsidRPr="004D7A72">
                    <w:rPr>
                      <w:rFonts w:asciiTheme="majorBidi" w:hAnsiTheme="majorBidi" w:cstheme="majorBidi"/>
                      <w:color w:val="000000"/>
                      <w:sz w:val="21"/>
                      <w:u w:val="single"/>
                    </w:rPr>
                    <w:t>Cash flows from operating activities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EF9DEC"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8A36D6"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6669E2"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F90182"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BB9C1C"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60CDBD"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C1B755"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A31264"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05705A" w14:textId="77777777" w:rsidR="00213131" w:rsidRPr="004D7A72" w:rsidRDefault="00213131" w:rsidP="00A65A6F">
                  <w:pPr>
                    <w:keepNext/>
                    <w:spacing w:before="0" w:after="0"/>
                    <w:jc w:val="center"/>
                    <w:rPr>
                      <w:rFonts w:asciiTheme="majorBidi" w:eastAsia="Ploni ML Medium AAA Medium" w:hAnsiTheme="majorBidi" w:cstheme="majorBidi"/>
                      <w:b/>
                      <w:color w:val="000000"/>
                      <w:sz w:val="21"/>
                    </w:rPr>
                  </w:pPr>
                </w:p>
              </w:tc>
            </w:tr>
            <w:tr w:rsidR="00213131" w:rsidRPr="004D7A72" w14:paraId="173C2AD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5C8B260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Collected rents</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613E605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11,561</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3101B66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29BE6E7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10,851</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9A1CE0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1F6914B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5,765</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1D4BAEB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7B7A188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5,644</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160B53B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nil"/>
                    <w:left w:val="nil"/>
                    <w:bottom w:val="nil"/>
                    <w:right w:val="nil"/>
                    <w:tl2br w:val="nil"/>
                    <w:tr2bl w:val="nil"/>
                  </w:tcBorders>
                  <w:shd w:val="clear" w:color="auto" w:fill="auto"/>
                  <w:noWrap/>
                  <w:tcMar>
                    <w:left w:w="40" w:type="dxa"/>
                    <w:right w:w="175" w:type="dxa"/>
                  </w:tcMar>
                  <w:vAlign w:val="bottom"/>
                </w:tcPr>
                <w:p w14:paraId="4B97BD0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21,891</w:t>
                  </w:r>
                </w:p>
              </w:tc>
            </w:tr>
            <w:tr w:rsidR="00213131" w:rsidRPr="004D7A72" w14:paraId="6061437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7A4507E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Receipt of receivable payments</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454DC5F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294</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53AFAD4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1596766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217</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4847F99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0C3F295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235</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6E20CDE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7B873F8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107</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E9DE62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nil"/>
                    <w:left w:val="nil"/>
                    <w:bottom w:val="nil"/>
                    <w:right w:val="nil"/>
                    <w:tl2br w:val="nil"/>
                    <w:tr2bl w:val="nil"/>
                  </w:tcBorders>
                  <w:shd w:val="clear" w:color="auto" w:fill="auto"/>
                  <w:noWrap/>
                  <w:tcMar>
                    <w:left w:w="40" w:type="dxa"/>
                    <w:right w:w="175" w:type="dxa"/>
                  </w:tcMar>
                  <w:vAlign w:val="bottom"/>
                </w:tcPr>
                <w:p w14:paraId="5A934F9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293</w:t>
                  </w:r>
                </w:p>
              </w:tc>
            </w:tr>
            <w:tr w:rsidR="00213131" w:rsidRPr="004D7A72" w14:paraId="3BB659C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0E6751B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Payment to suppliers</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2CB635D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(6,027)</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653B5B1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31220B6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(5,543)</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21C089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08818B9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(3,031)</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6CD46BA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2C31FF8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(2,628)</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1524DF4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nil"/>
                    <w:left w:val="nil"/>
                    <w:bottom w:val="nil"/>
                    <w:right w:val="nil"/>
                    <w:tl2br w:val="nil"/>
                    <w:tr2bl w:val="nil"/>
                  </w:tcBorders>
                  <w:shd w:val="clear" w:color="auto" w:fill="auto"/>
                  <w:noWrap/>
                  <w:tcMar>
                    <w:left w:w="40" w:type="dxa"/>
                    <w:right w:w="175" w:type="dxa"/>
                  </w:tcMar>
                  <w:vAlign w:val="bottom"/>
                </w:tcPr>
                <w:p w14:paraId="429726C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(11,198)</w:t>
                  </w:r>
                </w:p>
              </w:tc>
            </w:tr>
            <w:tr w:rsidR="00213131" w:rsidRPr="004D7A72" w14:paraId="5CA1936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5DA02DAB"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 xml:space="preserve">Income tax paid </w:t>
                  </w: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504E04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290</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71DA20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6DD6E9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(264)</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47E74E7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FBB433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431</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1E0E701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AEF1DC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(135)</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3255A1E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A30C92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(82)</w:t>
                  </w:r>
                </w:p>
              </w:tc>
            </w:tr>
            <w:tr w:rsidR="00213131" w:rsidRPr="004D7A72" w14:paraId="3284030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40" w:type="dxa"/>
                    <w:right w:w="40" w:type="dxa"/>
                  </w:tcMar>
                  <w:vAlign w:val="bottom"/>
                </w:tcPr>
                <w:p w14:paraId="3DA136D4"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Net cash from operating activities</w:t>
                  </w: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CC13D6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6,118</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4C5C8E5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15CCE92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5,262</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7118952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571F67F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3,400</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6AE4445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521FE1F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2,989</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2C2C27C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4FEEAD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10,904</w:t>
                  </w:r>
                </w:p>
              </w:tc>
            </w:tr>
            <w:tr w:rsidR="00213131" w:rsidRPr="004D7A72" w14:paraId="2E0FE20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0" w:type="dxa"/>
                    <w:right w:w="0" w:type="dxa"/>
                  </w:tcMar>
                  <w:vAlign w:val="bottom"/>
                </w:tcPr>
                <w:p w14:paraId="0D7459D1"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3A6649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616DE18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F70D3E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367D133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755F7F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3816D5A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F0EA17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4F54FE2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AA66F7E"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r>
            <w:tr w:rsidR="00213131" w:rsidRPr="004D7A72" w14:paraId="382A074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40" w:type="dxa"/>
                    <w:right w:w="40" w:type="dxa"/>
                  </w:tcMar>
                  <w:vAlign w:val="bottom"/>
                </w:tcPr>
                <w:p w14:paraId="325F1BA8"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Cash flows from investment activities</w:t>
                  </w: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05B4D23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4F0C40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239CD75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52FD470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599A69AD"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13D4EA0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6A23537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6845707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nil"/>
                    <w:left w:val="nil"/>
                    <w:bottom w:val="nil"/>
                    <w:right w:val="nil"/>
                    <w:tl2br w:val="nil"/>
                    <w:tr2bl w:val="nil"/>
                  </w:tcBorders>
                  <w:shd w:val="clear" w:color="auto" w:fill="auto"/>
                  <w:noWrap/>
                  <w:tcMar>
                    <w:left w:w="0" w:type="dxa"/>
                    <w:right w:w="135" w:type="dxa"/>
                  </w:tcMar>
                  <w:vAlign w:val="bottom"/>
                </w:tcPr>
                <w:p w14:paraId="4AF8719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r>
            <w:tr w:rsidR="00213131" w:rsidRPr="004D7A72" w14:paraId="261D34B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3F65A70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Investment in investment property</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39C48909"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(122)</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43C9F689"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3603BE8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(312)</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48B2572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7CC65FE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(65)</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615976CE"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402FBA0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(113)</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200FF7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nil"/>
                    <w:left w:val="nil"/>
                    <w:bottom w:val="nil"/>
                    <w:right w:val="nil"/>
                    <w:tl2br w:val="nil"/>
                    <w:tr2bl w:val="nil"/>
                  </w:tcBorders>
                  <w:shd w:val="clear" w:color="auto" w:fill="auto"/>
                  <w:noWrap/>
                  <w:tcMar>
                    <w:left w:w="40" w:type="dxa"/>
                    <w:right w:w="175" w:type="dxa"/>
                  </w:tcMar>
                  <w:vAlign w:val="bottom"/>
                </w:tcPr>
                <w:p w14:paraId="7B55D01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(1,078)</w:t>
                  </w:r>
                </w:p>
              </w:tc>
            </w:tr>
            <w:tr w:rsidR="00213131" w:rsidRPr="004D7A72" w14:paraId="763A065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497B1A2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Loans granted to Group companies</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12A8332D"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(2,870)</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59BFFE5E"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358E3EC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(3,141)</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2D0A4D7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7F4A1EB9"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(1,666)</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5989994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0EC99B8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(1,127)</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675F302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nil"/>
                    <w:left w:val="nil"/>
                    <w:bottom w:val="nil"/>
                    <w:right w:val="nil"/>
                    <w:tl2br w:val="nil"/>
                    <w:tr2bl w:val="nil"/>
                  </w:tcBorders>
                  <w:shd w:val="clear" w:color="auto" w:fill="auto"/>
                  <w:noWrap/>
                  <w:tcMar>
                    <w:left w:w="40" w:type="dxa"/>
                    <w:right w:w="175" w:type="dxa"/>
                  </w:tcMar>
                  <w:vAlign w:val="bottom"/>
                </w:tcPr>
                <w:p w14:paraId="49C719E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(6,244)</w:t>
                  </w:r>
                </w:p>
              </w:tc>
            </w:tr>
            <w:tr w:rsidR="00213131" w:rsidRPr="004D7A72" w14:paraId="402CF1A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2B130E4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Repayment of loans to Group companies</w:t>
                  </w: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5169FD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9,625</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1FFDE45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A2E18D9"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12</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57C39F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9C8793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9,625</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6AE0286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47B9C7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12</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52E43F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AF33B0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70</w:t>
                  </w:r>
                </w:p>
              </w:tc>
            </w:tr>
            <w:tr w:rsidR="00213131" w:rsidRPr="004D7A72" w14:paraId="6A756C5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290" w:type="dxa"/>
                  <w:tcBorders>
                    <w:top w:val="nil"/>
                    <w:left w:val="nil"/>
                    <w:bottom w:val="nil"/>
                    <w:right w:val="nil"/>
                    <w:tl2br w:val="nil"/>
                    <w:tr2bl w:val="nil"/>
                  </w:tcBorders>
                  <w:shd w:val="clear" w:color="auto" w:fill="auto"/>
                  <w:tcMar>
                    <w:left w:w="40" w:type="dxa"/>
                    <w:right w:w="40" w:type="dxa"/>
                  </w:tcMar>
                  <w:vAlign w:val="center"/>
                </w:tcPr>
                <w:p w14:paraId="17409481"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Net cash flows from (used in) investment activities</w:t>
                  </w: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238DC8B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6,633</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115AFD7D"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ABB5D6E"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(3,440)</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30FC279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5486C10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7,894</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50A77A0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4401A55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(1,227)</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E305D3D"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707598D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(7,252)</w:t>
                  </w:r>
                </w:p>
              </w:tc>
            </w:tr>
            <w:tr w:rsidR="00213131" w:rsidRPr="004D7A72" w14:paraId="683A97F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0" w:type="dxa"/>
                    <w:right w:w="0" w:type="dxa"/>
                  </w:tcMar>
                  <w:vAlign w:val="bottom"/>
                </w:tcPr>
                <w:p w14:paraId="35C9FF60"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156E17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1D135E2E"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B10D20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1F56C6D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F16ED9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DA5784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003D4A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4E0289A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26783DD"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r>
            <w:tr w:rsidR="00213131" w:rsidRPr="004D7A72" w14:paraId="51FFDE7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40" w:type="dxa"/>
                    <w:right w:w="40" w:type="dxa"/>
                  </w:tcMar>
                  <w:vAlign w:val="bottom"/>
                </w:tcPr>
                <w:p w14:paraId="2AE4C10A"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Cash flow from financing activities</w:t>
                  </w: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24CE5C19"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1BAFFF2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49DC4D5D"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2390CC9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0505949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42227FF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4093B3B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7D61776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nil"/>
                    <w:left w:val="nil"/>
                    <w:bottom w:val="nil"/>
                    <w:right w:val="nil"/>
                    <w:tl2br w:val="nil"/>
                    <w:tr2bl w:val="nil"/>
                  </w:tcBorders>
                  <w:shd w:val="clear" w:color="auto" w:fill="auto"/>
                  <w:noWrap/>
                  <w:tcMar>
                    <w:left w:w="0" w:type="dxa"/>
                    <w:right w:w="135" w:type="dxa"/>
                  </w:tcMar>
                  <w:vAlign w:val="bottom"/>
                </w:tcPr>
                <w:p w14:paraId="1F2E65B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r>
            <w:tr w:rsidR="00213131" w:rsidRPr="004D7A72" w14:paraId="6A45D67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40" w:type="dxa"/>
                    <w:right w:w="40" w:type="dxa"/>
                  </w:tcMar>
                  <w:vAlign w:val="bottom"/>
                </w:tcPr>
                <w:p w14:paraId="60073B2C"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Repayment of loans among Group companies</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1075F80E"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(6,701)</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18B9E83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2F0F13A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(2,192)</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7071969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50AA8C59"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(5,536)</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39D7116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0AC3FC9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(333)</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1BBE8BC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nil"/>
                    <w:left w:val="nil"/>
                    <w:bottom w:val="nil"/>
                    <w:right w:val="nil"/>
                    <w:tl2br w:val="nil"/>
                    <w:tr2bl w:val="nil"/>
                  </w:tcBorders>
                  <w:shd w:val="clear" w:color="auto" w:fill="auto"/>
                  <w:noWrap/>
                  <w:tcMar>
                    <w:left w:w="40" w:type="dxa"/>
                    <w:right w:w="175" w:type="dxa"/>
                  </w:tcMar>
                  <w:vAlign w:val="bottom"/>
                </w:tcPr>
                <w:p w14:paraId="7804C6A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(4,474)</w:t>
                  </w:r>
                </w:p>
              </w:tc>
            </w:tr>
            <w:tr w:rsidR="00213131" w:rsidRPr="004D7A72" w14:paraId="72B910A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40" w:type="dxa"/>
                    <w:right w:w="40" w:type="dxa"/>
                  </w:tcMar>
                  <w:vAlign w:val="bottom"/>
                </w:tcPr>
                <w:p w14:paraId="1440D545"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Reduction of Capital</w:t>
                  </w: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642633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(6,348)</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BE5738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C8DB22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62F826CE"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4F5A64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(6,348)</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3EF975F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32E919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2C933A8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739E2A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w:t>
                  </w:r>
                </w:p>
              </w:tc>
            </w:tr>
            <w:tr w:rsidR="00213131" w:rsidRPr="004D7A72" w14:paraId="41AD614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40" w:type="dxa"/>
                    <w:right w:w="40" w:type="dxa"/>
                  </w:tcMar>
                  <w:vAlign w:val="bottom"/>
                </w:tcPr>
                <w:p w14:paraId="40C1F89E"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Net cash from (used for) financing operations</w:t>
                  </w: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C6BA6B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(13,049)</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78E82BE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7DE8F9F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(2,192)</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6DCB13E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22C6AF2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(11,884)</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3B39395D"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1D5A7D5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(333)</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3387B3F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7811105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(4,474)</w:t>
                  </w:r>
                </w:p>
              </w:tc>
            </w:tr>
            <w:tr w:rsidR="00213131" w:rsidRPr="004D7A72" w14:paraId="73F761E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0" w:type="dxa"/>
                    <w:right w:w="0" w:type="dxa"/>
                  </w:tcMar>
                  <w:vAlign w:val="bottom"/>
                </w:tcPr>
                <w:p w14:paraId="3379C220"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p>
              </w:tc>
              <w:tc>
                <w:tcPr>
                  <w:tcW w:w="102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61191D9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1B910D2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6B1C50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CE0FBD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E2AD7A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3C9EF18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38A4070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7AD981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29B0855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r>
            <w:tr w:rsidR="00213131" w:rsidRPr="004D7A72" w14:paraId="4E8B8E1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5"/>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7473767D" w14:textId="77777777" w:rsidR="00213131" w:rsidRPr="004D7A72" w:rsidRDefault="00213131" w:rsidP="00A65A6F">
                  <w:pPr>
                    <w:keepNext/>
                    <w:spacing w:before="0" w:after="0"/>
                    <w:jc w:val="left"/>
                    <w:rPr>
                      <w:rFonts w:asciiTheme="majorBidi" w:eastAsia="Ploni ML Medium AAA Medium" w:hAnsiTheme="majorBidi" w:cstheme="majorBidi"/>
                      <w:color w:val="000000"/>
                    </w:rPr>
                  </w:pPr>
                  <w:r w:rsidRPr="004D7A72">
                    <w:rPr>
                      <w:rFonts w:asciiTheme="majorBidi" w:hAnsiTheme="majorBidi" w:cstheme="majorBidi"/>
                      <w:color w:val="000000"/>
                    </w:rPr>
                    <w:t>Exchange differences for cash and cash equivalents</w:t>
                  </w: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0C95939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614CF820"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60D7DAC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44</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53F03D5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426DE58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(14)</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D0C6636"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40" w:type="dxa"/>
                    <w:right w:w="175" w:type="dxa"/>
                  </w:tcMar>
                  <w:vAlign w:val="bottom"/>
                </w:tcPr>
                <w:p w14:paraId="2FB9CF2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33</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64BF09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nil"/>
                    <w:left w:val="nil"/>
                    <w:bottom w:val="nil"/>
                    <w:right w:val="nil"/>
                    <w:tl2br w:val="nil"/>
                    <w:tr2bl w:val="nil"/>
                  </w:tcBorders>
                  <w:shd w:val="clear" w:color="auto" w:fill="auto"/>
                  <w:noWrap/>
                  <w:tcMar>
                    <w:left w:w="40" w:type="dxa"/>
                    <w:right w:w="175" w:type="dxa"/>
                  </w:tcMar>
                  <w:vAlign w:val="bottom"/>
                </w:tcPr>
                <w:p w14:paraId="2A59B54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83</w:t>
                  </w:r>
                </w:p>
              </w:tc>
            </w:tr>
            <w:tr w:rsidR="00213131" w:rsidRPr="004D7A72" w14:paraId="62E4AD8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290" w:type="dxa"/>
                  <w:tcBorders>
                    <w:top w:val="nil"/>
                    <w:left w:val="nil"/>
                    <w:bottom w:val="nil"/>
                    <w:right w:val="nil"/>
                    <w:tl2br w:val="nil"/>
                    <w:tr2bl w:val="nil"/>
                  </w:tcBorders>
                  <w:shd w:val="clear" w:color="auto" w:fill="auto"/>
                  <w:noWrap/>
                  <w:tcMar>
                    <w:left w:w="0" w:type="dxa"/>
                    <w:right w:w="0" w:type="dxa"/>
                  </w:tcMar>
                  <w:vAlign w:val="bottom"/>
                </w:tcPr>
                <w:p w14:paraId="5AD74F37" w14:textId="77777777" w:rsidR="00213131" w:rsidRPr="004D7A72" w:rsidRDefault="00213131" w:rsidP="00A65A6F">
                  <w:pPr>
                    <w:keepNext/>
                    <w:spacing w:before="0" w:after="0"/>
                    <w:jc w:val="lef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1106CDA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4D0CE70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03088D9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7A2D296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319A5A2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981F6D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nil"/>
                    <w:right w:val="nil"/>
                    <w:tl2br w:val="nil"/>
                    <w:tr2bl w:val="nil"/>
                  </w:tcBorders>
                  <w:shd w:val="clear" w:color="auto" w:fill="auto"/>
                  <w:noWrap/>
                  <w:tcMar>
                    <w:left w:w="0" w:type="dxa"/>
                    <w:right w:w="135" w:type="dxa"/>
                  </w:tcMar>
                  <w:vAlign w:val="bottom"/>
                </w:tcPr>
                <w:p w14:paraId="59E874E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45DA462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nil"/>
                    <w:left w:val="nil"/>
                    <w:bottom w:val="nil"/>
                    <w:right w:val="nil"/>
                    <w:tl2br w:val="nil"/>
                    <w:tr2bl w:val="nil"/>
                  </w:tcBorders>
                  <w:shd w:val="clear" w:color="auto" w:fill="auto"/>
                  <w:noWrap/>
                  <w:tcMar>
                    <w:left w:w="0" w:type="dxa"/>
                    <w:right w:w="135" w:type="dxa"/>
                  </w:tcMar>
                  <w:vAlign w:val="bottom"/>
                </w:tcPr>
                <w:p w14:paraId="61C1CD0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r>
            <w:tr w:rsidR="00213131" w:rsidRPr="004D7A72" w14:paraId="4F165B5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1"/>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79E3437A"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Increase (decrease) in cash and cash equivalents</w:t>
                  </w: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EA09B2E"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(301)</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126DF0EE"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EC09D4D"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(326)</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5E5F4759"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840F9E7"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(604)</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3FBFBAD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970364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1,462</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20DF300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D41C459"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(739)</w:t>
                  </w:r>
                </w:p>
              </w:tc>
            </w:tr>
            <w:tr w:rsidR="00213131" w:rsidRPr="004D7A72" w14:paraId="0FC1A66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27BA8CEB"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Cash and cash equivalents at the beginning of the period</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3ABCE053"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1,521</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7AF69888"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61468514"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2,260</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696C2AD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75B4DE2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1,824</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36BCADFB"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7F6B483A"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472</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51BED54D"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2109CB1C"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2,260</w:t>
                  </w:r>
                </w:p>
              </w:tc>
            </w:tr>
            <w:tr w:rsidR="00213131" w:rsidRPr="004D7A72" w14:paraId="4B1FE28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24"/>
              </w:trPr>
              <w:tc>
                <w:tcPr>
                  <w:tcW w:w="4290" w:type="dxa"/>
                  <w:tcBorders>
                    <w:top w:val="nil"/>
                    <w:left w:val="nil"/>
                    <w:bottom w:val="nil"/>
                    <w:right w:val="nil"/>
                    <w:tl2br w:val="nil"/>
                    <w:tr2bl w:val="nil"/>
                  </w:tcBorders>
                  <w:shd w:val="clear" w:color="auto" w:fill="auto"/>
                  <w:noWrap/>
                  <w:tcMar>
                    <w:left w:w="40" w:type="dxa"/>
                    <w:right w:w="40" w:type="dxa"/>
                  </w:tcMar>
                  <w:vAlign w:val="bottom"/>
                </w:tcPr>
                <w:p w14:paraId="13186301" w14:textId="77777777" w:rsidR="00213131" w:rsidRPr="004D7A72" w:rsidRDefault="00213131" w:rsidP="00A65A6F">
                  <w:pPr>
                    <w:keepNext/>
                    <w:spacing w:before="0" w:after="0"/>
                    <w:jc w:val="left"/>
                    <w:rPr>
                      <w:rFonts w:asciiTheme="majorBidi" w:eastAsia="Ploni ML Medium AAA Medium" w:hAnsiTheme="majorBidi" w:cstheme="majorBidi"/>
                      <w:color w:val="000000"/>
                      <w:u w:val="single"/>
                    </w:rPr>
                  </w:pPr>
                  <w:r w:rsidRPr="004D7A72">
                    <w:rPr>
                      <w:rFonts w:asciiTheme="majorBidi" w:hAnsiTheme="majorBidi" w:cstheme="majorBidi"/>
                      <w:color w:val="000000"/>
                      <w:u w:val="single"/>
                    </w:rPr>
                    <w:t>Cash and cash equivalents at the end of the period</w:t>
                  </w: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299AE4B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1,220</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36445782"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76DDDDB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1,934</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388F4D89"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6C9E4015"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1,220</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0E0D522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20"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30147011"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1,934</w:t>
                  </w:r>
                </w:p>
              </w:tc>
              <w:tc>
                <w:tcPr>
                  <w:tcW w:w="30" w:type="dxa"/>
                  <w:tcBorders>
                    <w:top w:val="nil"/>
                    <w:left w:val="nil"/>
                    <w:bottom w:val="nil"/>
                    <w:right w:val="nil"/>
                    <w:tl2br w:val="nil"/>
                    <w:tr2bl w:val="nil"/>
                  </w:tcBorders>
                  <w:shd w:val="clear" w:color="auto" w:fill="auto"/>
                  <w:noWrap/>
                  <w:tcMar>
                    <w:left w:w="0" w:type="dxa"/>
                    <w:right w:w="135" w:type="dxa"/>
                  </w:tcMar>
                  <w:vAlign w:val="bottom"/>
                </w:tcPr>
                <w:p w14:paraId="1B1BF8D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p>
              </w:tc>
              <w:tc>
                <w:tcPr>
                  <w:tcW w:w="1095" w:type="dxa"/>
                  <w:tcBorders>
                    <w:top w:val="single" w:sz="4" w:space="0" w:color="000000"/>
                    <w:left w:val="nil"/>
                    <w:bottom w:val="double" w:sz="6" w:space="0" w:color="000000"/>
                    <w:right w:val="nil"/>
                    <w:tl2br w:val="nil"/>
                    <w:tr2bl w:val="nil"/>
                  </w:tcBorders>
                  <w:shd w:val="clear" w:color="auto" w:fill="auto"/>
                  <w:noWrap/>
                  <w:tcMar>
                    <w:left w:w="40" w:type="dxa"/>
                    <w:right w:w="175" w:type="dxa"/>
                  </w:tcMar>
                  <w:vAlign w:val="bottom"/>
                </w:tcPr>
                <w:p w14:paraId="1B273B6F" w14:textId="77777777" w:rsidR="00213131" w:rsidRPr="004D7A72" w:rsidRDefault="00213131" w:rsidP="00A65A6F">
                  <w:pPr>
                    <w:keepNext/>
                    <w:spacing w:before="0" w:after="0"/>
                    <w:jc w:val="right"/>
                    <w:rPr>
                      <w:rFonts w:asciiTheme="majorBidi" w:eastAsia="Ploni ML Medium AAA Medium" w:hAnsiTheme="majorBidi" w:cstheme="majorBidi"/>
                      <w:color w:val="000000"/>
                      <w:sz w:val="21"/>
                    </w:rPr>
                  </w:pPr>
                  <w:r w:rsidRPr="004D7A72">
                    <w:rPr>
                      <w:rFonts w:asciiTheme="majorBidi" w:hAnsiTheme="majorBidi" w:cstheme="majorBidi"/>
                      <w:color w:val="000000"/>
                      <w:sz w:val="21"/>
                    </w:rPr>
                    <w:t xml:space="preserve"> 1,521</w:t>
                  </w:r>
                </w:p>
              </w:tc>
            </w:tr>
          </w:tbl>
          <w:p w14:paraId="2142EACE" w14:textId="77777777" w:rsidR="00213131" w:rsidRPr="004D7A72" w:rsidRDefault="00213131" w:rsidP="00A65A6F">
            <w:pPr>
              <w:rPr>
                <w:rFonts w:asciiTheme="majorBidi" w:hAnsiTheme="majorBidi" w:cstheme="majorBidi"/>
              </w:rPr>
            </w:pPr>
          </w:p>
        </w:tc>
      </w:tr>
    </w:tbl>
    <w:p w14:paraId="0DDB9C1B" w14:textId="77777777" w:rsidR="00213131" w:rsidRDefault="00213131" w:rsidP="00213131">
      <w:pPr>
        <w:pStyle w:val="ListParagraph"/>
        <w:keepNext/>
        <w:keepLines/>
        <w:tabs>
          <w:tab w:val="left" w:pos="1133"/>
        </w:tabs>
        <w:ind w:left="0"/>
        <w:contextualSpacing w:val="0"/>
        <w:outlineLvl w:val="0"/>
        <w:rPr>
          <w:rFonts w:ascii="Ploni ML Medium AAA Medium" w:hAnsi="Ploni ML Medium AAA Medium" w:cs="Ploni ML Medium AAA Medium"/>
          <w:sz w:val="21"/>
          <w:szCs w:val="21"/>
          <w:u w:val="single"/>
        </w:rPr>
      </w:pPr>
      <w:bookmarkStart w:id="177" w:name="H4_באור_10Note_כללי_1"/>
    </w:p>
    <w:p w14:paraId="3D00728E" w14:textId="77777777" w:rsidR="00213131" w:rsidRPr="004D7A72" w:rsidRDefault="00213131" w:rsidP="00213131">
      <w:pPr>
        <w:pStyle w:val="ListParagraph"/>
        <w:keepNext/>
        <w:keepLines/>
        <w:tabs>
          <w:tab w:val="left" w:pos="1133"/>
        </w:tabs>
        <w:ind w:left="0"/>
        <w:contextualSpacing w:val="0"/>
        <w:outlineLvl w:val="0"/>
        <w:rPr>
          <w:rFonts w:asciiTheme="majorBidi" w:hAnsiTheme="majorBidi" w:cstheme="majorBidi"/>
          <w:sz w:val="21"/>
          <w:szCs w:val="21"/>
          <w:u w:val="single"/>
        </w:rPr>
      </w:pPr>
      <w:r w:rsidRPr="004D7A72">
        <w:rPr>
          <w:rFonts w:asciiTheme="majorBidi" w:hAnsiTheme="majorBidi" w:cstheme="majorBidi"/>
          <w:sz w:val="21"/>
          <w:u w:val="single"/>
        </w:rPr>
        <w:t>Key Notes</w:t>
      </w:r>
    </w:p>
    <w:bookmarkEnd w:id="177"/>
    <w:p w14:paraId="553774A5" w14:textId="77777777" w:rsidR="00213131" w:rsidRPr="004D7A72" w:rsidRDefault="00213131" w:rsidP="004D7A72">
      <w:pPr>
        <w:pStyle w:val="ListParagraph"/>
        <w:keepLines/>
        <w:numPr>
          <w:ilvl w:val="0"/>
          <w:numId w:val="57"/>
        </w:numPr>
        <w:tabs>
          <w:tab w:val="left" w:pos="425"/>
        </w:tabs>
        <w:spacing w:before="60" w:after="60" w:line="276" w:lineRule="auto"/>
        <w:ind w:left="474" w:hanging="425"/>
        <w:rPr>
          <w:rFonts w:asciiTheme="majorBidi" w:hAnsiTheme="majorBidi" w:cstheme="majorBidi"/>
          <w:sz w:val="21"/>
          <w:szCs w:val="21"/>
        </w:rPr>
      </w:pPr>
      <w:r w:rsidRPr="004D7A72">
        <w:rPr>
          <w:rFonts w:asciiTheme="majorBidi" w:hAnsiTheme="majorBidi" w:cstheme="majorBidi"/>
          <w:sz w:val="21"/>
        </w:rPr>
        <w:t xml:space="preserve"> CH </w:t>
      </w:r>
      <w:proofErr w:type="spellStart"/>
      <w:r w:rsidRPr="004D7A72">
        <w:rPr>
          <w:rFonts w:asciiTheme="majorBidi" w:hAnsiTheme="majorBidi" w:cstheme="majorBidi"/>
          <w:sz w:val="21"/>
        </w:rPr>
        <w:t>Targowek</w:t>
      </w:r>
      <w:proofErr w:type="spellEnd"/>
      <w:r w:rsidRPr="004D7A72">
        <w:rPr>
          <w:rFonts w:asciiTheme="majorBidi" w:hAnsiTheme="majorBidi" w:cstheme="majorBidi"/>
          <w:sz w:val="21"/>
        </w:rPr>
        <w:t xml:space="preserve"> sp. Z o. o. is a company incorporated in Poland, which engages in the management of income-generating real estate and owns the Atrium </w:t>
      </w:r>
      <w:proofErr w:type="spellStart"/>
      <w:r w:rsidRPr="004D7A72">
        <w:rPr>
          <w:rFonts w:asciiTheme="majorBidi" w:hAnsiTheme="majorBidi" w:cstheme="majorBidi"/>
          <w:sz w:val="21"/>
        </w:rPr>
        <w:t>Targowek</w:t>
      </w:r>
      <w:proofErr w:type="spellEnd"/>
      <w:r w:rsidRPr="004D7A72">
        <w:rPr>
          <w:rFonts w:asciiTheme="majorBidi" w:hAnsiTheme="majorBidi" w:cstheme="majorBidi"/>
          <w:sz w:val="21"/>
        </w:rPr>
        <w:t xml:space="preserve"> Shopping Center in Warsaw, Poland.</w:t>
      </w:r>
    </w:p>
    <w:p w14:paraId="4B82CD96" w14:textId="77777777" w:rsidR="00213131" w:rsidRPr="004D7A72" w:rsidRDefault="00213131" w:rsidP="00213131">
      <w:pPr>
        <w:pStyle w:val="ListParagraph"/>
        <w:keepLines/>
        <w:tabs>
          <w:tab w:val="left" w:pos="425"/>
        </w:tabs>
        <w:ind w:left="474"/>
        <w:rPr>
          <w:rFonts w:asciiTheme="majorBidi" w:hAnsiTheme="majorBidi" w:cstheme="majorBidi"/>
          <w:sz w:val="21"/>
          <w:szCs w:val="21"/>
        </w:rPr>
      </w:pPr>
      <w:r w:rsidRPr="004D7A72">
        <w:rPr>
          <w:rFonts w:asciiTheme="majorBidi" w:hAnsiTheme="majorBidi" w:cstheme="majorBidi"/>
          <w:sz w:val="21"/>
        </w:rPr>
        <w:t>The company is wholly owned (indirectly) by G City Ltd. (G. City). The financial information in these financial statements were consolidated into the consolidated financial statements of G City for the relevant periods.</w:t>
      </w:r>
    </w:p>
    <w:p w14:paraId="7415BFB1" w14:textId="0B27D10B" w:rsidR="00213131" w:rsidRPr="00200E0C" w:rsidRDefault="00213131" w:rsidP="004D7A72">
      <w:pPr>
        <w:pStyle w:val="ListParagraph"/>
        <w:keepLines/>
        <w:numPr>
          <w:ilvl w:val="0"/>
          <w:numId w:val="57"/>
        </w:numPr>
        <w:tabs>
          <w:tab w:val="left" w:pos="474"/>
        </w:tabs>
        <w:spacing w:before="60" w:after="60" w:line="276" w:lineRule="auto"/>
        <w:ind w:left="474" w:hanging="425"/>
        <w:rPr>
          <w:rFonts w:asciiTheme="majorBidi" w:hAnsiTheme="majorBidi" w:cstheme="majorBidi"/>
          <w:sz w:val="21"/>
          <w:szCs w:val="21"/>
        </w:rPr>
      </w:pPr>
      <w:r w:rsidRPr="004D7A72">
        <w:rPr>
          <w:rFonts w:asciiTheme="majorBidi" w:hAnsiTheme="majorBidi" w:cstheme="majorBidi"/>
          <w:sz w:val="21"/>
        </w:rPr>
        <w:t xml:space="preserve">The accounting policies applied in these condensed financial statements are consistent with those applied in preparing the consolidated financial statements of </w:t>
      </w:r>
      <w:r w:rsidR="00E35106">
        <w:rPr>
          <w:rFonts w:asciiTheme="majorBidi" w:hAnsiTheme="majorBidi" w:cstheme="majorBidi"/>
          <w:sz w:val="21"/>
        </w:rPr>
        <w:t>December 31, 20</w:t>
      </w:r>
      <w:r w:rsidRPr="004D7A72">
        <w:rPr>
          <w:rFonts w:asciiTheme="majorBidi" w:hAnsiTheme="majorBidi" w:cstheme="majorBidi"/>
          <w:sz w:val="21"/>
        </w:rPr>
        <w:t>23.</w:t>
      </w:r>
    </w:p>
    <w:p w14:paraId="039ED02C" w14:textId="77777777" w:rsidR="00200E0C" w:rsidRDefault="00200E0C" w:rsidP="00200E0C">
      <w:pPr>
        <w:pStyle w:val="ListParagraph"/>
        <w:keepLines/>
        <w:tabs>
          <w:tab w:val="left" w:pos="474"/>
        </w:tabs>
        <w:spacing w:before="60" w:after="60" w:line="276" w:lineRule="auto"/>
        <w:ind w:left="474"/>
        <w:rPr>
          <w:rFonts w:asciiTheme="majorBidi" w:hAnsiTheme="majorBidi" w:cstheme="majorBidi"/>
          <w:sz w:val="21"/>
          <w:szCs w:val="21"/>
        </w:rPr>
        <w:sectPr w:rsidR="00200E0C" w:rsidSect="007F4C68">
          <w:headerReference w:type="even" r:id="rId64"/>
          <w:headerReference w:type="default" r:id="rId65"/>
          <w:footerReference w:type="even" r:id="rId66"/>
          <w:footerReference w:type="default" r:id="rId67"/>
          <w:headerReference w:type="first" r:id="rId68"/>
          <w:footerReference w:type="first" r:id="rId69"/>
          <w:footnotePr>
            <w:numRestart w:val="eachPage"/>
          </w:footnotePr>
          <w:type w:val="continuous"/>
          <w:pgSz w:w="11906" w:h="16838"/>
          <w:pgMar w:top="851" w:right="991" w:bottom="1134" w:left="992" w:header="567" w:footer="567" w:gutter="0"/>
          <w:pgBorders>
            <w:top w:val="nil"/>
            <w:left w:val="nil"/>
            <w:bottom w:val="nil"/>
            <w:right w:val="nil"/>
          </w:pgBorders>
          <w:cols w:space="708"/>
          <w:bidi/>
          <w:rtlGutter/>
          <w:docGrid w:linePitch="360"/>
        </w:sectPr>
      </w:pPr>
    </w:p>
    <w:p w14:paraId="60DEC530" w14:textId="77777777" w:rsidR="00200E0C" w:rsidRPr="00245577" w:rsidRDefault="00200E0C" w:rsidP="00200E0C">
      <w:pPr>
        <w:pStyle w:val="ListParagraph"/>
        <w:pageBreakBefore/>
        <w:ind w:left="567" w:right="850"/>
        <w:jc w:val="center"/>
        <w:outlineLvl w:val="1"/>
        <w:rPr>
          <w:rFonts w:ascii="Ploni ML Medium AAA Medium" w:hAnsi="Ploni ML Medium AAA Medium" w:cs="Ploni ML Medium AAA Medium"/>
          <w:b/>
          <w:bCs/>
          <w:sz w:val="22"/>
          <w:szCs w:val="22"/>
          <w:u w:val="single"/>
        </w:rPr>
      </w:pPr>
      <w:bookmarkStart w:id="178" w:name="H2_גזית_גלוב_בעמנתונים_כספיים_מתוך_הדוחו"/>
      <w:r w:rsidRPr="00245577">
        <w:rPr>
          <w:b/>
          <w:bCs/>
          <w:sz w:val="22"/>
          <w:szCs w:val="22"/>
          <w:u w:val="single"/>
        </w:rPr>
        <w:lastRenderedPageBreak/>
        <w:t>G City Ltd.</w:t>
      </w:r>
      <w:r w:rsidRPr="00245577">
        <w:rPr>
          <w:b/>
          <w:bCs/>
          <w:sz w:val="22"/>
          <w:szCs w:val="22"/>
          <w:u w:val="single"/>
        </w:rPr>
        <w:br/>
      </w:r>
      <w:r w:rsidRPr="00245577">
        <w:rPr>
          <w:b/>
          <w:bCs/>
          <w:sz w:val="22"/>
          <w:szCs w:val="22"/>
          <w:u w:val="single"/>
        </w:rPr>
        <w:br/>
        <w:t>Financial Information from the Condensed Consolidated Interim Statements attributable to the Company</w:t>
      </w:r>
      <w:r w:rsidRPr="00245577">
        <w:rPr>
          <w:sz w:val="22"/>
          <w:szCs w:val="22"/>
          <w:u w:val="single"/>
        </w:rPr>
        <w:br/>
      </w:r>
      <w:r w:rsidRPr="00245577">
        <w:rPr>
          <w:sz w:val="22"/>
          <w:szCs w:val="22"/>
          <w:u w:val="single"/>
        </w:rPr>
        <w:br/>
      </w:r>
      <w:r w:rsidRPr="00245577">
        <w:rPr>
          <w:b/>
          <w:bCs/>
          <w:sz w:val="22"/>
          <w:szCs w:val="22"/>
          <w:u w:val="single"/>
        </w:rPr>
        <w:t>As at June 30, 2024</w:t>
      </w:r>
    </w:p>
    <w:bookmarkEnd w:id="178"/>
    <w:p w14:paraId="5D3FA27E" w14:textId="77777777" w:rsidR="00200E0C" w:rsidRPr="00B05639" w:rsidRDefault="00200E0C" w:rsidP="00200E0C">
      <w:pPr>
        <w:pStyle w:val="ListParagraph"/>
        <w:tabs>
          <w:tab w:val="left" w:pos="3994"/>
        </w:tabs>
        <w:ind w:left="0"/>
        <w:rPr>
          <w:rFonts w:ascii="Ploni ML Medium AAA Medium" w:hAnsi="Ploni ML Medium AAA Medium" w:cs="Ploni ML Medium AAA Medium"/>
          <w:sz w:val="24"/>
          <w:szCs w:val="24"/>
        </w:rPr>
      </w:pPr>
      <w:r>
        <w:rPr>
          <w:rFonts w:ascii="Ploni ML Medium AAA Medium" w:hAnsi="Ploni ML Medium AAA Medium"/>
          <w:sz w:val="24"/>
        </w:rPr>
        <w:tab/>
      </w:r>
    </w:p>
    <w:p w14:paraId="6D49B6BA" w14:textId="77777777" w:rsidR="00200E0C" w:rsidRPr="006B45F7" w:rsidRDefault="00200E0C" w:rsidP="00200E0C">
      <w:pPr>
        <w:pStyle w:val="ListParagraph"/>
        <w:tabs>
          <w:tab w:val="left" w:pos="1133"/>
        </w:tabs>
        <w:ind w:left="0"/>
        <w:jc w:val="center"/>
        <w:outlineLvl w:val="2"/>
        <w:rPr>
          <w:rFonts w:asciiTheme="majorBidi" w:hAnsiTheme="majorBidi" w:cstheme="majorBidi"/>
          <w:sz w:val="22"/>
          <w:szCs w:val="22"/>
          <w:u w:val="single"/>
        </w:rPr>
      </w:pPr>
      <w:bookmarkStart w:id="179" w:name="H3_תוכן_העניינים"/>
      <w:r w:rsidRPr="006B45F7">
        <w:rPr>
          <w:rFonts w:asciiTheme="majorBidi" w:hAnsiTheme="majorBidi" w:cstheme="majorBidi"/>
          <w:sz w:val="22"/>
          <w:szCs w:val="22"/>
          <w:u w:val="single"/>
        </w:rPr>
        <w:t>Contents</w:t>
      </w:r>
    </w:p>
    <w:bookmarkEnd w:id="179"/>
    <w:tbl>
      <w:tblPr>
        <w:tblW w:w="0" w:type="auto"/>
        <w:jc w:val="center"/>
        <w:tblLayout w:type="fixed"/>
        <w:tblCellMar>
          <w:left w:w="0" w:type="dxa"/>
          <w:right w:w="0" w:type="dxa"/>
        </w:tblCellMar>
        <w:tblLook w:val="04A0" w:firstRow="1" w:lastRow="0" w:firstColumn="1" w:lastColumn="0" w:noHBand="0" w:noVBand="1"/>
        <w:tblCaption w:val="AHR01HC01_Dir0"/>
        <w:tblDescription w:val="INDEX&#10;"/>
      </w:tblPr>
      <w:tblGrid>
        <w:gridCol w:w="7938"/>
        <w:gridCol w:w="240"/>
        <w:gridCol w:w="1418"/>
      </w:tblGrid>
      <w:tr w:rsidR="002459BC" w:rsidRPr="006B096E" w14:paraId="1D13A3BF" w14:textId="77777777" w:rsidTr="00A65A6F">
        <w:trPr>
          <w:tblHeader/>
          <w:jc w:val="center"/>
        </w:trPr>
        <w:tc>
          <w:tcPr>
            <w:tcW w:w="7938" w:type="dxa"/>
            <w:vAlign w:val="bottom"/>
          </w:tcPr>
          <w:p w14:paraId="263F3334" w14:textId="77777777" w:rsidR="002459BC" w:rsidRPr="006B096E" w:rsidRDefault="002459BC" w:rsidP="00A65A6F">
            <w:pPr>
              <w:pBdr>
                <w:top w:val="nil"/>
                <w:left w:val="nil"/>
                <w:bottom w:val="nil"/>
                <w:right w:val="nil"/>
                <w:between w:val="nil"/>
                <w:bar w:val="nil"/>
              </w:pBdr>
              <w:tabs>
                <w:tab w:val="left" w:pos="170"/>
                <w:tab w:val="left" w:pos="340"/>
                <w:tab w:val="left" w:pos="510"/>
                <w:tab w:val="left" w:pos="567"/>
              </w:tabs>
              <w:spacing w:before="0" w:after="0" w:line="240" w:lineRule="exact"/>
              <w:ind w:left="57" w:right="57"/>
              <w:rPr>
                <w:rFonts w:eastAsia="Calibri"/>
                <w:sz w:val="22"/>
                <w:szCs w:val="24"/>
                <w:bdr w:val="nil"/>
              </w:rPr>
            </w:pPr>
          </w:p>
        </w:tc>
        <w:tc>
          <w:tcPr>
            <w:tcW w:w="240" w:type="dxa"/>
            <w:vAlign w:val="bottom"/>
          </w:tcPr>
          <w:p w14:paraId="619C28F5" w14:textId="77777777" w:rsidR="002459BC" w:rsidRPr="006B096E" w:rsidRDefault="002459BC" w:rsidP="00A65A6F">
            <w:pPr>
              <w:pBdr>
                <w:top w:val="nil"/>
                <w:left w:val="nil"/>
                <w:bottom w:val="nil"/>
                <w:right w:val="nil"/>
                <w:between w:val="nil"/>
                <w:bar w:val="nil"/>
              </w:pBdr>
              <w:tabs>
                <w:tab w:val="left" w:pos="567"/>
              </w:tabs>
              <w:spacing w:before="0" w:after="0" w:line="240" w:lineRule="exact"/>
              <w:ind w:left="57" w:right="57"/>
              <w:rPr>
                <w:rFonts w:eastAsia="Calibri"/>
                <w:sz w:val="22"/>
                <w:szCs w:val="24"/>
                <w:bdr w:val="nil"/>
              </w:rPr>
            </w:pPr>
          </w:p>
        </w:tc>
        <w:tc>
          <w:tcPr>
            <w:tcW w:w="1418" w:type="dxa"/>
            <w:vAlign w:val="bottom"/>
            <w:hideMark/>
          </w:tcPr>
          <w:p w14:paraId="3EDC1B64" w14:textId="77777777" w:rsidR="002459BC" w:rsidRPr="006B096E" w:rsidRDefault="002459BC" w:rsidP="00A65A6F">
            <w:pPr>
              <w:pBdr>
                <w:top w:val="nil"/>
                <w:left w:val="nil"/>
                <w:bottom w:val="nil"/>
                <w:right w:val="nil"/>
                <w:between w:val="nil"/>
                <w:bar w:val="nil"/>
              </w:pBdr>
              <w:tabs>
                <w:tab w:val="left" w:pos="567"/>
              </w:tabs>
              <w:spacing w:before="0" w:after="0" w:line="240" w:lineRule="exact"/>
              <w:ind w:left="57" w:right="57"/>
              <w:jc w:val="center"/>
              <w:rPr>
                <w:rFonts w:eastAsia="Calibri"/>
                <w:b/>
                <w:bCs/>
                <w:sz w:val="22"/>
                <w:szCs w:val="24"/>
                <w:u w:val="single"/>
                <w:bdr w:val="nil"/>
              </w:rPr>
            </w:pPr>
            <w:r w:rsidRPr="006B096E">
              <w:rPr>
                <w:rFonts w:eastAsia="Calibri"/>
                <w:b/>
                <w:bCs/>
                <w:u w:val="single"/>
                <w:bdr w:val="nil"/>
              </w:rPr>
              <w:t>Page</w:t>
            </w:r>
          </w:p>
        </w:tc>
      </w:tr>
      <w:tr w:rsidR="002459BC" w:rsidRPr="006B096E" w14:paraId="09C277CC" w14:textId="77777777" w:rsidTr="00A65A6F">
        <w:trPr>
          <w:jc w:val="center"/>
        </w:trPr>
        <w:tc>
          <w:tcPr>
            <w:tcW w:w="7938" w:type="dxa"/>
            <w:vAlign w:val="bottom"/>
          </w:tcPr>
          <w:p w14:paraId="157D96C1" w14:textId="77777777" w:rsidR="002459BC" w:rsidRPr="006B096E" w:rsidRDefault="002459BC" w:rsidP="00A65A6F">
            <w:pPr>
              <w:pBdr>
                <w:top w:val="nil"/>
                <w:left w:val="nil"/>
                <w:bottom w:val="nil"/>
                <w:right w:val="nil"/>
                <w:between w:val="nil"/>
                <w:bar w:val="nil"/>
              </w:pBdr>
              <w:tabs>
                <w:tab w:val="left" w:pos="170"/>
                <w:tab w:val="left" w:pos="340"/>
                <w:tab w:val="left" w:pos="510"/>
                <w:tab w:val="left" w:pos="567"/>
              </w:tabs>
              <w:spacing w:before="0" w:after="0" w:line="240" w:lineRule="exact"/>
              <w:ind w:left="57" w:right="57"/>
              <w:rPr>
                <w:rFonts w:eastAsia="Calibri"/>
                <w:sz w:val="22"/>
                <w:szCs w:val="24"/>
                <w:bdr w:val="nil"/>
              </w:rPr>
            </w:pPr>
          </w:p>
        </w:tc>
        <w:tc>
          <w:tcPr>
            <w:tcW w:w="240" w:type="dxa"/>
            <w:vAlign w:val="bottom"/>
          </w:tcPr>
          <w:p w14:paraId="0E0D1EB7" w14:textId="77777777" w:rsidR="002459BC" w:rsidRPr="006B096E" w:rsidRDefault="002459BC" w:rsidP="00A65A6F">
            <w:pPr>
              <w:pBdr>
                <w:top w:val="nil"/>
                <w:left w:val="nil"/>
                <w:bottom w:val="nil"/>
                <w:right w:val="nil"/>
                <w:between w:val="nil"/>
                <w:bar w:val="nil"/>
              </w:pBdr>
              <w:tabs>
                <w:tab w:val="left" w:pos="567"/>
              </w:tabs>
              <w:spacing w:before="0" w:after="0" w:line="240" w:lineRule="exact"/>
              <w:ind w:left="57" w:right="57"/>
              <w:rPr>
                <w:rFonts w:eastAsia="Calibri"/>
                <w:sz w:val="22"/>
                <w:szCs w:val="24"/>
                <w:bdr w:val="nil"/>
              </w:rPr>
            </w:pPr>
          </w:p>
        </w:tc>
        <w:tc>
          <w:tcPr>
            <w:tcW w:w="1418" w:type="dxa"/>
            <w:vAlign w:val="bottom"/>
          </w:tcPr>
          <w:p w14:paraId="28601997" w14:textId="77777777" w:rsidR="002459BC" w:rsidRPr="006B096E" w:rsidRDefault="002459BC" w:rsidP="00A65A6F">
            <w:pPr>
              <w:pBdr>
                <w:top w:val="nil"/>
                <w:left w:val="nil"/>
                <w:bottom w:val="nil"/>
                <w:right w:val="nil"/>
                <w:between w:val="nil"/>
                <w:bar w:val="nil"/>
              </w:pBdr>
              <w:tabs>
                <w:tab w:val="left" w:pos="567"/>
              </w:tabs>
              <w:spacing w:before="0" w:after="0" w:line="240" w:lineRule="exact"/>
              <w:ind w:left="57" w:right="57"/>
              <w:jc w:val="center"/>
              <w:rPr>
                <w:rFonts w:eastAsia="Calibri"/>
                <w:sz w:val="22"/>
                <w:szCs w:val="24"/>
                <w:bdr w:val="nil"/>
              </w:rPr>
            </w:pPr>
          </w:p>
        </w:tc>
      </w:tr>
      <w:tr w:rsidR="002459BC" w:rsidRPr="006B096E" w14:paraId="1CCFDE50" w14:textId="77777777" w:rsidTr="00A65A6F">
        <w:trPr>
          <w:jc w:val="center"/>
        </w:trPr>
        <w:tc>
          <w:tcPr>
            <w:tcW w:w="7938" w:type="dxa"/>
            <w:hideMark/>
          </w:tcPr>
          <w:p w14:paraId="047A7A98" w14:textId="77777777" w:rsidR="002459BC" w:rsidRPr="006B096E" w:rsidRDefault="002459BC" w:rsidP="00A65A6F">
            <w:pPr>
              <w:pBdr>
                <w:top w:val="nil"/>
                <w:left w:val="nil"/>
                <w:bottom w:val="nil"/>
                <w:right w:val="nil"/>
                <w:between w:val="nil"/>
                <w:bar w:val="nil"/>
              </w:pBdr>
              <w:tabs>
                <w:tab w:val="left" w:pos="567"/>
              </w:tabs>
              <w:spacing w:before="0" w:after="0" w:line="240" w:lineRule="exact"/>
              <w:rPr>
                <w:rFonts w:eastAsia="Calibri"/>
                <w:sz w:val="22"/>
                <w:szCs w:val="24"/>
                <w:bdr w:val="nil"/>
              </w:rPr>
            </w:pPr>
            <w:r w:rsidRPr="006B096E">
              <w:rPr>
                <w:rFonts w:eastAsia="Calibri"/>
                <w:bdr w:val="nil"/>
              </w:rPr>
              <w:t>Auditor's Special Report in Accordance with Israeli Securities Regulation 38d</w:t>
            </w:r>
          </w:p>
        </w:tc>
        <w:tc>
          <w:tcPr>
            <w:tcW w:w="240" w:type="dxa"/>
          </w:tcPr>
          <w:p w14:paraId="69BDD682" w14:textId="77777777" w:rsidR="002459BC" w:rsidRPr="006B096E" w:rsidRDefault="002459BC" w:rsidP="00A65A6F">
            <w:pPr>
              <w:pBdr>
                <w:top w:val="nil"/>
                <w:left w:val="nil"/>
                <w:bottom w:val="nil"/>
                <w:right w:val="nil"/>
                <w:between w:val="nil"/>
                <w:bar w:val="nil"/>
              </w:pBdr>
              <w:tabs>
                <w:tab w:val="left" w:pos="567"/>
              </w:tabs>
              <w:autoSpaceDE w:val="0"/>
              <w:autoSpaceDN w:val="0"/>
              <w:adjustRightInd w:val="0"/>
              <w:spacing w:before="0" w:after="0" w:line="240" w:lineRule="exact"/>
              <w:jc w:val="right"/>
              <w:rPr>
                <w:rFonts w:ascii="Arial" w:eastAsia="Calibri" w:hAnsi="Arial" w:cs="Arial"/>
                <w:sz w:val="22"/>
                <w:szCs w:val="24"/>
                <w:bdr w:val="nil"/>
              </w:rPr>
            </w:pPr>
          </w:p>
        </w:tc>
        <w:tc>
          <w:tcPr>
            <w:tcW w:w="1418" w:type="dxa"/>
            <w:vAlign w:val="bottom"/>
            <w:hideMark/>
          </w:tcPr>
          <w:p w14:paraId="32DB2965" w14:textId="5EB9B387" w:rsidR="002459BC" w:rsidRPr="006B096E" w:rsidRDefault="00381355" w:rsidP="00A65A6F">
            <w:pPr>
              <w:pBdr>
                <w:top w:val="nil"/>
                <w:left w:val="nil"/>
                <w:bottom w:val="nil"/>
                <w:right w:val="nil"/>
                <w:between w:val="nil"/>
                <w:bar w:val="nil"/>
              </w:pBdr>
              <w:tabs>
                <w:tab w:val="left" w:pos="567"/>
              </w:tabs>
              <w:spacing w:before="0" w:after="0" w:line="240" w:lineRule="exact"/>
              <w:jc w:val="center"/>
              <w:rPr>
                <w:rFonts w:eastAsia="Calibri"/>
                <w:sz w:val="22"/>
                <w:szCs w:val="24"/>
                <w:bdr w:val="nil"/>
              </w:rPr>
            </w:pPr>
            <w:r>
              <w:rPr>
                <w:rFonts w:eastAsia="Calibri"/>
                <w:bdr w:val="nil"/>
              </w:rPr>
              <w:t>79</w:t>
            </w:r>
          </w:p>
        </w:tc>
      </w:tr>
      <w:tr w:rsidR="002459BC" w:rsidRPr="006B096E" w14:paraId="61CAB99A" w14:textId="77777777" w:rsidTr="00A65A6F">
        <w:trPr>
          <w:jc w:val="center"/>
        </w:trPr>
        <w:tc>
          <w:tcPr>
            <w:tcW w:w="7938" w:type="dxa"/>
          </w:tcPr>
          <w:p w14:paraId="6D9055A3" w14:textId="77777777" w:rsidR="002459BC" w:rsidRPr="006B096E" w:rsidRDefault="002459BC" w:rsidP="00A65A6F">
            <w:pPr>
              <w:pBdr>
                <w:top w:val="nil"/>
                <w:left w:val="nil"/>
                <w:bottom w:val="nil"/>
                <w:right w:val="nil"/>
                <w:between w:val="nil"/>
                <w:bar w:val="nil"/>
              </w:pBdr>
              <w:tabs>
                <w:tab w:val="left" w:pos="567"/>
              </w:tabs>
              <w:spacing w:before="0" w:after="0" w:line="240" w:lineRule="exact"/>
              <w:rPr>
                <w:rFonts w:eastAsia="Calibri"/>
                <w:sz w:val="22"/>
                <w:szCs w:val="24"/>
                <w:bdr w:val="nil"/>
              </w:rPr>
            </w:pPr>
          </w:p>
        </w:tc>
        <w:tc>
          <w:tcPr>
            <w:tcW w:w="240" w:type="dxa"/>
          </w:tcPr>
          <w:p w14:paraId="55323F5B" w14:textId="77777777" w:rsidR="002459BC" w:rsidRPr="006B096E" w:rsidRDefault="002459BC" w:rsidP="00A65A6F">
            <w:pPr>
              <w:pBdr>
                <w:top w:val="nil"/>
                <w:left w:val="nil"/>
                <w:bottom w:val="nil"/>
                <w:right w:val="nil"/>
                <w:between w:val="nil"/>
                <w:bar w:val="nil"/>
              </w:pBdr>
              <w:tabs>
                <w:tab w:val="left" w:pos="567"/>
              </w:tabs>
              <w:autoSpaceDE w:val="0"/>
              <w:autoSpaceDN w:val="0"/>
              <w:adjustRightInd w:val="0"/>
              <w:spacing w:before="0" w:after="0" w:line="240" w:lineRule="exact"/>
              <w:jc w:val="right"/>
              <w:rPr>
                <w:rFonts w:ascii="Arial" w:eastAsia="Calibri" w:hAnsi="Arial" w:cs="Arial"/>
                <w:sz w:val="22"/>
                <w:szCs w:val="24"/>
                <w:bdr w:val="nil"/>
              </w:rPr>
            </w:pPr>
          </w:p>
        </w:tc>
        <w:tc>
          <w:tcPr>
            <w:tcW w:w="1418" w:type="dxa"/>
            <w:vAlign w:val="bottom"/>
          </w:tcPr>
          <w:p w14:paraId="03B56AB1" w14:textId="77777777" w:rsidR="002459BC" w:rsidRPr="006B096E" w:rsidRDefault="002459BC" w:rsidP="00A65A6F">
            <w:pPr>
              <w:pBdr>
                <w:top w:val="nil"/>
                <w:left w:val="nil"/>
                <w:bottom w:val="nil"/>
                <w:right w:val="nil"/>
                <w:between w:val="nil"/>
                <w:bar w:val="nil"/>
              </w:pBdr>
              <w:tabs>
                <w:tab w:val="left" w:pos="567"/>
              </w:tabs>
              <w:spacing w:before="0" w:after="0" w:line="240" w:lineRule="exact"/>
              <w:jc w:val="center"/>
              <w:rPr>
                <w:rFonts w:eastAsia="Calibri"/>
                <w:sz w:val="22"/>
                <w:szCs w:val="24"/>
                <w:bdr w:val="nil"/>
              </w:rPr>
            </w:pPr>
          </w:p>
        </w:tc>
      </w:tr>
      <w:tr w:rsidR="002459BC" w:rsidRPr="006B096E" w14:paraId="4C8C4776" w14:textId="77777777" w:rsidTr="00A65A6F">
        <w:trPr>
          <w:jc w:val="center"/>
        </w:trPr>
        <w:tc>
          <w:tcPr>
            <w:tcW w:w="7938" w:type="dxa"/>
            <w:hideMark/>
          </w:tcPr>
          <w:p w14:paraId="393F36B7" w14:textId="77777777" w:rsidR="002459BC" w:rsidRPr="006B096E" w:rsidRDefault="002459BC" w:rsidP="00A65A6F">
            <w:pPr>
              <w:pStyle w:val="Normal0"/>
              <w:pBdr>
                <w:top w:val="nil"/>
                <w:left w:val="nil"/>
                <w:bottom w:val="nil"/>
                <w:right w:val="nil"/>
                <w:between w:val="nil"/>
                <w:bar w:val="nil"/>
              </w:pBdr>
              <w:tabs>
                <w:tab w:val="left" w:pos="567"/>
              </w:tabs>
              <w:spacing w:line="240" w:lineRule="exact"/>
              <w:ind w:left="202" w:hanging="202"/>
              <w:rPr>
                <w:rFonts w:eastAsia="Calibri"/>
                <w:sz w:val="22"/>
                <w:szCs w:val="24"/>
                <w:bdr w:val="nil"/>
              </w:rPr>
            </w:pPr>
            <w:r w:rsidRPr="006B096E">
              <w:rPr>
                <w:rFonts w:eastAsia="Calibri"/>
                <w:bdr w:val="nil"/>
              </w:rPr>
              <w:t>Financial information from the Condensed Consolidated Statements of Financial Position Attributable to the Company</w:t>
            </w:r>
          </w:p>
        </w:tc>
        <w:tc>
          <w:tcPr>
            <w:tcW w:w="240" w:type="dxa"/>
          </w:tcPr>
          <w:p w14:paraId="4922E84A" w14:textId="77777777" w:rsidR="002459BC" w:rsidRPr="006B096E" w:rsidRDefault="002459BC" w:rsidP="00A65A6F">
            <w:pPr>
              <w:pBdr>
                <w:top w:val="nil"/>
                <w:left w:val="nil"/>
                <w:bottom w:val="nil"/>
                <w:right w:val="nil"/>
                <w:between w:val="nil"/>
                <w:bar w:val="nil"/>
              </w:pBdr>
              <w:tabs>
                <w:tab w:val="left" w:pos="567"/>
              </w:tabs>
              <w:autoSpaceDE w:val="0"/>
              <w:autoSpaceDN w:val="0"/>
              <w:adjustRightInd w:val="0"/>
              <w:spacing w:before="0" w:after="0" w:line="240" w:lineRule="exact"/>
              <w:jc w:val="right"/>
              <w:rPr>
                <w:rFonts w:ascii="Arial" w:eastAsia="Calibri" w:hAnsi="Arial" w:cs="Arial"/>
                <w:sz w:val="22"/>
                <w:szCs w:val="24"/>
                <w:bdr w:val="nil"/>
              </w:rPr>
            </w:pPr>
          </w:p>
        </w:tc>
        <w:tc>
          <w:tcPr>
            <w:tcW w:w="1418" w:type="dxa"/>
            <w:vAlign w:val="bottom"/>
            <w:hideMark/>
          </w:tcPr>
          <w:p w14:paraId="5B36489B" w14:textId="69168081" w:rsidR="002459BC" w:rsidRPr="006B096E" w:rsidRDefault="00381355" w:rsidP="00A65A6F">
            <w:pPr>
              <w:pBdr>
                <w:top w:val="nil"/>
                <w:left w:val="nil"/>
                <w:bottom w:val="nil"/>
                <w:right w:val="nil"/>
                <w:between w:val="nil"/>
                <w:bar w:val="nil"/>
              </w:pBdr>
              <w:tabs>
                <w:tab w:val="left" w:pos="567"/>
              </w:tabs>
              <w:spacing w:before="0" w:after="0" w:line="240" w:lineRule="exact"/>
              <w:jc w:val="center"/>
              <w:rPr>
                <w:rFonts w:eastAsia="Calibri"/>
                <w:sz w:val="22"/>
                <w:szCs w:val="24"/>
                <w:bdr w:val="nil"/>
              </w:rPr>
            </w:pPr>
            <w:r>
              <w:rPr>
                <w:rFonts w:eastAsia="Calibri"/>
                <w:bdr w:val="nil"/>
              </w:rPr>
              <w:t>81</w:t>
            </w:r>
          </w:p>
        </w:tc>
      </w:tr>
      <w:tr w:rsidR="002459BC" w:rsidRPr="006B096E" w14:paraId="1BA3BC71" w14:textId="77777777" w:rsidTr="00A65A6F">
        <w:trPr>
          <w:jc w:val="center"/>
        </w:trPr>
        <w:tc>
          <w:tcPr>
            <w:tcW w:w="7938" w:type="dxa"/>
          </w:tcPr>
          <w:p w14:paraId="3C9E5BF3" w14:textId="77777777" w:rsidR="002459BC" w:rsidRPr="006B096E" w:rsidRDefault="002459BC" w:rsidP="00A65A6F">
            <w:pPr>
              <w:pBdr>
                <w:top w:val="nil"/>
                <w:left w:val="nil"/>
                <w:bottom w:val="nil"/>
                <w:right w:val="nil"/>
                <w:between w:val="nil"/>
                <w:bar w:val="nil"/>
              </w:pBdr>
              <w:tabs>
                <w:tab w:val="left" w:pos="567"/>
              </w:tabs>
              <w:spacing w:before="0" w:after="0" w:line="240" w:lineRule="exact"/>
              <w:rPr>
                <w:rFonts w:eastAsia="Calibri"/>
                <w:sz w:val="22"/>
                <w:szCs w:val="24"/>
                <w:bdr w:val="nil"/>
              </w:rPr>
            </w:pPr>
          </w:p>
        </w:tc>
        <w:tc>
          <w:tcPr>
            <w:tcW w:w="240" w:type="dxa"/>
          </w:tcPr>
          <w:p w14:paraId="223A4A34" w14:textId="77777777" w:rsidR="002459BC" w:rsidRPr="006B096E" w:rsidRDefault="002459BC" w:rsidP="00A65A6F">
            <w:pPr>
              <w:pBdr>
                <w:top w:val="nil"/>
                <w:left w:val="nil"/>
                <w:bottom w:val="nil"/>
                <w:right w:val="nil"/>
                <w:between w:val="nil"/>
                <w:bar w:val="nil"/>
              </w:pBdr>
              <w:tabs>
                <w:tab w:val="left" w:pos="567"/>
              </w:tabs>
              <w:autoSpaceDE w:val="0"/>
              <w:autoSpaceDN w:val="0"/>
              <w:adjustRightInd w:val="0"/>
              <w:spacing w:before="0" w:after="0" w:line="240" w:lineRule="exact"/>
              <w:jc w:val="right"/>
              <w:rPr>
                <w:rFonts w:ascii="Arial" w:eastAsia="Calibri" w:hAnsi="Arial" w:cs="Arial"/>
                <w:sz w:val="22"/>
                <w:szCs w:val="24"/>
                <w:bdr w:val="nil"/>
              </w:rPr>
            </w:pPr>
          </w:p>
        </w:tc>
        <w:tc>
          <w:tcPr>
            <w:tcW w:w="1418" w:type="dxa"/>
            <w:vAlign w:val="bottom"/>
          </w:tcPr>
          <w:p w14:paraId="313D66F6" w14:textId="77777777" w:rsidR="002459BC" w:rsidRPr="006B096E" w:rsidRDefault="002459BC" w:rsidP="00A65A6F">
            <w:pPr>
              <w:pBdr>
                <w:top w:val="nil"/>
                <w:left w:val="nil"/>
                <w:bottom w:val="nil"/>
                <w:right w:val="nil"/>
                <w:between w:val="nil"/>
                <w:bar w:val="nil"/>
              </w:pBdr>
              <w:tabs>
                <w:tab w:val="left" w:pos="567"/>
              </w:tabs>
              <w:spacing w:before="0" w:after="0" w:line="240" w:lineRule="exact"/>
              <w:jc w:val="center"/>
              <w:rPr>
                <w:rFonts w:eastAsia="Calibri"/>
                <w:sz w:val="22"/>
                <w:szCs w:val="24"/>
                <w:bdr w:val="nil"/>
              </w:rPr>
            </w:pPr>
          </w:p>
        </w:tc>
      </w:tr>
      <w:tr w:rsidR="002459BC" w:rsidRPr="006B096E" w14:paraId="46FE33CB" w14:textId="77777777" w:rsidTr="00A65A6F">
        <w:trPr>
          <w:jc w:val="center"/>
        </w:trPr>
        <w:tc>
          <w:tcPr>
            <w:tcW w:w="7938" w:type="dxa"/>
            <w:hideMark/>
          </w:tcPr>
          <w:p w14:paraId="7381030E" w14:textId="77777777" w:rsidR="002459BC" w:rsidRPr="006B096E" w:rsidRDefault="002459BC" w:rsidP="00A65A6F">
            <w:pPr>
              <w:pStyle w:val="Normal0"/>
              <w:pBdr>
                <w:top w:val="nil"/>
                <w:left w:val="nil"/>
                <w:bottom w:val="nil"/>
                <w:right w:val="nil"/>
                <w:between w:val="nil"/>
                <w:bar w:val="nil"/>
              </w:pBdr>
              <w:tabs>
                <w:tab w:val="left" w:pos="567"/>
              </w:tabs>
              <w:spacing w:line="240" w:lineRule="exact"/>
              <w:ind w:left="202" w:hanging="202"/>
              <w:rPr>
                <w:rFonts w:eastAsia="Calibri"/>
                <w:sz w:val="22"/>
                <w:szCs w:val="24"/>
                <w:bdr w:val="nil"/>
              </w:rPr>
            </w:pPr>
            <w:r w:rsidRPr="006B096E">
              <w:rPr>
                <w:rFonts w:eastAsia="Calibri"/>
                <w:bdr w:val="nil"/>
              </w:rPr>
              <w:t>Financial information from the Condensed Consolidated Statements of Income Attributable to the Company</w:t>
            </w:r>
          </w:p>
        </w:tc>
        <w:tc>
          <w:tcPr>
            <w:tcW w:w="240" w:type="dxa"/>
          </w:tcPr>
          <w:p w14:paraId="375F1F48" w14:textId="77777777" w:rsidR="002459BC" w:rsidRPr="006B096E" w:rsidRDefault="002459BC" w:rsidP="00A65A6F">
            <w:pPr>
              <w:pBdr>
                <w:top w:val="nil"/>
                <w:left w:val="nil"/>
                <w:bottom w:val="nil"/>
                <w:right w:val="nil"/>
                <w:between w:val="nil"/>
                <w:bar w:val="nil"/>
              </w:pBdr>
              <w:tabs>
                <w:tab w:val="left" w:pos="567"/>
              </w:tabs>
              <w:autoSpaceDE w:val="0"/>
              <w:autoSpaceDN w:val="0"/>
              <w:adjustRightInd w:val="0"/>
              <w:spacing w:before="0" w:after="0" w:line="240" w:lineRule="exact"/>
              <w:jc w:val="right"/>
              <w:rPr>
                <w:rFonts w:ascii="Arial" w:eastAsia="Calibri" w:hAnsi="Arial" w:cs="Arial"/>
                <w:sz w:val="22"/>
                <w:szCs w:val="24"/>
                <w:bdr w:val="nil"/>
              </w:rPr>
            </w:pPr>
          </w:p>
        </w:tc>
        <w:tc>
          <w:tcPr>
            <w:tcW w:w="1418" w:type="dxa"/>
            <w:vAlign w:val="bottom"/>
            <w:hideMark/>
          </w:tcPr>
          <w:p w14:paraId="573FD5E9" w14:textId="0A11546D" w:rsidR="002459BC" w:rsidRPr="006B096E" w:rsidRDefault="00381355" w:rsidP="00A65A6F">
            <w:pPr>
              <w:pBdr>
                <w:top w:val="nil"/>
                <w:left w:val="nil"/>
                <w:bottom w:val="nil"/>
                <w:right w:val="nil"/>
                <w:between w:val="nil"/>
                <w:bar w:val="nil"/>
              </w:pBdr>
              <w:tabs>
                <w:tab w:val="left" w:pos="567"/>
              </w:tabs>
              <w:spacing w:before="0" w:after="0" w:line="240" w:lineRule="exact"/>
              <w:jc w:val="center"/>
              <w:rPr>
                <w:rFonts w:eastAsia="Calibri"/>
                <w:sz w:val="22"/>
                <w:szCs w:val="24"/>
                <w:bdr w:val="nil"/>
              </w:rPr>
            </w:pPr>
            <w:r>
              <w:rPr>
                <w:rFonts w:eastAsia="Calibri"/>
                <w:bdr w:val="nil"/>
              </w:rPr>
              <w:t>83</w:t>
            </w:r>
          </w:p>
        </w:tc>
      </w:tr>
      <w:tr w:rsidR="002459BC" w:rsidRPr="006B096E" w14:paraId="56667C69" w14:textId="77777777" w:rsidTr="00A65A6F">
        <w:trPr>
          <w:jc w:val="center"/>
        </w:trPr>
        <w:tc>
          <w:tcPr>
            <w:tcW w:w="7938" w:type="dxa"/>
          </w:tcPr>
          <w:p w14:paraId="2115DF05" w14:textId="77777777" w:rsidR="002459BC" w:rsidRPr="006B096E" w:rsidRDefault="002459BC" w:rsidP="00A65A6F">
            <w:pPr>
              <w:pBdr>
                <w:top w:val="nil"/>
                <w:left w:val="nil"/>
                <w:bottom w:val="nil"/>
                <w:right w:val="nil"/>
                <w:between w:val="nil"/>
                <w:bar w:val="nil"/>
              </w:pBdr>
              <w:tabs>
                <w:tab w:val="left" w:pos="567"/>
              </w:tabs>
              <w:spacing w:before="0" w:after="0" w:line="240" w:lineRule="exact"/>
              <w:rPr>
                <w:rFonts w:eastAsia="Calibri"/>
                <w:sz w:val="22"/>
                <w:szCs w:val="24"/>
                <w:bdr w:val="nil"/>
              </w:rPr>
            </w:pPr>
          </w:p>
        </w:tc>
        <w:tc>
          <w:tcPr>
            <w:tcW w:w="240" w:type="dxa"/>
          </w:tcPr>
          <w:p w14:paraId="5F198859" w14:textId="77777777" w:rsidR="002459BC" w:rsidRPr="006B096E" w:rsidRDefault="002459BC" w:rsidP="00A65A6F">
            <w:pPr>
              <w:pBdr>
                <w:top w:val="nil"/>
                <w:left w:val="nil"/>
                <w:bottom w:val="nil"/>
                <w:right w:val="nil"/>
                <w:between w:val="nil"/>
                <w:bar w:val="nil"/>
              </w:pBdr>
              <w:tabs>
                <w:tab w:val="left" w:pos="567"/>
              </w:tabs>
              <w:autoSpaceDE w:val="0"/>
              <w:autoSpaceDN w:val="0"/>
              <w:adjustRightInd w:val="0"/>
              <w:spacing w:before="0" w:after="0" w:line="240" w:lineRule="exact"/>
              <w:jc w:val="right"/>
              <w:rPr>
                <w:rFonts w:ascii="Arial" w:eastAsia="Calibri" w:hAnsi="Arial" w:cs="Arial"/>
                <w:sz w:val="22"/>
                <w:szCs w:val="24"/>
                <w:bdr w:val="nil"/>
              </w:rPr>
            </w:pPr>
          </w:p>
        </w:tc>
        <w:tc>
          <w:tcPr>
            <w:tcW w:w="1418" w:type="dxa"/>
            <w:vAlign w:val="bottom"/>
          </w:tcPr>
          <w:p w14:paraId="7190ADBF" w14:textId="77777777" w:rsidR="002459BC" w:rsidRPr="006B096E" w:rsidRDefault="002459BC" w:rsidP="00A65A6F">
            <w:pPr>
              <w:pBdr>
                <w:top w:val="nil"/>
                <w:left w:val="nil"/>
                <w:bottom w:val="nil"/>
                <w:right w:val="nil"/>
                <w:between w:val="nil"/>
                <w:bar w:val="nil"/>
              </w:pBdr>
              <w:tabs>
                <w:tab w:val="left" w:pos="567"/>
              </w:tabs>
              <w:spacing w:before="0" w:after="0" w:line="240" w:lineRule="exact"/>
              <w:jc w:val="center"/>
              <w:rPr>
                <w:rFonts w:eastAsia="Calibri"/>
                <w:sz w:val="22"/>
                <w:szCs w:val="24"/>
                <w:bdr w:val="nil"/>
              </w:rPr>
            </w:pPr>
          </w:p>
        </w:tc>
      </w:tr>
      <w:tr w:rsidR="002459BC" w:rsidRPr="006B096E" w14:paraId="43850B33" w14:textId="77777777" w:rsidTr="00A65A6F">
        <w:trPr>
          <w:jc w:val="center"/>
        </w:trPr>
        <w:tc>
          <w:tcPr>
            <w:tcW w:w="7938" w:type="dxa"/>
            <w:hideMark/>
          </w:tcPr>
          <w:p w14:paraId="34BFA415" w14:textId="77777777" w:rsidR="002459BC" w:rsidRPr="006B096E" w:rsidRDefault="002459BC" w:rsidP="00A65A6F">
            <w:pPr>
              <w:pBdr>
                <w:top w:val="nil"/>
                <w:left w:val="nil"/>
                <w:bottom w:val="nil"/>
                <w:right w:val="nil"/>
                <w:between w:val="nil"/>
                <w:bar w:val="nil"/>
              </w:pBdr>
              <w:tabs>
                <w:tab w:val="left" w:pos="567"/>
              </w:tabs>
              <w:spacing w:before="0" w:after="0" w:line="240" w:lineRule="exact"/>
              <w:ind w:left="202" w:hanging="202"/>
              <w:rPr>
                <w:rFonts w:eastAsia="Calibri"/>
                <w:sz w:val="22"/>
                <w:szCs w:val="24"/>
                <w:bdr w:val="nil"/>
              </w:rPr>
            </w:pPr>
            <w:r w:rsidRPr="006B096E">
              <w:rPr>
                <w:rFonts w:eastAsia="Calibri"/>
                <w:bdr w:val="nil"/>
              </w:rPr>
              <w:t>Financial information from the Condensed Consolidated Statements of Comprehensive Income Attributable to the Company</w:t>
            </w:r>
          </w:p>
        </w:tc>
        <w:tc>
          <w:tcPr>
            <w:tcW w:w="240" w:type="dxa"/>
          </w:tcPr>
          <w:p w14:paraId="37068E99" w14:textId="77777777" w:rsidR="002459BC" w:rsidRPr="006B096E" w:rsidRDefault="002459BC" w:rsidP="00A65A6F">
            <w:pPr>
              <w:pBdr>
                <w:top w:val="nil"/>
                <w:left w:val="nil"/>
                <w:bottom w:val="nil"/>
                <w:right w:val="nil"/>
                <w:between w:val="nil"/>
                <w:bar w:val="nil"/>
              </w:pBdr>
              <w:tabs>
                <w:tab w:val="left" w:pos="567"/>
              </w:tabs>
              <w:autoSpaceDE w:val="0"/>
              <w:autoSpaceDN w:val="0"/>
              <w:adjustRightInd w:val="0"/>
              <w:spacing w:before="0" w:after="0" w:line="240" w:lineRule="exact"/>
              <w:jc w:val="right"/>
              <w:rPr>
                <w:rFonts w:ascii="Arial" w:eastAsia="Calibri" w:hAnsi="Arial" w:cs="Arial"/>
                <w:sz w:val="22"/>
                <w:szCs w:val="24"/>
                <w:bdr w:val="nil"/>
              </w:rPr>
            </w:pPr>
          </w:p>
        </w:tc>
        <w:tc>
          <w:tcPr>
            <w:tcW w:w="1418" w:type="dxa"/>
            <w:vAlign w:val="bottom"/>
            <w:hideMark/>
          </w:tcPr>
          <w:p w14:paraId="11995CAD" w14:textId="58236C92" w:rsidR="002459BC" w:rsidRPr="006B096E" w:rsidRDefault="00381355" w:rsidP="00A65A6F">
            <w:pPr>
              <w:pBdr>
                <w:top w:val="nil"/>
                <w:left w:val="nil"/>
                <w:bottom w:val="nil"/>
                <w:right w:val="nil"/>
                <w:between w:val="nil"/>
                <w:bar w:val="nil"/>
              </w:pBdr>
              <w:tabs>
                <w:tab w:val="left" w:pos="567"/>
              </w:tabs>
              <w:spacing w:before="0" w:after="0" w:line="240" w:lineRule="exact"/>
              <w:jc w:val="center"/>
              <w:rPr>
                <w:rFonts w:eastAsia="Calibri"/>
                <w:sz w:val="22"/>
                <w:szCs w:val="24"/>
                <w:bdr w:val="nil"/>
              </w:rPr>
            </w:pPr>
            <w:r>
              <w:rPr>
                <w:rFonts w:eastAsia="Calibri"/>
                <w:bdr w:val="nil"/>
              </w:rPr>
              <w:t>84</w:t>
            </w:r>
          </w:p>
        </w:tc>
      </w:tr>
      <w:tr w:rsidR="002459BC" w:rsidRPr="006B096E" w14:paraId="605C24FF" w14:textId="77777777" w:rsidTr="00A65A6F">
        <w:trPr>
          <w:jc w:val="center"/>
        </w:trPr>
        <w:tc>
          <w:tcPr>
            <w:tcW w:w="7938" w:type="dxa"/>
          </w:tcPr>
          <w:p w14:paraId="620B7FC3" w14:textId="77777777" w:rsidR="002459BC" w:rsidRPr="006B096E" w:rsidRDefault="002459BC" w:rsidP="00A65A6F">
            <w:pPr>
              <w:pBdr>
                <w:top w:val="nil"/>
                <w:left w:val="nil"/>
                <w:bottom w:val="nil"/>
                <w:right w:val="nil"/>
                <w:between w:val="nil"/>
                <w:bar w:val="nil"/>
              </w:pBdr>
              <w:tabs>
                <w:tab w:val="left" w:pos="567"/>
              </w:tabs>
              <w:spacing w:before="0" w:after="0" w:line="240" w:lineRule="exact"/>
              <w:rPr>
                <w:rFonts w:eastAsia="Calibri"/>
                <w:sz w:val="22"/>
                <w:szCs w:val="24"/>
                <w:bdr w:val="nil"/>
              </w:rPr>
            </w:pPr>
          </w:p>
        </w:tc>
        <w:tc>
          <w:tcPr>
            <w:tcW w:w="240" w:type="dxa"/>
          </w:tcPr>
          <w:p w14:paraId="6E314CAE" w14:textId="77777777" w:rsidR="002459BC" w:rsidRPr="006B096E" w:rsidRDefault="002459BC" w:rsidP="00A65A6F">
            <w:pPr>
              <w:pBdr>
                <w:top w:val="nil"/>
                <w:left w:val="nil"/>
                <w:bottom w:val="nil"/>
                <w:right w:val="nil"/>
                <w:between w:val="nil"/>
                <w:bar w:val="nil"/>
              </w:pBdr>
              <w:tabs>
                <w:tab w:val="left" w:pos="567"/>
              </w:tabs>
              <w:autoSpaceDE w:val="0"/>
              <w:autoSpaceDN w:val="0"/>
              <w:adjustRightInd w:val="0"/>
              <w:spacing w:before="0" w:after="0" w:line="240" w:lineRule="exact"/>
              <w:jc w:val="right"/>
              <w:rPr>
                <w:rFonts w:ascii="Arial" w:eastAsia="Calibri" w:hAnsi="Arial" w:cs="Arial"/>
                <w:sz w:val="22"/>
                <w:szCs w:val="24"/>
                <w:bdr w:val="nil"/>
              </w:rPr>
            </w:pPr>
          </w:p>
        </w:tc>
        <w:tc>
          <w:tcPr>
            <w:tcW w:w="1418" w:type="dxa"/>
            <w:vAlign w:val="bottom"/>
          </w:tcPr>
          <w:p w14:paraId="74579E2D" w14:textId="77777777" w:rsidR="002459BC" w:rsidRPr="006B096E" w:rsidRDefault="002459BC" w:rsidP="00A65A6F">
            <w:pPr>
              <w:pBdr>
                <w:top w:val="nil"/>
                <w:left w:val="nil"/>
                <w:bottom w:val="nil"/>
                <w:right w:val="nil"/>
                <w:between w:val="nil"/>
                <w:bar w:val="nil"/>
              </w:pBdr>
              <w:tabs>
                <w:tab w:val="left" w:pos="567"/>
              </w:tabs>
              <w:spacing w:before="0" w:after="0" w:line="240" w:lineRule="exact"/>
              <w:jc w:val="center"/>
              <w:rPr>
                <w:rFonts w:eastAsia="Calibri"/>
                <w:sz w:val="22"/>
                <w:szCs w:val="24"/>
                <w:bdr w:val="nil"/>
              </w:rPr>
            </w:pPr>
          </w:p>
        </w:tc>
      </w:tr>
      <w:tr w:rsidR="002459BC" w:rsidRPr="006B096E" w14:paraId="19743D3B" w14:textId="77777777" w:rsidTr="00A65A6F">
        <w:trPr>
          <w:jc w:val="center"/>
        </w:trPr>
        <w:tc>
          <w:tcPr>
            <w:tcW w:w="7938" w:type="dxa"/>
            <w:hideMark/>
          </w:tcPr>
          <w:p w14:paraId="4A044631" w14:textId="77777777" w:rsidR="002459BC" w:rsidRPr="006B096E" w:rsidRDefault="002459BC" w:rsidP="00A65A6F">
            <w:pPr>
              <w:pBdr>
                <w:top w:val="nil"/>
                <w:left w:val="nil"/>
                <w:bottom w:val="nil"/>
                <w:right w:val="nil"/>
                <w:between w:val="nil"/>
                <w:bar w:val="nil"/>
              </w:pBdr>
              <w:tabs>
                <w:tab w:val="left" w:pos="567"/>
              </w:tabs>
              <w:spacing w:before="0" w:after="0" w:line="240" w:lineRule="exact"/>
              <w:ind w:left="202" w:hanging="202"/>
              <w:rPr>
                <w:rFonts w:eastAsia="Calibri"/>
                <w:sz w:val="22"/>
                <w:szCs w:val="24"/>
                <w:bdr w:val="nil"/>
              </w:rPr>
            </w:pPr>
            <w:r w:rsidRPr="006B096E">
              <w:rPr>
                <w:rFonts w:eastAsia="Calibri"/>
                <w:bdr w:val="nil"/>
              </w:rPr>
              <w:t>Financial information from the Condensed Consolidated Statements of Cash Flows Attributable to the Company</w:t>
            </w:r>
          </w:p>
        </w:tc>
        <w:tc>
          <w:tcPr>
            <w:tcW w:w="240" w:type="dxa"/>
          </w:tcPr>
          <w:p w14:paraId="2105B3CC" w14:textId="77777777" w:rsidR="002459BC" w:rsidRPr="006B096E" w:rsidRDefault="002459BC" w:rsidP="00A65A6F">
            <w:pPr>
              <w:pBdr>
                <w:top w:val="nil"/>
                <w:left w:val="nil"/>
                <w:bottom w:val="nil"/>
                <w:right w:val="nil"/>
                <w:between w:val="nil"/>
                <w:bar w:val="nil"/>
              </w:pBdr>
              <w:tabs>
                <w:tab w:val="left" w:pos="567"/>
              </w:tabs>
              <w:autoSpaceDE w:val="0"/>
              <w:autoSpaceDN w:val="0"/>
              <w:adjustRightInd w:val="0"/>
              <w:spacing w:before="0" w:after="0" w:line="240" w:lineRule="exact"/>
              <w:jc w:val="right"/>
              <w:rPr>
                <w:rFonts w:ascii="Arial" w:eastAsia="Calibri" w:hAnsi="Arial" w:cs="Arial"/>
                <w:sz w:val="22"/>
                <w:szCs w:val="24"/>
                <w:bdr w:val="nil"/>
              </w:rPr>
            </w:pPr>
          </w:p>
        </w:tc>
        <w:tc>
          <w:tcPr>
            <w:tcW w:w="1418" w:type="dxa"/>
            <w:vAlign w:val="bottom"/>
            <w:hideMark/>
          </w:tcPr>
          <w:p w14:paraId="72CF6575" w14:textId="36B63113" w:rsidR="002459BC" w:rsidRPr="006B096E" w:rsidRDefault="00381355" w:rsidP="00A65A6F">
            <w:pPr>
              <w:pBdr>
                <w:top w:val="nil"/>
                <w:left w:val="nil"/>
                <w:bottom w:val="nil"/>
                <w:right w:val="nil"/>
                <w:between w:val="nil"/>
                <w:bar w:val="nil"/>
              </w:pBdr>
              <w:tabs>
                <w:tab w:val="left" w:pos="567"/>
              </w:tabs>
              <w:spacing w:before="0" w:after="0" w:line="240" w:lineRule="exact"/>
              <w:jc w:val="center"/>
              <w:rPr>
                <w:rFonts w:eastAsia="Calibri"/>
                <w:sz w:val="22"/>
                <w:szCs w:val="24"/>
                <w:bdr w:val="nil"/>
              </w:rPr>
            </w:pPr>
            <w:r>
              <w:rPr>
                <w:rFonts w:eastAsia="Calibri"/>
                <w:bdr w:val="nil"/>
              </w:rPr>
              <w:t>85</w:t>
            </w:r>
          </w:p>
        </w:tc>
      </w:tr>
      <w:tr w:rsidR="002459BC" w:rsidRPr="006B096E" w14:paraId="72AF694A" w14:textId="77777777" w:rsidTr="00A65A6F">
        <w:trPr>
          <w:jc w:val="center"/>
        </w:trPr>
        <w:tc>
          <w:tcPr>
            <w:tcW w:w="7938" w:type="dxa"/>
          </w:tcPr>
          <w:p w14:paraId="1B5DC080" w14:textId="77777777" w:rsidR="002459BC" w:rsidRPr="006B096E" w:rsidRDefault="002459BC" w:rsidP="00A65A6F">
            <w:pPr>
              <w:pBdr>
                <w:top w:val="nil"/>
                <w:left w:val="nil"/>
                <w:bottom w:val="nil"/>
                <w:right w:val="nil"/>
                <w:between w:val="nil"/>
                <w:bar w:val="nil"/>
              </w:pBdr>
              <w:tabs>
                <w:tab w:val="left" w:pos="567"/>
              </w:tabs>
              <w:spacing w:before="0" w:after="0" w:line="240" w:lineRule="exact"/>
              <w:rPr>
                <w:rFonts w:eastAsia="Calibri"/>
                <w:sz w:val="22"/>
                <w:szCs w:val="24"/>
                <w:bdr w:val="nil"/>
              </w:rPr>
            </w:pPr>
          </w:p>
        </w:tc>
        <w:tc>
          <w:tcPr>
            <w:tcW w:w="240" w:type="dxa"/>
          </w:tcPr>
          <w:p w14:paraId="76AEAD96" w14:textId="77777777" w:rsidR="002459BC" w:rsidRPr="006B096E" w:rsidRDefault="002459BC" w:rsidP="00A65A6F">
            <w:pPr>
              <w:pBdr>
                <w:top w:val="nil"/>
                <w:left w:val="nil"/>
                <w:bottom w:val="nil"/>
                <w:right w:val="nil"/>
                <w:between w:val="nil"/>
                <w:bar w:val="nil"/>
              </w:pBdr>
              <w:tabs>
                <w:tab w:val="left" w:pos="567"/>
              </w:tabs>
              <w:autoSpaceDE w:val="0"/>
              <w:autoSpaceDN w:val="0"/>
              <w:adjustRightInd w:val="0"/>
              <w:spacing w:before="0" w:after="0" w:line="240" w:lineRule="exact"/>
              <w:jc w:val="right"/>
              <w:rPr>
                <w:rFonts w:ascii="Arial" w:eastAsia="Calibri" w:hAnsi="Arial" w:cs="Arial"/>
                <w:sz w:val="22"/>
                <w:szCs w:val="24"/>
                <w:bdr w:val="nil"/>
              </w:rPr>
            </w:pPr>
          </w:p>
        </w:tc>
        <w:tc>
          <w:tcPr>
            <w:tcW w:w="1418" w:type="dxa"/>
            <w:vAlign w:val="bottom"/>
          </w:tcPr>
          <w:p w14:paraId="26465173" w14:textId="77777777" w:rsidR="002459BC" w:rsidRPr="006B096E" w:rsidRDefault="002459BC" w:rsidP="00A65A6F">
            <w:pPr>
              <w:pBdr>
                <w:top w:val="nil"/>
                <w:left w:val="nil"/>
                <w:bottom w:val="nil"/>
                <w:right w:val="nil"/>
                <w:between w:val="nil"/>
                <w:bar w:val="nil"/>
              </w:pBdr>
              <w:tabs>
                <w:tab w:val="left" w:pos="567"/>
              </w:tabs>
              <w:spacing w:before="0" w:after="0" w:line="240" w:lineRule="exact"/>
              <w:jc w:val="center"/>
              <w:rPr>
                <w:rFonts w:eastAsia="Calibri"/>
                <w:sz w:val="22"/>
                <w:szCs w:val="24"/>
                <w:bdr w:val="nil"/>
              </w:rPr>
            </w:pPr>
          </w:p>
        </w:tc>
      </w:tr>
      <w:tr w:rsidR="002459BC" w:rsidRPr="006B096E" w14:paraId="118F28F9" w14:textId="77777777" w:rsidTr="00A65A6F">
        <w:trPr>
          <w:jc w:val="center"/>
        </w:trPr>
        <w:tc>
          <w:tcPr>
            <w:tcW w:w="7938" w:type="dxa"/>
            <w:hideMark/>
          </w:tcPr>
          <w:p w14:paraId="4E6724C8" w14:textId="77777777" w:rsidR="002459BC" w:rsidRPr="006B096E" w:rsidRDefault="002459BC" w:rsidP="00A65A6F">
            <w:pPr>
              <w:pStyle w:val="Normal0"/>
              <w:pBdr>
                <w:top w:val="nil"/>
                <w:left w:val="nil"/>
                <w:bottom w:val="nil"/>
                <w:right w:val="nil"/>
                <w:between w:val="nil"/>
                <w:bar w:val="nil"/>
              </w:pBdr>
              <w:tabs>
                <w:tab w:val="left" w:pos="567"/>
              </w:tabs>
              <w:spacing w:line="240" w:lineRule="exact"/>
              <w:rPr>
                <w:rFonts w:eastAsia="Calibri"/>
                <w:sz w:val="22"/>
                <w:szCs w:val="24"/>
                <w:bdr w:val="nil"/>
              </w:rPr>
            </w:pPr>
            <w:bookmarkStart w:id="180" w:name="_Hlk174899038"/>
            <w:r w:rsidRPr="006B096E">
              <w:rPr>
                <w:rFonts w:eastAsia="Calibri"/>
                <w:bdr w:val="nil"/>
              </w:rPr>
              <w:t>Additional Details to the Separate Financial Information</w:t>
            </w:r>
          </w:p>
        </w:tc>
        <w:tc>
          <w:tcPr>
            <w:tcW w:w="240" w:type="dxa"/>
          </w:tcPr>
          <w:p w14:paraId="65FAF1E2" w14:textId="77777777" w:rsidR="002459BC" w:rsidRPr="006B096E" w:rsidRDefault="002459BC" w:rsidP="00A65A6F">
            <w:pPr>
              <w:pBdr>
                <w:top w:val="nil"/>
                <w:left w:val="nil"/>
                <w:bottom w:val="nil"/>
                <w:right w:val="nil"/>
                <w:between w:val="nil"/>
                <w:bar w:val="nil"/>
              </w:pBdr>
              <w:tabs>
                <w:tab w:val="left" w:pos="567"/>
              </w:tabs>
              <w:autoSpaceDE w:val="0"/>
              <w:autoSpaceDN w:val="0"/>
              <w:adjustRightInd w:val="0"/>
              <w:spacing w:before="0" w:after="0" w:line="240" w:lineRule="exact"/>
              <w:jc w:val="right"/>
              <w:rPr>
                <w:rFonts w:ascii="Arial" w:eastAsia="Calibri" w:hAnsi="Arial" w:cs="Arial"/>
                <w:sz w:val="22"/>
                <w:szCs w:val="24"/>
                <w:bdr w:val="nil"/>
              </w:rPr>
            </w:pPr>
          </w:p>
        </w:tc>
        <w:tc>
          <w:tcPr>
            <w:tcW w:w="1418" w:type="dxa"/>
            <w:vAlign w:val="bottom"/>
            <w:hideMark/>
          </w:tcPr>
          <w:p w14:paraId="671E5426" w14:textId="1CE16D27" w:rsidR="002459BC" w:rsidRPr="00381355" w:rsidRDefault="00381355" w:rsidP="00A65A6F">
            <w:pPr>
              <w:pBdr>
                <w:top w:val="nil"/>
                <w:left w:val="nil"/>
                <w:bottom w:val="nil"/>
                <w:right w:val="nil"/>
                <w:between w:val="nil"/>
                <w:bar w:val="nil"/>
              </w:pBdr>
              <w:tabs>
                <w:tab w:val="left" w:pos="567"/>
              </w:tabs>
              <w:spacing w:before="0" w:after="0" w:line="240" w:lineRule="exact"/>
              <w:jc w:val="center"/>
              <w:rPr>
                <w:rFonts w:eastAsia="Calibri"/>
                <w:bdr w:val="nil"/>
              </w:rPr>
            </w:pPr>
            <w:r w:rsidRPr="00381355">
              <w:rPr>
                <w:rFonts w:eastAsia="Calibri"/>
                <w:bdr w:val="nil"/>
              </w:rPr>
              <w:t>88</w:t>
            </w:r>
          </w:p>
        </w:tc>
      </w:tr>
      <w:bookmarkEnd w:id="180"/>
    </w:tbl>
    <w:p w14:paraId="44CD46A9" w14:textId="77777777" w:rsidR="00200E0C" w:rsidRPr="00B05639" w:rsidRDefault="00200E0C" w:rsidP="00200E0C">
      <w:pPr>
        <w:spacing w:line="240" w:lineRule="auto"/>
        <w:jc w:val="center"/>
        <w:rPr>
          <w:rFonts w:ascii="Ploni ML Medium AAA Medium" w:hAnsi="Ploni ML Medium AAA Medium" w:cs="Ploni ML Medium AAA Medium"/>
          <w:sz w:val="24"/>
          <w:szCs w:val="24"/>
          <w:rtl/>
        </w:rPr>
      </w:pPr>
    </w:p>
    <w:p w14:paraId="121CADAB" w14:textId="77777777" w:rsidR="00200E0C" w:rsidRPr="00B05639" w:rsidRDefault="00200E0C" w:rsidP="00200E0C">
      <w:pPr>
        <w:spacing w:line="240" w:lineRule="auto"/>
        <w:jc w:val="center"/>
        <w:rPr>
          <w:rFonts w:ascii="Ploni ML Medium AAA Medium" w:hAnsi="Ploni ML Medium AAA Medium" w:cs="Ploni ML Medium AAA Medium"/>
          <w:sz w:val="24"/>
          <w:szCs w:val="24"/>
          <w:rtl/>
        </w:rPr>
      </w:pPr>
    </w:p>
    <w:p w14:paraId="713F3EA7" w14:textId="77777777" w:rsidR="00200E0C" w:rsidRPr="00B05639" w:rsidRDefault="00200E0C" w:rsidP="00200E0C">
      <w:pPr>
        <w:spacing w:line="240" w:lineRule="auto"/>
        <w:jc w:val="center"/>
        <w:rPr>
          <w:rFonts w:ascii="Ploni ML Medium AAA Medium" w:hAnsi="Ploni ML Medium AAA Medium" w:cs="Ploni ML Medium AAA Medium"/>
          <w:sz w:val="24"/>
          <w:szCs w:val="24"/>
          <w:rtl/>
        </w:rPr>
      </w:pPr>
    </w:p>
    <w:p w14:paraId="22537C17" w14:textId="77777777" w:rsidR="00200E0C" w:rsidRPr="00B05639" w:rsidRDefault="00200E0C" w:rsidP="00200E0C">
      <w:pPr>
        <w:spacing w:line="240" w:lineRule="auto"/>
        <w:jc w:val="center"/>
        <w:rPr>
          <w:rFonts w:ascii="Ploni ML Medium AAA Medium" w:hAnsi="Ploni ML Medium AAA Medium" w:cs="Ploni ML Medium AAA Medium"/>
          <w:sz w:val="24"/>
          <w:szCs w:val="24"/>
          <w:rtl/>
        </w:rPr>
      </w:pPr>
    </w:p>
    <w:p w14:paraId="6D0B79C6" w14:textId="77CC35B9" w:rsidR="00200E0C" w:rsidRPr="004D7A72" w:rsidRDefault="00200E0C" w:rsidP="00200E0C">
      <w:pPr>
        <w:pStyle w:val="ListParagraph"/>
        <w:keepLines/>
        <w:tabs>
          <w:tab w:val="left" w:pos="474"/>
        </w:tabs>
        <w:spacing w:before="60" w:after="60" w:line="276" w:lineRule="auto"/>
        <w:ind w:left="474"/>
        <w:jc w:val="center"/>
        <w:rPr>
          <w:rFonts w:asciiTheme="majorBidi" w:hAnsiTheme="majorBidi" w:cstheme="majorBidi"/>
          <w:sz w:val="21"/>
          <w:szCs w:val="21"/>
        </w:rPr>
      </w:pPr>
      <w:r>
        <w:rPr>
          <w:rFonts w:ascii="Ploni ML Medium AAA Medium" w:hAnsi="Ploni ML Medium AAA Medium"/>
          <w:sz w:val="24"/>
        </w:rPr>
        <w:t>- - - - - - - - - - -</w:t>
      </w:r>
    </w:p>
    <w:p w14:paraId="1ED34BDC" w14:textId="77777777" w:rsidR="0057772A" w:rsidRPr="004D7A72" w:rsidRDefault="0057772A">
      <w:pPr>
        <w:spacing w:before="0" w:after="200"/>
        <w:jc w:val="left"/>
        <w:rPr>
          <w:rFonts w:asciiTheme="majorBidi" w:hAnsiTheme="majorBidi" w:cstheme="majorBidi"/>
          <w:highlight w:val="yellow"/>
        </w:rPr>
      </w:pPr>
      <w:r w:rsidRPr="004D7A72">
        <w:rPr>
          <w:rFonts w:asciiTheme="majorBidi" w:hAnsiTheme="majorBidi" w:cstheme="majorBidi"/>
          <w:highlight w:val="yellow"/>
        </w:rPr>
        <w:br w:type="page"/>
      </w:r>
    </w:p>
    <w:p w14:paraId="601D35DF" w14:textId="6F9FBAAD" w:rsidR="0075424D" w:rsidRDefault="00213131" w:rsidP="0057772A">
      <w:pPr>
        <w:tabs>
          <w:tab w:val="center" w:pos="4703"/>
        </w:tabs>
        <w:suppressAutoHyphens/>
        <w:jc w:val="center"/>
        <w:rPr>
          <w:b/>
          <w:bCs/>
        </w:rPr>
      </w:pPr>
      <w:r w:rsidRPr="00E10E88">
        <w:rPr>
          <w:b/>
          <w:noProof/>
          <w:sz w:val="32"/>
          <w:szCs w:val="32"/>
        </w:rPr>
        <w:lastRenderedPageBreak/>
        <w:drawing>
          <wp:anchor distT="0" distB="0" distL="114300" distR="114300" simplePos="0" relativeHeight="251676672" behindDoc="0" locked="0" layoutInCell="0" allowOverlap="1" wp14:anchorId="32FF596E" wp14:editId="64316AC7">
            <wp:simplePos x="0" y="0"/>
            <wp:positionH relativeFrom="page">
              <wp:posOffset>511175</wp:posOffset>
            </wp:positionH>
            <wp:positionV relativeFrom="page">
              <wp:posOffset>453390</wp:posOffset>
            </wp:positionV>
            <wp:extent cx="894052" cy="1033670"/>
            <wp:effectExtent l="0" t="0" r="1905" b="0"/>
            <wp:wrapNone/>
            <wp:docPr id="13" name="Picture 13"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94052" cy="1033670"/>
                    </a:xfrm>
                    <a:prstGeom prst="rect">
                      <a:avLst/>
                    </a:prstGeom>
                    <a:noFill/>
                    <a:ln>
                      <a:noFill/>
                    </a:ln>
                    <a:effectLst/>
                  </pic:spPr>
                </pic:pic>
              </a:graphicData>
            </a:graphic>
          </wp:anchor>
        </w:drawing>
      </w:r>
      <w:r w:rsidR="00C53A48" w:rsidRPr="00074A57">
        <w:rPr>
          <w:highlight w:val="yellow"/>
        </w:rPr>
        <w:t xml:space="preserve"> </w:t>
      </w:r>
    </w:p>
    <w:tbl>
      <w:tblPr>
        <w:tblStyle w:val="TableGrid"/>
        <w:tblW w:w="0" w:type="auto"/>
        <w:tblInd w:w="2835" w:type="dxa"/>
        <w:tblCellMar>
          <w:left w:w="0" w:type="dxa"/>
          <w:right w:w="0" w:type="dxa"/>
        </w:tblCellMar>
        <w:tblLook w:val="0400" w:firstRow="0" w:lastRow="0" w:firstColumn="0" w:lastColumn="0" w:noHBand="0" w:noVBand="1"/>
        <w:tblCaption w:val="DHR00HC00_Dir0"/>
        <w:tblDescription w:val="Layout Table"/>
      </w:tblPr>
      <w:tblGrid>
        <w:gridCol w:w="2977"/>
        <w:gridCol w:w="142"/>
        <w:gridCol w:w="1701"/>
      </w:tblGrid>
      <w:tr w:rsidR="0075424D" w14:paraId="268F29B3" w14:textId="77777777" w:rsidTr="0075424D">
        <w:tc>
          <w:tcPr>
            <w:tcW w:w="2977" w:type="dxa"/>
            <w:tcBorders>
              <w:top w:val="nil"/>
              <w:left w:val="nil"/>
              <w:bottom w:val="nil"/>
              <w:right w:val="nil"/>
            </w:tcBorders>
          </w:tcPr>
          <w:p w14:paraId="5BA8A159" w14:textId="77777777" w:rsidR="0075424D" w:rsidRPr="008B3BDB" w:rsidRDefault="0075424D" w:rsidP="001B7686">
            <w:pPr>
              <w:pStyle w:val="EYBusinessaddress"/>
              <w:jc w:val="both"/>
              <w:rPr>
                <w:b/>
                <w:bCs/>
              </w:rPr>
            </w:pPr>
            <w:proofErr w:type="spellStart"/>
            <w:r w:rsidRPr="008B3BDB">
              <w:rPr>
                <w:b/>
                <w:bCs/>
              </w:rPr>
              <w:t>Kost</w:t>
            </w:r>
            <w:proofErr w:type="spellEnd"/>
            <w:r w:rsidRPr="008B3BDB">
              <w:rPr>
                <w:b/>
                <w:bCs/>
              </w:rPr>
              <w:t xml:space="preserve"> Forer </w:t>
            </w:r>
            <w:proofErr w:type="spellStart"/>
            <w:r w:rsidRPr="008B3BDB">
              <w:rPr>
                <w:b/>
                <w:bCs/>
              </w:rPr>
              <w:t>Gabbay</w:t>
            </w:r>
            <w:proofErr w:type="spellEnd"/>
            <w:r w:rsidRPr="008B3BDB">
              <w:rPr>
                <w:b/>
                <w:bCs/>
              </w:rPr>
              <w:t xml:space="preserve"> &amp; </w:t>
            </w:r>
            <w:proofErr w:type="spellStart"/>
            <w:r w:rsidRPr="008B3BDB">
              <w:rPr>
                <w:b/>
                <w:bCs/>
              </w:rPr>
              <w:t>Kasierer</w:t>
            </w:r>
            <w:proofErr w:type="spellEnd"/>
          </w:p>
          <w:p w14:paraId="6F42BE67" w14:textId="77777777" w:rsidR="0075424D" w:rsidRPr="0037475A" w:rsidRDefault="0075424D" w:rsidP="00200E0C">
            <w:pPr>
              <w:rPr>
                <w:bCs/>
                <w:iCs/>
                <w:color w:val="808080"/>
                <w:kern w:val="12"/>
                <w:sz w:val="15"/>
                <w:szCs w:val="15"/>
                <w:rtl/>
              </w:rPr>
            </w:pPr>
            <w:r w:rsidRPr="0037475A">
              <w:rPr>
                <w:bCs/>
                <w:iCs/>
                <w:color w:val="808080"/>
                <w:kern w:val="12"/>
                <w:sz w:val="15"/>
                <w:szCs w:val="15"/>
              </w:rPr>
              <w:t>144 Menachem</w:t>
            </w:r>
            <w:r>
              <w:rPr>
                <w:bCs/>
                <w:iCs/>
                <w:color w:val="808080"/>
                <w:kern w:val="12"/>
                <w:sz w:val="15"/>
                <w:szCs w:val="15"/>
              </w:rPr>
              <w:t xml:space="preserve"> </w:t>
            </w:r>
            <w:r w:rsidRPr="0037475A">
              <w:rPr>
                <w:bCs/>
                <w:iCs/>
                <w:color w:val="808080"/>
                <w:kern w:val="12"/>
                <w:sz w:val="15"/>
                <w:szCs w:val="15"/>
              </w:rPr>
              <w:t>Begin Road</w:t>
            </w:r>
            <w:r>
              <w:rPr>
                <w:bCs/>
                <w:iCs/>
                <w:color w:val="808080"/>
                <w:kern w:val="12"/>
                <w:sz w:val="15"/>
                <w:szCs w:val="15"/>
              </w:rPr>
              <w:t xml:space="preserve">, </w:t>
            </w:r>
            <w:r w:rsidRPr="008944CC">
              <w:rPr>
                <w:bCs/>
                <w:iCs/>
                <w:color w:val="808080"/>
                <w:kern w:val="12"/>
                <w:sz w:val="15"/>
                <w:szCs w:val="15"/>
              </w:rPr>
              <w:t>Building A</w:t>
            </w:r>
            <w:r>
              <w:rPr>
                <w:bCs/>
                <w:iCs/>
                <w:color w:val="808080"/>
                <w:kern w:val="12"/>
                <w:sz w:val="15"/>
                <w:szCs w:val="15"/>
              </w:rPr>
              <w:t xml:space="preserve"> </w:t>
            </w:r>
          </w:p>
          <w:p w14:paraId="6E8F64E9" w14:textId="77777777" w:rsidR="0075424D" w:rsidRDefault="0075424D" w:rsidP="001B7686">
            <w:pPr>
              <w:pStyle w:val="EYBusinessaddress"/>
              <w:jc w:val="both"/>
            </w:pPr>
            <w:r w:rsidRPr="0037475A">
              <w:rPr>
                <w:bCs/>
                <w:iCs/>
                <w:szCs w:val="15"/>
              </w:rPr>
              <w:t>Tel-Aviv 6492102, Israel</w:t>
            </w:r>
          </w:p>
          <w:p w14:paraId="0E1F2347" w14:textId="77777777" w:rsidR="0075424D" w:rsidRPr="00272BDA" w:rsidRDefault="0075424D" w:rsidP="001B7686">
            <w:pPr>
              <w:pStyle w:val="EYBusinessaddress"/>
            </w:pPr>
          </w:p>
        </w:tc>
        <w:tc>
          <w:tcPr>
            <w:tcW w:w="142" w:type="dxa"/>
            <w:tcBorders>
              <w:left w:val="nil"/>
              <w:right w:val="nil"/>
            </w:tcBorders>
          </w:tcPr>
          <w:p w14:paraId="5B990C2B" w14:textId="77777777" w:rsidR="0075424D" w:rsidRPr="00272BDA" w:rsidRDefault="0075424D" w:rsidP="001B7686">
            <w:pPr>
              <w:pStyle w:val="EYBusinessaddress"/>
            </w:pPr>
          </w:p>
        </w:tc>
        <w:tc>
          <w:tcPr>
            <w:tcW w:w="1701" w:type="dxa"/>
            <w:tcBorders>
              <w:top w:val="nil"/>
              <w:left w:val="nil"/>
              <w:bottom w:val="nil"/>
              <w:right w:val="nil"/>
            </w:tcBorders>
          </w:tcPr>
          <w:p w14:paraId="1974C25D" w14:textId="77777777" w:rsidR="0075424D" w:rsidRPr="008B3BDB" w:rsidRDefault="0075424D" w:rsidP="001B7686">
            <w:pPr>
              <w:pStyle w:val="EYBusinessaddress"/>
              <w:rPr>
                <w:szCs w:val="15"/>
                <w:lang w:bidi="he-IL"/>
              </w:rPr>
            </w:pPr>
            <w:r w:rsidRPr="008B3BDB">
              <w:rPr>
                <w:szCs w:val="15"/>
              </w:rPr>
              <w:t>Tel:</w:t>
            </w:r>
            <w:r>
              <w:rPr>
                <w:szCs w:val="15"/>
              </w:rPr>
              <w:t xml:space="preserve"> </w:t>
            </w:r>
            <w:r w:rsidRPr="008B3BDB">
              <w:rPr>
                <w:bCs/>
                <w:iCs/>
                <w:szCs w:val="15"/>
              </w:rPr>
              <w:t>+972-3-6232525</w:t>
            </w:r>
          </w:p>
          <w:p w14:paraId="2F511D1D" w14:textId="77777777" w:rsidR="0075424D" w:rsidRPr="008B3BDB" w:rsidRDefault="0075424D" w:rsidP="001B7686">
            <w:pPr>
              <w:pStyle w:val="EYBusinessaddress"/>
              <w:rPr>
                <w:szCs w:val="15"/>
              </w:rPr>
            </w:pPr>
            <w:r w:rsidRPr="008B3BDB">
              <w:rPr>
                <w:szCs w:val="15"/>
              </w:rPr>
              <w:t xml:space="preserve">Fax: </w:t>
            </w:r>
            <w:r w:rsidRPr="008B3BDB">
              <w:rPr>
                <w:bCs/>
                <w:iCs/>
                <w:szCs w:val="15"/>
              </w:rPr>
              <w:t>+972-3-5622555</w:t>
            </w:r>
          </w:p>
          <w:p w14:paraId="55D6A545" w14:textId="77777777" w:rsidR="0075424D" w:rsidRPr="00272BDA" w:rsidRDefault="0075424D" w:rsidP="001B7686">
            <w:pPr>
              <w:pStyle w:val="EYBusinessaddress"/>
            </w:pPr>
            <w:r w:rsidRPr="008B3BDB">
              <w:rPr>
                <w:szCs w:val="15"/>
              </w:rPr>
              <w:t>ey.com</w:t>
            </w:r>
          </w:p>
        </w:tc>
      </w:tr>
    </w:tbl>
    <w:p w14:paraId="1C9BAABB" w14:textId="151EF803" w:rsidR="0057772A" w:rsidRDefault="0057772A" w:rsidP="0057772A">
      <w:pPr>
        <w:tabs>
          <w:tab w:val="center" w:pos="4703"/>
        </w:tabs>
        <w:suppressAutoHyphens/>
        <w:jc w:val="center"/>
        <w:rPr>
          <w:b/>
          <w:bCs/>
        </w:rPr>
      </w:pPr>
    </w:p>
    <w:p w14:paraId="1AF1859A" w14:textId="2BB6AF05" w:rsidR="0057772A" w:rsidRDefault="00200E0C" w:rsidP="00200E0C">
      <w:pPr>
        <w:tabs>
          <w:tab w:val="center" w:pos="4703"/>
          <w:tab w:val="left" w:pos="6360"/>
        </w:tabs>
        <w:suppressAutoHyphens/>
        <w:jc w:val="left"/>
        <w:rPr>
          <w:b/>
          <w:bCs/>
        </w:rPr>
      </w:pPr>
      <w:r>
        <w:rPr>
          <w:b/>
          <w:bCs/>
        </w:rPr>
        <w:tab/>
      </w:r>
      <w:r>
        <w:rPr>
          <w:b/>
          <w:bCs/>
        </w:rPr>
        <w:tab/>
      </w:r>
    </w:p>
    <w:p w14:paraId="41F9041C" w14:textId="77777777" w:rsidR="00200E0C" w:rsidRDefault="00200E0C" w:rsidP="00200E0C">
      <w:pPr>
        <w:jc w:val="left"/>
        <w:rPr>
          <w:b/>
          <w:bCs/>
        </w:rPr>
      </w:pPr>
      <w:r w:rsidRPr="004407AE">
        <w:rPr>
          <w:b/>
          <w:bCs/>
        </w:rPr>
        <w:t>To</w:t>
      </w:r>
      <w:r>
        <w:rPr>
          <w:b/>
          <w:bCs/>
        </w:rPr>
        <w:t xml:space="preserve"> </w:t>
      </w:r>
    </w:p>
    <w:p w14:paraId="091F90F3" w14:textId="77777777" w:rsidR="00200E0C" w:rsidRPr="004407AE" w:rsidRDefault="00200E0C" w:rsidP="00200E0C">
      <w:pPr>
        <w:jc w:val="left"/>
        <w:rPr>
          <w:b/>
          <w:bCs/>
        </w:rPr>
      </w:pPr>
      <w:r w:rsidRPr="004407AE">
        <w:rPr>
          <w:b/>
          <w:bCs/>
        </w:rPr>
        <w:t xml:space="preserve">The Shareholders of </w:t>
      </w:r>
      <w:r>
        <w:rPr>
          <w:b/>
          <w:bCs/>
        </w:rPr>
        <w:t xml:space="preserve">G CITY </w:t>
      </w:r>
      <w:r w:rsidRPr="004407AE">
        <w:rPr>
          <w:b/>
          <w:bCs/>
        </w:rPr>
        <w:t>Ltd.</w:t>
      </w:r>
    </w:p>
    <w:p w14:paraId="1B086789" w14:textId="77777777" w:rsidR="00200E0C" w:rsidRDefault="00200E0C" w:rsidP="00200E0C">
      <w:pPr>
        <w:rPr>
          <w:b/>
          <w:bCs/>
        </w:rPr>
      </w:pPr>
    </w:p>
    <w:p w14:paraId="2C78C185" w14:textId="77777777" w:rsidR="00200E0C" w:rsidRPr="004407AE" w:rsidRDefault="00200E0C" w:rsidP="00200E0C">
      <w:pPr>
        <w:rPr>
          <w:b/>
          <w:bCs/>
        </w:rPr>
      </w:pPr>
      <w:r w:rsidRPr="004407AE">
        <w:rPr>
          <w:b/>
          <w:bCs/>
        </w:rPr>
        <w:t>Dear Sirs/Mmes.,</w:t>
      </w:r>
    </w:p>
    <w:p w14:paraId="2FA4E17C" w14:textId="77777777" w:rsidR="00200E0C" w:rsidRPr="004407AE" w:rsidRDefault="00200E0C" w:rsidP="00200E0C">
      <w:pPr>
        <w:rPr>
          <w:rtl/>
        </w:rPr>
      </w:pPr>
    </w:p>
    <w:p w14:paraId="636B278A" w14:textId="77777777" w:rsidR="00200E0C" w:rsidRPr="004407AE" w:rsidRDefault="00200E0C" w:rsidP="00200E0C">
      <w:pPr>
        <w:rPr>
          <w:bCs/>
          <w:u w:val="single"/>
          <w:rtl/>
        </w:rPr>
      </w:pPr>
      <w:r w:rsidRPr="004407AE">
        <w:rPr>
          <w:bCs/>
        </w:rPr>
        <w:t>Re:</w:t>
      </w:r>
      <w:r w:rsidRPr="004407AE">
        <w:rPr>
          <w:b/>
          <w:u w:val="single"/>
        </w:rPr>
        <w:t xml:space="preserve"> Special review report of the separate interim financial information in accordance with Regulation 38d of the Securities Regulations (Periodic and Immediate Reports), 1970 </w:t>
      </w:r>
    </w:p>
    <w:p w14:paraId="20D8BCA4" w14:textId="77777777" w:rsidR="00200E0C" w:rsidRPr="004407AE" w:rsidRDefault="00200E0C" w:rsidP="00200E0C">
      <w:pPr>
        <w:rPr>
          <w:rtl/>
        </w:rPr>
      </w:pPr>
    </w:p>
    <w:p w14:paraId="35C99B72" w14:textId="77777777" w:rsidR="00200E0C" w:rsidRPr="004407AE" w:rsidRDefault="00200E0C" w:rsidP="00200E0C">
      <w:pPr>
        <w:rPr>
          <w:bCs/>
        </w:rPr>
      </w:pPr>
      <w:r w:rsidRPr="004407AE">
        <w:rPr>
          <w:b/>
        </w:rPr>
        <w:t>Introduction</w:t>
      </w:r>
    </w:p>
    <w:p w14:paraId="125D4347" w14:textId="77777777" w:rsidR="00200E0C" w:rsidRPr="004407AE" w:rsidRDefault="00200E0C" w:rsidP="00200E0C">
      <w:pPr>
        <w:rPr>
          <w:rtl/>
        </w:rPr>
      </w:pPr>
    </w:p>
    <w:p w14:paraId="1EEAAC9F" w14:textId="77777777" w:rsidR="00200E0C" w:rsidRPr="00CB06F9" w:rsidRDefault="00200E0C" w:rsidP="00200E0C">
      <w:r>
        <w:t>We have reviewed the separate interim financial information disclosed in accordance with Regulation 38d to the Securities Regulations (Periodic and Immediate Reports), 1970 of G City Ltd. ("the Company") as of June 30, 2024 for the six and three months period then ended. The Company's board of directors and management are responsible for the separate interim financial information. Our responsibility is to express a conclusion on the separate interim financial information based on our review.</w:t>
      </w:r>
    </w:p>
    <w:p w14:paraId="2BED2196" w14:textId="77777777" w:rsidR="00200E0C" w:rsidRPr="004407AE" w:rsidRDefault="00200E0C" w:rsidP="00200E0C">
      <w:pPr>
        <w:rPr>
          <w:rtl/>
        </w:rPr>
      </w:pPr>
    </w:p>
    <w:p w14:paraId="432E3875" w14:textId="77777777" w:rsidR="00200E0C" w:rsidRDefault="00200E0C" w:rsidP="00200E0C">
      <w:r>
        <w:t>We did not review the separate interim financial information taken from the interim financial information of investees, whose assets less attributable liabilities net amounted to approximately NIS 2,830 million as of June 30, 2024 and the Company's share of their earnings amounted to approximately NIS 160 million and 45 NIS for the six and three months periods then ended. The separate interim financial information of those companies was reviewed by other auditors, whose review reports have been furnished to us, and our conclusion, insofar as it relates to the financial information in respect of those companies, is based on the review reports of the other auditors.</w:t>
      </w:r>
    </w:p>
    <w:p w14:paraId="5F38A67C" w14:textId="77777777" w:rsidR="00200E0C" w:rsidRPr="00CB06F9" w:rsidRDefault="00200E0C" w:rsidP="00200E0C"/>
    <w:p w14:paraId="1B57D5EA" w14:textId="77777777" w:rsidR="00200E0C" w:rsidRPr="004407AE" w:rsidRDefault="00200E0C" w:rsidP="00200E0C">
      <w:pPr>
        <w:rPr>
          <w:bCs/>
          <w:rtl/>
        </w:rPr>
      </w:pPr>
      <w:r w:rsidRPr="004407AE">
        <w:rPr>
          <w:b/>
        </w:rPr>
        <w:t>Scope of review</w:t>
      </w:r>
    </w:p>
    <w:p w14:paraId="13B636F2" w14:textId="77777777" w:rsidR="00200E0C" w:rsidRPr="004407AE" w:rsidRDefault="00200E0C" w:rsidP="00200E0C">
      <w:pPr>
        <w:rPr>
          <w:rtl/>
        </w:rPr>
      </w:pPr>
    </w:p>
    <w:p w14:paraId="50669996" w14:textId="77777777" w:rsidR="00200E0C" w:rsidRPr="00CB06F9" w:rsidRDefault="00200E0C" w:rsidP="00200E0C">
      <w:r>
        <w:t>We conducted our review in accordance with Review Standard (Israel) 2410 of the Institute of Certified Public Accountants in Israel, "Review of Interim Financial Information Performed by the Independent Auditor of the Entity." A review of interim financial information consists of making inquiries, primarily of persons responsible for financial and accounting matters, and applying analytical and other review procedures. A review is substantially less in scope than an audit conducted in accordance with generally accepted auditing standards in Israel and consequently does not enable us to obtain assurance that we would become aware of all significant matters that might be identified in an audit. Accordingly, we do not express an audit opinion.</w:t>
      </w:r>
    </w:p>
    <w:p w14:paraId="0B1EE7C3" w14:textId="77777777" w:rsidR="00200E0C" w:rsidRPr="004407AE" w:rsidRDefault="00200E0C" w:rsidP="00200E0C">
      <w:pPr>
        <w:rPr>
          <w:rtl/>
        </w:rPr>
      </w:pPr>
    </w:p>
    <w:p w14:paraId="1701D1E9" w14:textId="77777777" w:rsidR="00200E0C" w:rsidRPr="004407AE" w:rsidRDefault="00200E0C" w:rsidP="00200E0C">
      <w:pPr>
        <w:rPr>
          <w:bCs/>
          <w:rtl/>
        </w:rPr>
      </w:pPr>
      <w:r w:rsidRPr="004407AE">
        <w:rPr>
          <w:b/>
        </w:rPr>
        <w:t>Conclusion</w:t>
      </w:r>
    </w:p>
    <w:p w14:paraId="3BDE9E01" w14:textId="77777777" w:rsidR="00200E0C" w:rsidRPr="004407AE" w:rsidRDefault="00200E0C" w:rsidP="00200E0C">
      <w:pPr>
        <w:rPr>
          <w:rtl/>
        </w:rPr>
      </w:pPr>
    </w:p>
    <w:p w14:paraId="66605557" w14:textId="77777777" w:rsidR="00200E0C" w:rsidRPr="00200E0C" w:rsidRDefault="00200E0C" w:rsidP="00200E0C">
      <w:r w:rsidRPr="00200E0C">
        <w:t xml:space="preserve">Based on our review and the review reports of other auditors, nothing has come to our attention that causes us to believe that the accompanying separate interim financial information is not prepared, in all material respects, in accordance with Regulation 38d to the Securities Regulations (Periodic and Immediate Reports), 1970. </w:t>
      </w:r>
    </w:p>
    <w:p w14:paraId="3BE21E4E" w14:textId="77777777" w:rsidR="00200E0C" w:rsidRPr="004407AE" w:rsidRDefault="00200E0C" w:rsidP="00200E0C"/>
    <w:tbl>
      <w:tblPr>
        <w:tblW w:w="9675" w:type="dxa"/>
        <w:tblLayout w:type="fixed"/>
        <w:tblCellMar>
          <w:left w:w="0" w:type="dxa"/>
          <w:right w:w="0" w:type="dxa"/>
        </w:tblCellMar>
        <w:tblLook w:val="04A0" w:firstRow="1" w:lastRow="0" w:firstColumn="1" w:lastColumn="0" w:noHBand="0" w:noVBand="1"/>
      </w:tblPr>
      <w:tblGrid>
        <w:gridCol w:w="5740"/>
        <w:gridCol w:w="3935"/>
      </w:tblGrid>
      <w:tr w:rsidR="00200E0C" w:rsidRPr="004407AE" w14:paraId="791FF558" w14:textId="77777777" w:rsidTr="00A65A6F">
        <w:tc>
          <w:tcPr>
            <w:tcW w:w="5739" w:type="dxa"/>
            <w:vAlign w:val="bottom"/>
            <w:hideMark/>
          </w:tcPr>
          <w:p w14:paraId="6CB15CFE" w14:textId="77777777" w:rsidR="00200E0C" w:rsidRPr="004407AE" w:rsidRDefault="00200E0C" w:rsidP="00A65A6F">
            <w:r w:rsidRPr="004407AE">
              <w:t>Tel-Aviv, Israel</w:t>
            </w:r>
          </w:p>
        </w:tc>
        <w:tc>
          <w:tcPr>
            <w:tcW w:w="3934" w:type="dxa"/>
            <w:vAlign w:val="bottom"/>
            <w:hideMark/>
          </w:tcPr>
          <w:p w14:paraId="6B496120" w14:textId="77777777" w:rsidR="00200E0C" w:rsidRPr="004407AE" w:rsidRDefault="00200E0C" w:rsidP="00A65A6F">
            <w:r w:rsidRPr="004407AE">
              <w:t>KOST FORER GABBAY &amp; KASIERER</w:t>
            </w:r>
          </w:p>
        </w:tc>
      </w:tr>
      <w:tr w:rsidR="00200E0C" w:rsidRPr="004407AE" w14:paraId="0636DCC9" w14:textId="77777777" w:rsidTr="00A65A6F">
        <w:tc>
          <w:tcPr>
            <w:tcW w:w="5739" w:type="dxa"/>
            <w:vAlign w:val="bottom"/>
            <w:hideMark/>
          </w:tcPr>
          <w:p w14:paraId="5A142063" w14:textId="77777777" w:rsidR="00200E0C" w:rsidRPr="00C35000" w:rsidRDefault="00200E0C" w:rsidP="00A65A6F">
            <w:pPr>
              <w:rPr>
                <w:rtl/>
              </w:rPr>
            </w:pPr>
            <w:r>
              <w:t>August 14, 2024</w:t>
            </w:r>
          </w:p>
        </w:tc>
        <w:tc>
          <w:tcPr>
            <w:tcW w:w="3934" w:type="dxa"/>
            <w:vAlign w:val="bottom"/>
            <w:hideMark/>
          </w:tcPr>
          <w:p w14:paraId="512B53B3" w14:textId="77777777" w:rsidR="00200E0C" w:rsidRPr="004407AE" w:rsidRDefault="00200E0C" w:rsidP="00A65A6F">
            <w:r>
              <w:t xml:space="preserve">   </w:t>
            </w:r>
            <w:r w:rsidRPr="004407AE">
              <w:t>A Member of Ernst &amp; Young Global</w:t>
            </w:r>
          </w:p>
        </w:tc>
      </w:tr>
    </w:tbl>
    <w:p w14:paraId="01C0CDEF" w14:textId="77777777" w:rsidR="00200E0C" w:rsidRPr="00F14BBA" w:rsidRDefault="00200E0C" w:rsidP="00200E0C"/>
    <w:p w14:paraId="4BE3D8DA" w14:textId="77777777" w:rsidR="0057772A" w:rsidRPr="00BD0348" w:rsidRDefault="0057772A" w:rsidP="0057772A">
      <w:pPr>
        <w:jc w:val="left"/>
      </w:pPr>
    </w:p>
    <w:p w14:paraId="6918FFCB" w14:textId="77777777" w:rsidR="00200E0C" w:rsidRPr="007F4C68" w:rsidRDefault="00200E0C" w:rsidP="00200E0C">
      <w:pPr>
        <w:pageBreakBefore/>
        <w:jc w:val="center"/>
        <w:rPr>
          <w:rFonts w:asciiTheme="majorBidi" w:hAnsiTheme="majorBidi" w:cstheme="majorBidi"/>
          <w:b/>
          <w:bCs/>
          <w:sz w:val="21"/>
          <w:szCs w:val="21"/>
          <w:u w:val="single"/>
        </w:rPr>
      </w:pPr>
      <w:bookmarkStart w:id="181" w:name="RG_MARKER_56604"/>
      <w:bookmarkStart w:id="182" w:name="RG_MARKER_56677"/>
      <w:r w:rsidRPr="007F4C68">
        <w:rPr>
          <w:rFonts w:asciiTheme="majorBidi" w:hAnsiTheme="majorBidi" w:cstheme="majorBidi"/>
          <w:b/>
          <w:sz w:val="21"/>
          <w:u w:val="single"/>
        </w:rPr>
        <w:lastRenderedPageBreak/>
        <w:t>G City Ltd.</w:t>
      </w:r>
      <w:bookmarkEnd w:id="181"/>
      <w:bookmarkEnd w:id="182"/>
    </w:p>
    <w:p w14:paraId="7F19FAB7" w14:textId="77777777" w:rsidR="00200E0C" w:rsidRPr="007F4C68" w:rsidRDefault="00200E0C" w:rsidP="00200E0C">
      <w:pPr>
        <w:jc w:val="center"/>
        <w:rPr>
          <w:rFonts w:asciiTheme="majorBidi" w:hAnsiTheme="majorBidi" w:cstheme="majorBidi"/>
          <w:b/>
          <w:bCs/>
          <w:sz w:val="21"/>
          <w:szCs w:val="21"/>
          <w:u w:val="single"/>
          <w:rtl/>
        </w:rPr>
      </w:pPr>
    </w:p>
    <w:p w14:paraId="22B434DF" w14:textId="77777777" w:rsidR="00200E0C" w:rsidRPr="007F4C68" w:rsidRDefault="00200E0C" w:rsidP="00200E0C">
      <w:pPr>
        <w:ind w:left="567" w:right="851"/>
        <w:jc w:val="center"/>
        <w:outlineLvl w:val="2"/>
        <w:rPr>
          <w:rFonts w:asciiTheme="majorBidi" w:hAnsiTheme="majorBidi" w:cstheme="majorBidi"/>
          <w:b/>
          <w:bCs/>
          <w:sz w:val="21"/>
          <w:szCs w:val="21"/>
          <w:u w:val="single"/>
        </w:rPr>
      </w:pPr>
      <w:bookmarkStart w:id="183" w:name="H3_נתונים_כספיים_ומידע_כספי_מתוך_הדוחות_"/>
      <w:r w:rsidRPr="007F4C68">
        <w:rPr>
          <w:rFonts w:asciiTheme="majorBidi" w:hAnsiTheme="majorBidi" w:cstheme="majorBidi"/>
          <w:b/>
          <w:sz w:val="21"/>
          <w:u w:val="single"/>
        </w:rPr>
        <w:t>Financial Figures and Financial Information from the Condensed Interim Financial Statements attributable to the Company</w:t>
      </w:r>
    </w:p>
    <w:bookmarkEnd w:id="183"/>
    <w:p w14:paraId="765D022F" w14:textId="77777777" w:rsidR="00200E0C" w:rsidRPr="007F4C68" w:rsidRDefault="00200E0C" w:rsidP="00200E0C">
      <w:pPr>
        <w:rPr>
          <w:rFonts w:asciiTheme="majorBidi" w:hAnsiTheme="majorBidi" w:cstheme="majorBidi"/>
          <w:sz w:val="21"/>
          <w:szCs w:val="21"/>
          <w:rtl/>
        </w:rPr>
      </w:pPr>
    </w:p>
    <w:p w14:paraId="6929C799" w14:textId="77777777" w:rsidR="00200E0C" w:rsidRPr="007F4C68" w:rsidRDefault="00200E0C" w:rsidP="00200E0C">
      <w:pPr>
        <w:rPr>
          <w:rFonts w:asciiTheme="majorBidi" w:hAnsiTheme="majorBidi" w:cstheme="majorBidi"/>
          <w:sz w:val="21"/>
          <w:szCs w:val="21"/>
          <w:rtl/>
        </w:rPr>
      </w:pPr>
    </w:p>
    <w:p w14:paraId="02DB229C" w14:textId="77777777" w:rsidR="00200E0C" w:rsidRPr="007F4C68" w:rsidRDefault="00200E0C" w:rsidP="00200E0C">
      <w:pPr>
        <w:rPr>
          <w:rFonts w:asciiTheme="majorBidi" w:hAnsiTheme="majorBidi" w:cstheme="majorBidi"/>
          <w:sz w:val="21"/>
          <w:szCs w:val="21"/>
        </w:rPr>
      </w:pPr>
      <w:r w:rsidRPr="007F4C68">
        <w:rPr>
          <w:rFonts w:asciiTheme="majorBidi" w:hAnsiTheme="majorBidi" w:cstheme="majorBidi"/>
          <w:sz w:val="21"/>
        </w:rPr>
        <w:t>Below are the separate figures and financial information from the condensed interim financial statements of the Group as at June 30, 2024, published as part of the periodic reports (the "Consolidated Reports"), attributable to the Company, presented in accordance with Regulation 38D of the Securities Regulations (Periodic and Immediate Reports),1970.</w:t>
      </w:r>
    </w:p>
    <w:p w14:paraId="2BCB6EF9" w14:textId="77777777" w:rsidR="00200E0C" w:rsidRPr="007F4C68" w:rsidRDefault="00200E0C" w:rsidP="00200E0C">
      <w:pPr>
        <w:rPr>
          <w:rFonts w:asciiTheme="majorBidi" w:hAnsiTheme="majorBidi" w:cstheme="majorBidi"/>
          <w:sz w:val="21"/>
          <w:szCs w:val="21"/>
          <w:rtl/>
        </w:rPr>
      </w:pPr>
    </w:p>
    <w:p w14:paraId="366D180F" w14:textId="77777777" w:rsidR="00200E0C" w:rsidRPr="007F4C68" w:rsidRDefault="00200E0C" w:rsidP="00200E0C">
      <w:pPr>
        <w:rPr>
          <w:rFonts w:asciiTheme="majorBidi" w:hAnsiTheme="majorBidi" w:cstheme="majorBidi"/>
          <w:sz w:val="21"/>
          <w:szCs w:val="21"/>
        </w:rPr>
      </w:pPr>
      <w:r w:rsidRPr="007F4C68">
        <w:rPr>
          <w:rFonts w:asciiTheme="majorBidi" w:hAnsiTheme="majorBidi" w:cstheme="majorBidi"/>
          <w:sz w:val="21"/>
        </w:rPr>
        <w:t>The accounting policy applied for presenting this financial information are set out in Note 2 to the annual consolidated financial statements.</w:t>
      </w:r>
    </w:p>
    <w:p w14:paraId="1240BA83" w14:textId="77777777" w:rsidR="00200E0C" w:rsidRPr="007F4C68" w:rsidRDefault="00200E0C" w:rsidP="00200E0C">
      <w:pPr>
        <w:rPr>
          <w:rFonts w:asciiTheme="majorBidi" w:hAnsiTheme="majorBidi" w:cstheme="majorBidi"/>
          <w:sz w:val="21"/>
          <w:szCs w:val="21"/>
          <w:rtl/>
        </w:rPr>
      </w:pPr>
    </w:p>
    <w:p w14:paraId="583FFCDE" w14:textId="77777777" w:rsidR="00200E0C" w:rsidRPr="007F4C68" w:rsidRDefault="00200E0C" w:rsidP="00200E0C">
      <w:pPr>
        <w:rPr>
          <w:rFonts w:asciiTheme="majorBidi" w:hAnsiTheme="majorBidi" w:cstheme="majorBidi"/>
          <w:sz w:val="21"/>
          <w:szCs w:val="21"/>
        </w:rPr>
      </w:pPr>
      <w:r w:rsidRPr="007F4C68">
        <w:rPr>
          <w:rFonts w:asciiTheme="majorBidi" w:hAnsiTheme="majorBidi" w:cstheme="majorBidi"/>
          <w:sz w:val="21"/>
        </w:rPr>
        <w:t>Consolidated subsidiaries as defined in Note 1 to the annual consolidated financial statements.</w:t>
      </w:r>
    </w:p>
    <w:p w14:paraId="1E4188E0" w14:textId="6458530C" w:rsidR="007F4C68" w:rsidRPr="00200E0C" w:rsidRDefault="007F4C68" w:rsidP="00200E0C">
      <w:pPr>
        <w:spacing w:before="0" w:after="200"/>
        <w:jc w:val="left"/>
        <w:rPr>
          <w:rFonts w:eastAsia="Calibri"/>
          <w:highlight w:val="yellow"/>
          <w:bdr w:val="nil"/>
        </w:rPr>
      </w:pPr>
      <w:r>
        <w:rPr>
          <w:rFonts w:eastAsia="Calibri"/>
          <w:highlight w:val="yellow"/>
          <w:bdr w:val="nil"/>
        </w:rPr>
        <w:br w:type="page"/>
      </w:r>
      <w:bookmarkStart w:id="184" w:name="RG_DOC_GLOb-qQShBi"/>
      <w:bookmarkEnd w:id="184"/>
    </w:p>
    <w:p w14:paraId="18E02769" w14:textId="77777777" w:rsidR="007F4C68" w:rsidRPr="007F4C68" w:rsidRDefault="007F4C68" w:rsidP="007F4C68">
      <w:pPr>
        <w:rPr>
          <w:rFonts w:asciiTheme="majorBidi" w:hAnsiTheme="majorBidi" w:cstheme="majorBidi"/>
          <w:sz w:val="21"/>
          <w:szCs w:val="21"/>
          <w:rtl/>
        </w:rPr>
        <w:sectPr w:rsidR="007F4C68" w:rsidRPr="007F4C68" w:rsidSect="00200E0C">
          <w:headerReference w:type="default" r:id="rId70"/>
          <w:footnotePr>
            <w:numRestart w:val="eachPage"/>
          </w:footnotePr>
          <w:pgSz w:w="11906" w:h="16838"/>
          <w:pgMar w:top="851" w:right="991" w:bottom="1134" w:left="992" w:header="567" w:footer="567" w:gutter="0"/>
          <w:pgBorders>
            <w:top w:val="nil"/>
            <w:left w:val="nil"/>
            <w:bottom w:val="nil"/>
            <w:right w:val="nil"/>
          </w:pgBorders>
          <w:cols w:space="708"/>
          <w:bidi/>
          <w:rtlGutter/>
          <w:docGrid w:linePitch="360"/>
        </w:sectPr>
      </w:pPr>
    </w:p>
    <w:p w14:paraId="6A549B38" w14:textId="77777777" w:rsidR="007F4C68" w:rsidRPr="007F4C68" w:rsidRDefault="007F4C68" w:rsidP="007F4C68">
      <w:pPr>
        <w:pageBreakBefore/>
        <w:rPr>
          <w:rFonts w:asciiTheme="majorBidi" w:hAnsiTheme="majorBidi" w:cstheme="majorBidi"/>
          <w:vanish/>
          <w:sz w:val="21"/>
          <w:szCs w:val="21"/>
        </w:rPr>
      </w:pPr>
      <w:bookmarkStart w:id="185" w:name="RG_MARKER_56646"/>
      <w:bookmarkStart w:id="186" w:name="RG_MARKER_56594"/>
      <w:bookmarkEnd w:id="185"/>
      <w:bookmarkEnd w:id="186"/>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7F4C68" w:rsidRPr="007F4C68" w14:paraId="47D16317" w14:textId="77777777" w:rsidTr="00A65A6F">
        <w:trPr>
          <w:cantSplit/>
        </w:trPr>
        <w:tc>
          <w:tcPr>
            <w:tcW w:w="5000" w:type="pct"/>
          </w:tcPr>
          <w:tbl>
            <w:tblPr>
              <w:tblStyle w:val="CDMRange1"/>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Print_Area"/>
            </w:tblPr>
            <w:tblGrid>
              <w:gridCol w:w="4651"/>
              <w:gridCol w:w="1598"/>
              <w:gridCol w:w="359"/>
              <w:gridCol w:w="1302"/>
              <w:gridCol w:w="312"/>
              <w:gridCol w:w="1700"/>
            </w:tblGrid>
            <w:tr w:rsidR="007F4C68" w:rsidRPr="007F4C68" w14:paraId="297FF576" w14:textId="77777777" w:rsidTr="00A65A6F">
              <w:trPr>
                <w:cantSplit/>
                <w:trHeight w:val="300"/>
              </w:trPr>
              <w:tc>
                <w:tcPr>
                  <w:tcW w:w="4684" w:type="dxa"/>
                  <w:tcBorders>
                    <w:top w:val="nil"/>
                    <w:left w:val="nil"/>
                    <w:bottom w:val="nil"/>
                    <w:right w:val="nil"/>
                    <w:tl2br w:val="nil"/>
                    <w:tr2bl w:val="nil"/>
                  </w:tcBorders>
                  <w:shd w:val="clear" w:color="auto" w:fill="auto"/>
                  <w:noWrap/>
                  <w:tcMar>
                    <w:left w:w="0" w:type="dxa"/>
                    <w:right w:w="0" w:type="dxa"/>
                  </w:tcMar>
                  <w:vAlign w:val="bottom"/>
                </w:tcPr>
                <w:p w14:paraId="4AD39666"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3240"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323DA5D7"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June 30</w:t>
                  </w:r>
                </w:p>
              </w:tc>
              <w:tc>
                <w:tcPr>
                  <w:tcW w:w="298" w:type="dxa"/>
                  <w:tcBorders>
                    <w:top w:val="nil"/>
                    <w:left w:val="nil"/>
                    <w:bottom w:val="nil"/>
                    <w:right w:val="nil"/>
                    <w:tl2br w:val="nil"/>
                    <w:tr2bl w:val="nil"/>
                  </w:tcBorders>
                  <w:shd w:val="clear" w:color="auto" w:fill="auto"/>
                  <w:tcMar>
                    <w:left w:w="0" w:type="dxa"/>
                    <w:right w:w="0" w:type="dxa"/>
                  </w:tcMar>
                  <w:vAlign w:val="bottom"/>
                </w:tcPr>
                <w:p w14:paraId="020FFA55" w14:textId="77777777" w:rsidR="007F4C68" w:rsidRPr="007F4C68" w:rsidRDefault="007F4C68" w:rsidP="00A65A6F">
                  <w:pPr>
                    <w:keepNext/>
                    <w:spacing w:before="0" w:after="0"/>
                    <w:jc w:val="left"/>
                    <w:rPr>
                      <w:rFonts w:asciiTheme="majorBidi" w:eastAsia="Ploni ML Medium AAA Medium" w:hAnsiTheme="majorBidi" w:cstheme="majorBidi"/>
                      <w:b/>
                      <w:color w:val="000000"/>
                    </w:rPr>
                  </w:pPr>
                </w:p>
              </w:tc>
              <w:tc>
                <w:tcPr>
                  <w:tcW w:w="1700" w:type="dxa"/>
                  <w:tcBorders>
                    <w:top w:val="nil"/>
                    <w:left w:val="nil"/>
                    <w:bottom w:val="nil"/>
                    <w:right w:val="nil"/>
                    <w:tl2br w:val="nil"/>
                    <w:tr2bl w:val="nil"/>
                  </w:tcBorders>
                  <w:shd w:val="clear" w:color="auto" w:fill="auto"/>
                  <w:tcMar>
                    <w:left w:w="40" w:type="dxa"/>
                    <w:right w:w="40" w:type="dxa"/>
                  </w:tcMar>
                  <w:vAlign w:val="bottom"/>
                </w:tcPr>
                <w:p w14:paraId="3A033E76"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December 31</w:t>
                  </w:r>
                </w:p>
              </w:tc>
            </w:tr>
            <w:tr w:rsidR="007F4C68" w:rsidRPr="007F4C68" w14:paraId="67BB09A9"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0" w:type="dxa"/>
                    <w:right w:w="0" w:type="dxa"/>
                  </w:tcMar>
                  <w:vAlign w:val="bottom"/>
                </w:tcPr>
                <w:p w14:paraId="2CF86A03"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159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107CD21"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2024</w:t>
                  </w:r>
                </w:p>
              </w:tc>
              <w:tc>
                <w:tcPr>
                  <w:tcW w:w="3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55553D"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29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BB3CE5D"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c>
                <w:tcPr>
                  <w:tcW w:w="298" w:type="dxa"/>
                  <w:tcBorders>
                    <w:top w:val="nil"/>
                    <w:left w:val="nil"/>
                    <w:bottom w:val="nil"/>
                    <w:right w:val="nil"/>
                    <w:tl2br w:val="nil"/>
                    <w:tr2bl w:val="nil"/>
                  </w:tcBorders>
                  <w:shd w:val="clear" w:color="auto" w:fill="auto"/>
                  <w:noWrap/>
                  <w:tcMar>
                    <w:left w:w="0" w:type="dxa"/>
                    <w:right w:w="0" w:type="dxa"/>
                  </w:tcMar>
                  <w:vAlign w:val="bottom"/>
                </w:tcPr>
                <w:p w14:paraId="6C00B161"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7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1A1D025"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r>
            <w:tr w:rsidR="007F4C68" w:rsidRPr="007F4C68" w14:paraId="23C9D695"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0" w:type="dxa"/>
                    <w:right w:w="0" w:type="dxa"/>
                  </w:tcMar>
                  <w:vAlign w:val="bottom"/>
                </w:tcPr>
                <w:p w14:paraId="0D6E79BB"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324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6240AC89"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Unaudited</w:t>
                  </w:r>
                </w:p>
              </w:tc>
              <w:tc>
                <w:tcPr>
                  <w:tcW w:w="298" w:type="dxa"/>
                  <w:tcBorders>
                    <w:top w:val="nil"/>
                    <w:left w:val="nil"/>
                    <w:bottom w:val="nil"/>
                    <w:right w:val="nil"/>
                    <w:tl2br w:val="nil"/>
                    <w:tr2bl w:val="nil"/>
                  </w:tcBorders>
                  <w:shd w:val="clear" w:color="auto" w:fill="auto"/>
                  <w:noWrap/>
                  <w:tcMar>
                    <w:left w:w="0" w:type="dxa"/>
                    <w:right w:w="0" w:type="dxa"/>
                  </w:tcMar>
                  <w:vAlign w:val="bottom"/>
                </w:tcPr>
                <w:p w14:paraId="6627E70C"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7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3D7AB0D"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Audited</w:t>
                  </w:r>
                </w:p>
              </w:tc>
            </w:tr>
            <w:tr w:rsidR="007F4C68" w:rsidRPr="007F4C68" w14:paraId="155F9CA4"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0" w:type="dxa"/>
                    <w:right w:w="0" w:type="dxa"/>
                  </w:tcMar>
                  <w:vAlign w:val="bottom"/>
                </w:tcPr>
                <w:p w14:paraId="1139E933"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5238" w:type="dxa"/>
                  <w:gridSpan w:val="5"/>
                  <w:tcBorders>
                    <w:top w:val="nil"/>
                    <w:left w:val="nil"/>
                    <w:bottom w:val="single" w:sz="4" w:space="0" w:color="000000"/>
                    <w:right w:val="nil"/>
                    <w:tl2br w:val="nil"/>
                    <w:tr2bl w:val="nil"/>
                  </w:tcBorders>
                  <w:shd w:val="clear" w:color="auto" w:fill="auto"/>
                  <w:noWrap/>
                  <w:tcMar>
                    <w:left w:w="40" w:type="dxa"/>
                    <w:right w:w="40" w:type="dxa"/>
                  </w:tcMar>
                  <w:vAlign w:val="bottom"/>
                </w:tcPr>
                <w:p w14:paraId="75B3FF8C"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NIS million</w:t>
                  </w:r>
                </w:p>
              </w:tc>
            </w:tr>
            <w:tr w:rsidR="007F4C68" w:rsidRPr="007F4C68" w14:paraId="22653F55"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40" w:type="dxa"/>
                    <w:right w:w="40" w:type="dxa"/>
                  </w:tcMar>
                  <w:vAlign w:val="bottom"/>
                </w:tcPr>
                <w:p w14:paraId="1008FFF2" w14:textId="77777777" w:rsidR="007F4C68" w:rsidRPr="007F4C68" w:rsidRDefault="007F4C68" w:rsidP="00A65A6F">
                  <w:pPr>
                    <w:keepNext/>
                    <w:spacing w:before="0" w:after="0"/>
                    <w:jc w:val="left"/>
                    <w:rPr>
                      <w:rFonts w:asciiTheme="majorBidi" w:eastAsia="Ploni ML Medium AAA Medium" w:hAnsiTheme="majorBidi" w:cstheme="majorBidi"/>
                      <w:b/>
                      <w:color w:val="000000"/>
                      <w:sz w:val="21"/>
                      <w:u w:val="single"/>
                    </w:rPr>
                  </w:pPr>
                  <w:r w:rsidRPr="007F4C68">
                    <w:rPr>
                      <w:rFonts w:asciiTheme="majorBidi" w:hAnsiTheme="majorBidi" w:cstheme="majorBidi"/>
                      <w:b/>
                      <w:color w:val="000000"/>
                      <w:sz w:val="21"/>
                      <w:u w:val="single"/>
                    </w:rPr>
                    <w:t>Properties</w:t>
                  </w:r>
                </w:p>
              </w:tc>
              <w:tc>
                <w:tcPr>
                  <w:tcW w:w="1597"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4F9B8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0DDE1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298"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0CCDC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98"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3E1297"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5C34E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r>
            <w:tr w:rsidR="007F4C68" w:rsidRPr="007F4C68" w14:paraId="3136724C"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40" w:type="dxa"/>
                    <w:right w:w="40" w:type="dxa"/>
                  </w:tcMar>
                  <w:vAlign w:val="bottom"/>
                </w:tcPr>
                <w:p w14:paraId="213B5E1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Current assets</w:t>
                  </w:r>
                </w:p>
              </w:tc>
              <w:tc>
                <w:tcPr>
                  <w:tcW w:w="1597" w:type="dxa"/>
                  <w:tcBorders>
                    <w:top w:val="nil"/>
                    <w:left w:val="nil"/>
                    <w:bottom w:val="nil"/>
                    <w:right w:val="nil"/>
                    <w:tl2br w:val="nil"/>
                    <w:tr2bl w:val="nil"/>
                  </w:tcBorders>
                  <w:shd w:val="clear" w:color="auto" w:fill="auto"/>
                  <w:noWrap/>
                  <w:tcMar>
                    <w:left w:w="0" w:type="dxa"/>
                    <w:right w:w="0" w:type="dxa"/>
                  </w:tcMar>
                  <w:vAlign w:val="bottom"/>
                </w:tcPr>
                <w:p w14:paraId="7D94A93C"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45" w:type="dxa"/>
                  <w:tcBorders>
                    <w:top w:val="nil"/>
                    <w:left w:val="nil"/>
                    <w:bottom w:val="nil"/>
                    <w:right w:val="nil"/>
                    <w:tl2br w:val="nil"/>
                    <w:tr2bl w:val="nil"/>
                  </w:tcBorders>
                  <w:shd w:val="clear" w:color="auto" w:fill="auto"/>
                  <w:noWrap/>
                  <w:tcMar>
                    <w:left w:w="0" w:type="dxa"/>
                    <w:right w:w="0" w:type="dxa"/>
                  </w:tcMar>
                  <w:vAlign w:val="bottom"/>
                </w:tcPr>
                <w:p w14:paraId="4B2D54B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298" w:type="dxa"/>
                  <w:tcBorders>
                    <w:top w:val="nil"/>
                    <w:left w:val="nil"/>
                    <w:bottom w:val="nil"/>
                    <w:right w:val="nil"/>
                    <w:tl2br w:val="nil"/>
                    <w:tr2bl w:val="nil"/>
                  </w:tcBorders>
                  <w:shd w:val="clear" w:color="auto" w:fill="auto"/>
                  <w:noWrap/>
                  <w:tcMar>
                    <w:left w:w="0" w:type="dxa"/>
                    <w:right w:w="0" w:type="dxa"/>
                  </w:tcMar>
                  <w:vAlign w:val="bottom"/>
                </w:tcPr>
                <w:p w14:paraId="2516C16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98" w:type="dxa"/>
                  <w:tcBorders>
                    <w:top w:val="nil"/>
                    <w:left w:val="nil"/>
                    <w:bottom w:val="nil"/>
                    <w:right w:val="nil"/>
                    <w:tl2br w:val="nil"/>
                    <w:tr2bl w:val="nil"/>
                  </w:tcBorders>
                  <w:shd w:val="clear" w:color="auto" w:fill="auto"/>
                  <w:noWrap/>
                  <w:tcMar>
                    <w:left w:w="0" w:type="dxa"/>
                    <w:right w:w="0" w:type="dxa"/>
                  </w:tcMar>
                  <w:vAlign w:val="bottom"/>
                </w:tcPr>
                <w:p w14:paraId="750546C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0" w:type="dxa"/>
                    <w:right w:w="0" w:type="dxa"/>
                  </w:tcMar>
                  <w:vAlign w:val="bottom"/>
                </w:tcPr>
                <w:p w14:paraId="667853D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r>
            <w:tr w:rsidR="007F4C68" w:rsidRPr="007F4C68" w14:paraId="438C0415"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40" w:type="dxa"/>
                    <w:right w:w="40" w:type="dxa"/>
                  </w:tcMar>
                  <w:vAlign w:val="bottom"/>
                </w:tcPr>
                <w:p w14:paraId="10CB90C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Cash and cash equivalents</w:t>
                  </w:r>
                </w:p>
              </w:tc>
              <w:tc>
                <w:tcPr>
                  <w:tcW w:w="1597" w:type="dxa"/>
                  <w:tcBorders>
                    <w:top w:val="nil"/>
                    <w:left w:val="nil"/>
                    <w:bottom w:val="nil"/>
                    <w:right w:val="nil"/>
                    <w:tl2br w:val="nil"/>
                    <w:tr2bl w:val="nil"/>
                  </w:tcBorders>
                  <w:shd w:val="clear" w:color="auto" w:fill="auto"/>
                  <w:noWrap/>
                  <w:tcMar>
                    <w:left w:w="40" w:type="dxa"/>
                    <w:right w:w="175" w:type="dxa"/>
                  </w:tcMar>
                  <w:vAlign w:val="bottom"/>
                </w:tcPr>
                <w:p w14:paraId="6C7CBFA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160</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08D0984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nil"/>
                    <w:right w:val="nil"/>
                    <w:tl2br w:val="nil"/>
                    <w:tr2bl w:val="nil"/>
                  </w:tcBorders>
                  <w:shd w:val="clear" w:color="auto" w:fill="auto"/>
                  <w:noWrap/>
                  <w:tcMar>
                    <w:left w:w="40" w:type="dxa"/>
                    <w:right w:w="175" w:type="dxa"/>
                  </w:tcMar>
                  <w:vAlign w:val="bottom"/>
                </w:tcPr>
                <w:p w14:paraId="456F6B8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151</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5E7E1F8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0" w:type="dxa"/>
                    <w:right w:w="175" w:type="dxa"/>
                  </w:tcMar>
                  <w:vAlign w:val="bottom"/>
                </w:tcPr>
                <w:p w14:paraId="278C119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152</w:t>
                  </w:r>
                </w:p>
              </w:tc>
            </w:tr>
            <w:tr w:rsidR="007F4C68" w:rsidRPr="007F4C68" w14:paraId="6BE669EE"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40" w:type="dxa"/>
                    <w:right w:w="40" w:type="dxa"/>
                  </w:tcMar>
                  <w:vAlign w:val="bottom"/>
                </w:tcPr>
                <w:p w14:paraId="6D8569E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Short-term deposits</w:t>
                  </w:r>
                </w:p>
              </w:tc>
              <w:tc>
                <w:tcPr>
                  <w:tcW w:w="1597" w:type="dxa"/>
                  <w:tcBorders>
                    <w:top w:val="nil"/>
                    <w:left w:val="nil"/>
                    <w:bottom w:val="nil"/>
                    <w:right w:val="nil"/>
                    <w:tl2br w:val="nil"/>
                    <w:tr2bl w:val="nil"/>
                  </w:tcBorders>
                  <w:shd w:val="clear" w:color="auto" w:fill="auto"/>
                  <w:noWrap/>
                  <w:tcMar>
                    <w:left w:w="40" w:type="dxa"/>
                    <w:right w:w="175" w:type="dxa"/>
                  </w:tcMar>
                  <w:vAlign w:val="bottom"/>
                </w:tcPr>
                <w:p w14:paraId="323BA4D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352EDC3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nil"/>
                    <w:right w:val="nil"/>
                    <w:tl2br w:val="nil"/>
                    <w:tr2bl w:val="nil"/>
                  </w:tcBorders>
                  <w:shd w:val="clear" w:color="auto" w:fill="auto"/>
                  <w:noWrap/>
                  <w:tcMar>
                    <w:left w:w="40" w:type="dxa"/>
                    <w:right w:w="175" w:type="dxa"/>
                  </w:tcMar>
                  <w:vAlign w:val="bottom"/>
                </w:tcPr>
                <w:p w14:paraId="61C3E2B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32DE003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0" w:type="dxa"/>
                    <w:right w:w="175" w:type="dxa"/>
                  </w:tcMar>
                  <w:vAlign w:val="bottom"/>
                </w:tcPr>
                <w:p w14:paraId="09BB277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r>
            <w:tr w:rsidR="007F4C68" w:rsidRPr="007F4C68" w14:paraId="0C100015" w14:textId="77777777" w:rsidTr="00A65A6F">
              <w:trPr>
                <w:cantSplit/>
                <w:trHeight w:val="300"/>
              </w:trPr>
              <w:tc>
                <w:tcPr>
                  <w:tcW w:w="4684" w:type="dxa"/>
                  <w:tcBorders>
                    <w:top w:val="nil"/>
                    <w:left w:val="nil"/>
                    <w:bottom w:val="nil"/>
                    <w:right w:val="nil"/>
                    <w:tl2br w:val="nil"/>
                    <w:tr2bl w:val="nil"/>
                  </w:tcBorders>
                  <w:shd w:val="clear" w:color="auto" w:fill="auto"/>
                  <w:tcMar>
                    <w:left w:w="40" w:type="dxa"/>
                    <w:right w:w="40" w:type="dxa"/>
                  </w:tcMar>
                  <w:vAlign w:val="bottom"/>
                </w:tcPr>
                <w:p w14:paraId="017ABDE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Financial assets</w:t>
                  </w:r>
                </w:p>
              </w:tc>
              <w:tc>
                <w:tcPr>
                  <w:tcW w:w="1597" w:type="dxa"/>
                  <w:tcBorders>
                    <w:top w:val="nil"/>
                    <w:left w:val="nil"/>
                    <w:bottom w:val="nil"/>
                    <w:right w:val="nil"/>
                    <w:tl2br w:val="nil"/>
                    <w:tr2bl w:val="nil"/>
                  </w:tcBorders>
                  <w:shd w:val="clear" w:color="auto" w:fill="auto"/>
                  <w:noWrap/>
                  <w:tcMar>
                    <w:left w:w="40" w:type="dxa"/>
                    <w:right w:w="175" w:type="dxa"/>
                  </w:tcMar>
                  <w:vAlign w:val="bottom"/>
                </w:tcPr>
                <w:p w14:paraId="5CD43D3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553DD30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nil"/>
                    <w:right w:val="nil"/>
                    <w:tl2br w:val="nil"/>
                    <w:tr2bl w:val="nil"/>
                  </w:tcBorders>
                  <w:shd w:val="clear" w:color="auto" w:fill="auto"/>
                  <w:noWrap/>
                  <w:tcMar>
                    <w:left w:w="40" w:type="dxa"/>
                    <w:right w:w="175" w:type="dxa"/>
                  </w:tcMar>
                  <w:vAlign w:val="bottom"/>
                </w:tcPr>
                <w:p w14:paraId="3FD4B91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34</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5ECE48A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0" w:type="dxa"/>
                    <w:right w:w="175" w:type="dxa"/>
                  </w:tcMar>
                  <w:vAlign w:val="bottom"/>
                </w:tcPr>
                <w:p w14:paraId="2AC6149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14</w:t>
                  </w:r>
                </w:p>
              </w:tc>
            </w:tr>
            <w:tr w:rsidR="007F4C68" w:rsidRPr="007F4C68" w14:paraId="716253A1"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40" w:type="dxa"/>
                    <w:right w:w="40" w:type="dxa"/>
                  </w:tcMar>
                  <w:vAlign w:val="bottom"/>
                </w:tcPr>
                <w:p w14:paraId="5CDFCD57"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Financial derivatives</w:t>
                  </w:r>
                </w:p>
              </w:tc>
              <w:tc>
                <w:tcPr>
                  <w:tcW w:w="1597" w:type="dxa"/>
                  <w:tcBorders>
                    <w:top w:val="nil"/>
                    <w:left w:val="nil"/>
                    <w:bottom w:val="nil"/>
                    <w:right w:val="nil"/>
                    <w:tl2br w:val="nil"/>
                    <w:tr2bl w:val="nil"/>
                  </w:tcBorders>
                  <w:shd w:val="clear" w:color="auto" w:fill="auto"/>
                  <w:noWrap/>
                  <w:tcMar>
                    <w:left w:w="40" w:type="dxa"/>
                    <w:right w:w="175" w:type="dxa"/>
                  </w:tcMar>
                  <w:vAlign w:val="bottom"/>
                </w:tcPr>
                <w:p w14:paraId="10D566C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64</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65D5013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nil"/>
                    <w:right w:val="nil"/>
                    <w:tl2br w:val="nil"/>
                    <w:tr2bl w:val="nil"/>
                  </w:tcBorders>
                  <w:shd w:val="clear" w:color="auto" w:fill="auto"/>
                  <w:noWrap/>
                  <w:tcMar>
                    <w:left w:w="40" w:type="dxa"/>
                    <w:right w:w="175" w:type="dxa"/>
                  </w:tcMar>
                  <w:vAlign w:val="bottom"/>
                </w:tcPr>
                <w:p w14:paraId="379D614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92</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2BAA55C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0" w:type="dxa"/>
                    <w:right w:w="175" w:type="dxa"/>
                  </w:tcMar>
                  <w:vAlign w:val="bottom"/>
                </w:tcPr>
                <w:p w14:paraId="40AABEB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34</w:t>
                  </w:r>
                </w:p>
              </w:tc>
            </w:tr>
            <w:tr w:rsidR="007F4C68" w:rsidRPr="007F4C68" w14:paraId="36CE1542"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40" w:type="dxa"/>
                    <w:right w:w="40" w:type="dxa"/>
                  </w:tcMar>
                  <w:vAlign w:val="bottom"/>
                </w:tcPr>
                <w:p w14:paraId="642F44B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Other receivables</w:t>
                  </w:r>
                </w:p>
              </w:tc>
              <w:tc>
                <w:tcPr>
                  <w:tcW w:w="1597" w:type="dxa"/>
                  <w:tcBorders>
                    <w:top w:val="nil"/>
                    <w:left w:val="nil"/>
                    <w:bottom w:val="nil"/>
                    <w:right w:val="nil"/>
                    <w:tl2br w:val="nil"/>
                    <w:tr2bl w:val="nil"/>
                  </w:tcBorders>
                  <w:shd w:val="clear" w:color="auto" w:fill="auto"/>
                  <w:noWrap/>
                  <w:tcMar>
                    <w:left w:w="40" w:type="dxa"/>
                    <w:right w:w="175" w:type="dxa"/>
                  </w:tcMar>
                  <w:vAlign w:val="bottom"/>
                </w:tcPr>
                <w:p w14:paraId="046B283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141</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1DF2D81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nil"/>
                    <w:right w:val="nil"/>
                    <w:tl2br w:val="nil"/>
                    <w:tr2bl w:val="nil"/>
                  </w:tcBorders>
                  <w:shd w:val="clear" w:color="auto" w:fill="auto"/>
                  <w:noWrap/>
                  <w:tcMar>
                    <w:left w:w="40" w:type="dxa"/>
                    <w:right w:w="175" w:type="dxa"/>
                  </w:tcMar>
                  <w:vAlign w:val="bottom"/>
                </w:tcPr>
                <w:p w14:paraId="0858CBD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113</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5190B6A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0" w:type="dxa"/>
                    <w:right w:w="175" w:type="dxa"/>
                  </w:tcMar>
                  <w:vAlign w:val="bottom"/>
                </w:tcPr>
                <w:p w14:paraId="37BBB2F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113</w:t>
                  </w:r>
                </w:p>
              </w:tc>
            </w:tr>
            <w:tr w:rsidR="007F4C68" w:rsidRPr="007F4C68" w14:paraId="41FC639F"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40" w:type="dxa"/>
                    <w:right w:w="40" w:type="dxa"/>
                  </w:tcMar>
                  <w:vAlign w:val="bottom"/>
                </w:tcPr>
                <w:p w14:paraId="1B12692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Trade receivables</w:t>
                  </w:r>
                </w:p>
              </w:tc>
              <w:tc>
                <w:tcPr>
                  <w:tcW w:w="1597" w:type="dxa"/>
                  <w:tcBorders>
                    <w:top w:val="nil"/>
                    <w:left w:val="nil"/>
                    <w:bottom w:val="nil"/>
                    <w:right w:val="nil"/>
                    <w:tl2br w:val="nil"/>
                    <w:tr2bl w:val="nil"/>
                  </w:tcBorders>
                  <w:shd w:val="clear" w:color="auto" w:fill="auto"/>
                  <w:noWrap/>
                  <w:tcMar>
                    <w:left w:w="40" w:type="dxa"/>
                    <w:right w:w="175" w:type="dxa"/>
                  </w:tcMar>
                  <w:vAlign w:val="bottom"/>
                </w:tcPr>
                <w:p w14:paraId="2C58F7C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23</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6C2560E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nil"/>
                    <w:right w:val="nil"/>
                    <w:tl2br w:val="nil"/>
                    <w:tr2bl w:val="nil"/>
                  </w:tcBorders>
                  <w:shd w:val="clear" w:color="auto" w:fill="auto"/>
                  <w:noWrap/>
                  <w:tcMar>
                    <w:left w:w="40" w:type="dxa"/>
                    <w:right w:w="175" w:type="dxa"/>
                  </w:tcMar>
                  <w:vAlign w:val="bottom"/>
                </w:tcPr>
                <w:p w14:paraId="710299A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30</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0BCDE76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0" w:type="dxa"/>
                    <w:right w:w="175" w:type="dxa"/>
                  </w:tcMar>
                  <w:vAlign w:val="bottom"/>
                </w:tcPr>
                <w:p w14:paraId="7533096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26</w:t>
                  </w:r>
                </w:p>
              </w:tc>
            </w:tr>
            <w:tr w:rsidR="007F4C68" w:rsidRPr="007F4C68" w14:paraId="0A2CB997"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40" w:type="dxa"/>
                    <w:right w:w="40" w:type="dxa"/>
                  </w:tcMar>
                  <w:vAlign w:val="bottom"/>
                </w:tcPr>
                <w:p w14:paraId="0A86B56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Current tax assets</w:t>
                  </w:r>
                </w:p>
              </w:tc>
              <w:tc>
                <w:tcPr>
                  <w:tcW w:w="1597"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CE95CA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4F94234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11AF01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0179F8F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F50648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w:t>
                  </w:r>
                </w:p>
              </w:tc>
            </w:tr>
            <w:tr w:rsidR="007F4C68" w:rsidRPr="007F4C68" w14:paraId="4A8F845F"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0" w:type="dxa"/>
                    <w:right w:w="0" w:type="dxa"/>
                  </w:tcMar>
                  <w:vAlign w:val="bottom"/>
                </w:tcPr>
                <w:p w14:paraId="70D87F5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97"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3C9B04C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396</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22121E3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2C1E872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422</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2A3425E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2D9F125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341</w:t>
                  </w:r>
                </w:p>
              </w:tc>
            </w:tr>
            <w:tr w:rsidR="007F4C68" w:rsidRPr="007F4C68" w14:paraId="78242FCC"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0" w:type="dxa"/>
                    <w:right w:w="0" w:type="dxa"/>
                  </w:tcMar>
                  <w:vAlign w:val="bottom"/>
                </w:tcPr>
                <w:p w14:paraId="7ED6188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9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67737E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56A94CF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7F9D5A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068542A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15BC1B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5DFE4730"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40" w:type="dxa"/>
                    <w:right w:w="40" w:type="dxa"/>
                  </w:tcMar>
                  <w:vAlign w:val="bottom"/>
                </w:tcPr>
                <w:p w14:paraId="1F4A918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Non-current assets</w:t>
                  </w:r>
                </w:p>
              </w:tc>
              <w:tc>
                <w:tcPr>
                  <w:tcW w:w="1597" w:type="dxa"/>
                  <w:tcBorders>
                    <w:top w:val="nil"/>
                    <w:left w:val="nil"/>
                    <w:bottom w:val="nil"/>
                    <w:right w:val="nil"/>
                    <w:tl2br w:val="nil"/>
                    <w:tr2bl w:val="nil"/>
                  </w:tcBorders>
                  <w:shd w:val="clear" w:color="auto" w:fill="auto"/>
                  <w:noWrap/>
                  <w:tcMar>
                    <w:left w:w="0" w:type="dxa"/>
                    <w:right w:w="135" w:type="dxa"/>
                  </w:tcMar>
                  <w:vAlign w:val="bottom"/>
                </w:tcPr>
                <w:p w14:paraId="0ABDE1F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3192156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nil"/>
                    <w:right w:val="nil"/>
                    <w:tl2br w:val="nil"/>
                    <w:tr2bl w:val="nil"/>
                  </w:tcBorders>
                  <w:shd w:val="clear" w:color="auto" w:fill="auto"/>
                  <w:noWrap/>
                  <w:tcMar>
                    <w:left w:w="0" w:type="dxa"/>
                    <w:right w:w="135" w:type="dxa"/>
                  </w:tcMar>
                  <w:vAlign w:val="bottom"/>
                </w:tcPr>
                <w:p w14:paraId="4C4CAA8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3436ABC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0" w:type="dxa"/>
                    <w:right w:w="135" w:type="dxa"/>
                  </w:tcMar>
                  <w:vAlign w:val="bottom"/>
                </w:tcPr>
                <w:p w14:paraId="3069982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6C4D7BDE" w14:textId="77777777" w:rsidTr="00A65A6F">
              <w:trPr>
                <w:cantSplit/>
                <w:trHeight w:val="300"/>
              </w:trPr>
              <w:tc>
                <w:tcPr>
                  <w:tcW w:w="4684" w:type="dxa"/>
                  <w:tcBorders>
                    <w:top w:val="nil"/>
                    <w:left w:val="nil"/>
                    <w:bottom w:val="nil"/>
                    <w:right w:val="nil"/>
                    <w:tl2br w:val="nil"/>
                    <w:tr2bl w:val="nil"/>
                  </w:tcBorders>
                  <w:shd w:val="clear" w:color="auto" w:fill="auto"/>
                  <w:tcMar>
                    <w:left w:w="40" w:type="dxa"/>
                    <w:right w:w="40" w:type="dxa"/>
                  </w:tcMar>
                  <w:vAlign w:val="bottom"/>
                </w:tcPr>
                <w:p w14:paraId="7EFDD96C"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Financial assets</w:t>
                  </w:r>
                </w:p>
              </w:tc>
              <w:tc>
                <w:tcPr>
                  <w:tcW w:w="1597" w:type="dxa"/>
                  <w:tcBorders>
                    <w:top w:val="nil"/>
                    <w:left w:val="nil"/>
                    <w:bottom w:val="nil"/>
                    <w:right w:val="nil"/>
                    <w:tl2br w:val="nil"/>
                    <w:tr2bl w:val="nil"/>
                  </w:tcBorders>
                  <w:shd w:val="clear" w:color="auto" w:fill="auto"/>
                  <w:noWrap/>
                  <w:tcMar>
                    <w:left w:w="40" w:type="dxa"/>
                    <w:right w:w="175" w:type="dxa"/>
                  </w:tcMar>
                  <w:vAlign w:val="bottom"/>
                </w:tcPr>
                <w:p w14:paraId="6B8AEE0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53</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4BDA950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nil"/>
                    <w:right w:val="nil"/>
                    <w:tl2br w:val="nil"/>
                    <w:tr2bl w:val="nil"/>
                  </w:tcBorders>
                  <w:shd w:val="clear" w:color="auto" w:fill="auto"/>
                  <w:noWrap/>
                  <w:tcMar>
                    <w:left w:w="40" w:type="dxa"/>
                    <w:right w:w="175" w:type="dxa"/>
                  </w:tcMar>
                  <w:vAlign w:val="bottom"/>
                </w:tcPr>
                <w:p w14:paraId="1B940B9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35</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198D050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0" w:type="dxa"/>
                    <w:right w:w="175" w:type="dxa"/>
                  </w:tcMar>
                  <w:vAlign w:val="bottom"/>
                </w:tcPr>
                <w:p w14:paraId="5206DCB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48</w:t>
                  </w:r>
                </w:p>
              </w:tc>
            </w:tr>
            <w:tr w:rsidR="007F4C68" w:rsidRPr="007F4C68" w14:paraId="5E5BBE6E"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40" w:type="dxa"/>
                    <w:right w:w="40" w:type="dxa"/>
                  </w:tcMar>
                  <w:vAlign w:val="bottom"/>
                </w:tcPr>
                <w:p w14:paraId="7395E05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Financial derivatives </w:t>
                  </w:r>
                </w:p>
              </w:tc>
              <w:tc>
                <w:tcPr>
                  <w:tcW w:w="1597" w:type="dxa"/>
                  <w:tcBorders>
                    <w:top w:val="nil"/>
                    <w:left w:val="nil"/>
                    <w:bottom w:val="nil"/>
                    <w:right w:val="nil"/>
                    <w:tl2br w:val="nil"/>
                    <w:tr2bl w:val="nil"/>
                  </w:tcBorders>
                  <w:shd w:val="clear" w:color="auto" w:fill="auto"/>
                  <w:noWrap/>
                  <w:tcMar>
                    <w:left w:w="40" w:type="dxa"/>
                    <w:right w:w="175" w:type="dxa"/>
                  </w:tcMar>
                  <w:vAlign w:val="bottom"/>
                </w:tcPr>
                <w:p w14:paraId="57CD659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8</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7DBE496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nil"/>
                    <w:right w:val="nil"/>
                    <w:tl2br w:val="nil"/>
                    <w:tr2bl w:val="nil"/>
                  </w:tcBorders>
                  <w:shd w:val="clear" w:color="auto" w:fill="auto"/>
                  <w:noWrap/>
                  <w:tcMar>
                    <w:left w:w="40" w:type="dxa"/>
                    <w:right w:w="175" w:type="dxa"/>
                  </w:tcMar>
                  <w:vAlign w:val="bottom"/>
                </w:tcPr>
                <w:p w14:paraId="081323E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9</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615517F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0" w:type="dxa"/>
                    <w:right w:w="175" w:type="dxa"/>
                  </w:tcMar>
                  <w:vAlign w:val="bottom"/>
                </w:tcPr>
                <w:p w14:paraId="1885C17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99</w:t>
                  </w:r>
                </w:p>
              </w:tc>
            </w:tr>
            <w:tr w:rsidR="007F4C68" w:rsidRPr="007F4C68" w14:paraId="71E877E6"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40" w:type="dxa"/>
                    <w:right w:w="40" w:type="dxa"/>
                  </w:tcMar>
                  <w:vAlign w:val="bottom"/>
                </w:tcPr>
                <w:p w14:paraId="00A577C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Investment property</w:t>
                  </w:r>
                </w:p>
              </w:tc>
              <w:tc>
                <w:tcPr>
                  <w:tcW w:w="1597" w:type="dxa"/>
                  <w:tcBorders>
                    <w:top w:val="nil"/>
                    <w:left w:val="nil"/>
                    <w:bottom w:val="nil"/>
                    <w:right w:val="nil"/>
                    <w:tl2br w:val="nil"/>
                    <w:tr2bl w:val="nil"/>
                  </w:tcBorders>
                  <w:shd w:val="clear" w:color="auto" w:fill="auto"/>
                  <w:noWrap/>
                  <w:tcMar>
                    <w:left w:w="40" w:type="dxa"/>
                    <w:right w:w="175" w:type="dxa"/>
                  </w:tcMar>
                  <w:vAlign w:val="bottom"/>
                </w:tcPr>
                <w:p w14:paraId="66EFC8E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3,726</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17FB430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nil"/>
                    <w:right w:val="nil"/>
                    <w:tl2br w:val="nil"/>
                    <w:tr2bl w:val="nil"/>
                  </w:tcBorders>
                  <w:shd w:val="clear" w:color="auto" w:fill="auto"/>
                  <w:noWrap/>
                  <w:tcMar>
                    <w:left w:w="40" w:type="dxa"/>
                    <w:right w:w="175" w:type="dxa"/>
                  </w:tcMar>
                  <w:vAlign w:val="bottom"/>
                </w:tcPr>
                <w:p w14:paraId="1D4815B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3,563</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717554E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0" w:type="dxa"/>
                    <w:right w:w="175" w:type="dxa"/>
                  </w:tcMar>
                  <w:vAlign w:val="bottom"/>
                </w:tcPr>
                <w:p w14:paraId="3D47432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3,637</w:t>
                  </w:r>
                </w:p>
              </w:tc>
            </w:tr>
            <w:tr w:rsidR="007F4C68" w:rsidRPr="007F4C68" w14:paraId="065D4F9A"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40" w:type="dxa"/>
                    <w:right w:w="40" w:type="dxa"/>
                  </w:tcMar>
                  <w:vAlign w:val="bottom"/>
                </w:tcPr>
                <w:p w14:paraId="7E4CA3F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Investment property under development</w:t>
                  </w:r>
                </w:p>
              </w:tc>
              <w:tc>
                <w:tcPr>
                  <w:tcW w:w="1597" w:type="dxa"/>
                  <w:tcBorders>
                    <w:top w:val="nil"/>
                    <w:left w:val="nil"/>
                    <w:bottom w:val="nil"/>
                    <w:right w:val="nil"/>
                    <w:tl2br w:val="nil"/>
                    <w:tr2bl w:val="nil"/>
                  </w:tcBorders>
                  <w:shd w:val="clear" w:color="auto" w:fill="auto"/>
                  <w:noWrap/>
                  <w:tcMar>
                    <w:left w:w="40" w:type="dxa"/>
                    <w:right w:w="175" w:type="dxa"/>
                  </w:tcMar>
                  <w:vAlign w:val="bottom"/>
                </w:tcPr>
                <w:p w14:paraId="5D3C47C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1,185</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6C9A648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nil"/>
                    <w:right w:val="nil"/>
                    <w:tl2br w:val="nil"/>
                    <w:tr2bl w:val="nil"/>
                  </w:tcBorders>
                  <w:shd w:val="clear" w:color="auto" w:fill="auto"/>
                  <w:noWrap/>
                  <w:tcMar>
                    <w:left w:w="40" w:type="dxa"/>
                    <w:right w:w="175" w:type="dxa"/>
                  </w:tcMar>
                  <w:vAlign w:val="bottom"/>
                </w:tcPr>
                <w:p w14:paraId="7A10451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1,226</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5D379BD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0" w:type="dxa"/>
                    <w:right w:w="175" w:type="dxa"/>
                  </w:tcMar>
                  <w:vAlign w:val="bottom"/>
                </w:tcPr>
                <w:p w14:paraId="39622CC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1,117</w:t>
                  </w:r>
                </w:p>
              </w:tc>
            </w:tr>
            <w:tr w:rsidR="007F4C68" w:rsidRPr="007F4C68" w14:paraId="4C472955"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40" w:type="dxa"/>
                    <w:right w:w="40" w:type="dxa"/>
                  </w:tcMar>
                  <w:vAlign w:val="bottom"/>
                </w:tcPr>
                <w:p w14:paraId="44C370F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Other investments, loans and receivables</w:t>
                  </w:r>
                </w:p>
              </w:tc>
              <w:tc>
                <w:tcPr>
                  <w:tcW w:w="1597" w:type="dxa"/>
                  <w:tcBorders>
                    <w:top w:val="nil"/>
                    <w:left w:val="nil"/>
                    <w:bottom w:val="nil"/>
                    <w:right w:val="nil"/>
                    <w:tl2br w:val="nil"/>
                    <w:tr2bl w:val="nil"/>
                  </w:tcBorders>
                  <w:shd w:val="clear" w:color="auto" w:fill="auto"/>
                  <w:noWrap/>
                  <w:tcMar>
                    <w:left w:w="40" w:type="dxa"/>
                    <w:right w:w="175" w:type="dxa"/>
                  </w:tcMar>
                  <w:vAlign w:val="bottom"/>
                </w:tcPr>
                <w:p w14:paraId="18D2233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23</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509D497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nil"/>
                    <w:right w:val="nil"/>
                    <w:tl2br w:val="nil"/>
                    <w:tr2bl w:val="nil"/>
                  </w:tcBorders>
                  <w:shd w:val="clear" w:color="auto" w:fill="auto"/>
                  <w:noWrap/>
                  <w:tcMar>
                    <w:left w:w="40" w:type="dxa"/>
                    <w:right w:w="175" w:type="dxa"/>
                  </w:tcMar>
                  <w:vAlign w:val="bottom"/>
                </w:tcPr>
                <w:p w14:paraId="3D17862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21</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4A82B46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0" w:type="dxa"/>
                    <w:right w:w="175" w:type="dxa"/>
                  </w:tcMar>
                  <w:vAlign w:val="bottom"/>
                </w:tcPr>
                <w:p w14:paraId="134EACC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24</w:t>
                  </w:r>
                </w:p>
              </w:tc>
            </w:tr>
            <w:tr w:rsidR="007F4C68" w:rsidRPr="007F4C68" w14:paraId="4523C4F7"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40" w:type="dxa"/>
                    <w:right w:w="40" w:type="dxa"/>
                  </w:tcMar>
                  <w:vAlign w:val="bottom"/>
                </w:tcPr>
                <w:p w14:paraId="61096FF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Loans to subsidiaries</w:t>
                  </w:r>
                </w:p>
              </w:tc>
              <w:tc>
                <w:tcPr>
                  <w:tcW w:w="1597" w:type="dxa"/>
                  <w:tcBorders>
                    <w:top w:val="nil"/>
                    <w:left w:val="nil"/>
                    <w:bottom w:val="nil"/>
                    <w:right w:val="nil"/>
                    <w:tl2br w:val="nil"/>
                    <w:tr2bl w:val="nil"/>
                  </w:tcBorders>
                  <w:shd w:val="clear" w:color="auto" w:fill="auto"/>
                  <w:noWrap/>
                  <w:tcMar>
                    <w:left w:w="40" w:type="dxa"/>
                    <w:right w:w="175" w:type="dxa"/>
                  </w:tcMar>
                  <w:vAlign w:val="bottom"/>
                </w:tcPr>
                <w:p w14:paraId="4218C7D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2,425</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4BB6978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nil"/>
                    <w:right w:val="nil"/>
                    <w:tl2br w:val="nil"/>
                    <w:tr2bl w:val="nil"/>
                  </w:tcBorders>
                  <w:shd w:val="clear" w:color="auto" w:fill="auto"/>
                  <w:noWrap/>
                  <w:tcMar>
                    <w:left w:w="40" w:type="dxa"/>
                    <w:right w:w="175" w:type="dxa"/>
                  </w:tcMar>
                  <w:vAlign w:val="bottom"/>
                </w:tcPr>
                <w:p w14:paraId="36DF365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2,359</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2C3542F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0" w:type="dxa"/>
                    <w:right w:w="175" w:type="dxa"/>
                  </w:tcMar>
                  <w:vAlign w:val="bottom"/>
                </w:tcPr>
                <w:p w14:paraId="1257960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2,411</w:t>
                  </w:r>
                </w:p>
              </w:tc>
            </w:tr>
            <w:tr w:rsidR="007F4C68" w:rsidRPr="007F4C68" w14:paraId="46BF5953"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40" w:type="dxa"/>
                    <w:right w:w="40" w:type="dxa"/>
                  </w:tcMar>
                  <w:vAlign w:val="bottom"/>
                </w:tcPr>
                <w:p w14:paraId="08480E9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Investments in subsidiaries</w:t>
                  </w:r>
                </w:p>
              </w:tc>
              <w:tc>
                <w:tcPr>
                  <w:tcW w:w="1597" w:type="dxa"/>
                  <w:tcBorders>
                    <w:top w:val="nil"/>
                    <w:left w:val="nil"/>
                    <w:bottom w:val="nil"/>
                    <w:right w:val="nil"/>
                    <w:tl2br w:val="nil"/>
                    <w:tr2bl w:val="nil"/>
                  </w:tcBorders>
                  <w:shd w:val="clear" w:color="auto" w:fill="auto"/>
                  <w:noWrap/>
                  <w:tcMar>
                    <w:left w:w="40" w:type="dxa"/>
                    <w:right w:w="175" w:type="dxa"/>
                  </w:tcMar>
                  <w:vAlign w:val="bottom"/>
                </w:tcPr>
                <w:p w14:paraId="4F63E4E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8,945</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465096E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nil"/>
                    <w:right w:val="nil"/>
                    <w:tl2br w:val="nil"/>
                    <w:tr2bl w:val="nil"/>
                  </w:tcBorders>
                  <w:shd w:val="clear" w:color="auto" w:fill="auto"/>
                  <w:noWrap/>
                  <w:tcMar>
                    <w:left w:w="40" w:type="dxa"/>
                    <w:right w:w="175" w:type="dxa"/>
                  </w:tcMar>
                  <w:vAlign w:val="bottom"/>
                </w:tcPr>
                <w:p w14:paraId="1CB91B5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11,063</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045ABE2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0" w:type="dxa"/>
                    <w:right w:w="175" w:type="dxa"/>
                  </w:tcMar>
                  <w:vAlign w:val="bottom"/>
                </w:tcPr>
                <w:p w14:paraId="283CFCE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9,169</w:t>
                  </w:r>
                </w:p>
              </w:tc>
            </w:tr>
            <w:tr w:rsidR="007F4C68" w:rsidRPr="007F4C68" w14:paraId="6B4A60FB"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40" w:type="dxa"/>
                    <w:right w:w="40" w:type="dxa"/>
                  </w:tcMar>
                  <w:vAlign w:val="bottom"/>
                </w:tcPr>
                <w:p w14:paraId="35D2A77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Fixed and other assets, net </w:t>
                  </w:r>
                </w:p>
              </w:tc>
              <w:tc>
                <w:tcPr>
                  <w:tcW w:w="1597" w:type="dxa"/>
                  <w:tcBorders>
                    <w:top w:val="nil"/>
                    <w:left w:val="nil"/>
                    <w:bottom w:val="nil"/>
                    <w:right w:val="nil"/>
                    <w:tl2br w:val="nil"/>
                    <w:tr2bl w:val="nil"/>
                  </w:tcBorders>
                  <w:shd w:val="clear" w:color="auto" w:fill="auto"/>
                  <w:noWrap/>
                  <w:tcMar>
                    <w:left w:w="40" w:type="dxa"/>
                    <w:right w:w="175" w:type="dxa"/>
                  </w:tcMar>
                  <w:vAlign w:val="bottom"/>
                </w:tcPr>
                <w:p w14:paraId="6D6F195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35</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5A2BA5F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nil"/>
                    <w:right w:val="nil"/>
                    <w:tl2br w:val="nil"/>
                    <w:tr2bl w:val="nil"/>
                  </w:tcBorders>
                  <w:shd w:val="clear" w:color="auto" w:fill="auto"/>
                  <w:noWrap/>
                  <w:tcMar>
                    <w:left w:w="40" w:type="dxa"/>
                    <w:right w:w="175" w:type="dxa"/>
                  </w:tcMar>
                  <w:vAlign w:val="bottom"/>
                </w:tcPr>
                <w:p w14:paraId="578A2D9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38</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6B051E8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0" w:type="dxa"/>
                    <w:right w:w="175" w:type="dxa"/>
                  </w:tcMar>
                  <w:vAlign w:val="bottom"/>
                </w:tcPr>
                <w:p w14:paraId="3E700A5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37</w:t>
                  </w:r>
                </w:p>
              </w:tc>
            </w:tr>
            <w:tr w:rsidR="007F4C68" w:rsidRPr="007F4C68" w14:paraId="59D5E057"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0" w:type="dxa"/>
                    <w:right w:w="0" w:type="dxa"/>
                  </w:tcMar>
                  <w:vAlign w:val="bottom"/>
                </w:tcPr>
                <w:p w14:paraId="1F777D2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97"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609710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16,400</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7341D8E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02C15E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18,314</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7651FB7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single" w:sz="4" w:space="0" w:color="000000"/>
                    <w:left w:val="nil"/>
                    <w:bottom w:val="single" w:sz="4" w:space="0" w:color="000000"/>
                    <w:right w:val="nil"/>
                    <w:tl2br w:val="nil"/>
                    <w:tr2bl w:val="nil"/>
                  </w:tcBorders>
                  <w:shd w:val="clear" w:color="auto" w:fill="auto"/>
                  <w:noWrap/>
                  <w:tcMar>
                    <w:left w:w="40" w:type="dxa"/>
                    <w:right w:w="175" w:type="dxa"/>
                  </w:tcMar>
                  <w:vAlign w:val="bottom"/>
                </w:tcPr>
                <w:p w14:paraId="4229D4C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16,542</w:t>
                  </w:r>
                </w:p>
              </w:tc>
            </w:tr>
            <w:tr w:rsidR="007F4C68" w:rsidRPr="007F4C68" w14:paraId="50FB493C"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0" w:type="dxa"/>
                    <w:right w:w="0" w:type="dxa"/>
                  </w:tcMar>
                  <w:vAlign w:val="bottom"/>
                </w:tcPr>
                <w:p w14:paraId="7D0C4CF5"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159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BF14DA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533D339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DF0467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35CB7E8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AC19EF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4374D213"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0" w:type="dxa"/>
                    <w:right w:w="0" w:type="dxa"/>
                  </w:tcMar>
                  <w:vAlign w:val="bottom"/>
                </w:tcPr>
                <w:p w14:paraId="533559C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97"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40C26FC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16,796</w:t>
                  </w:r>
                </w:p>
              </w:tc>
              <w:tc>
                <w:tcPr>
                  <w:tcW w:w="345" w:type="dxa"/>
                  <w:tcBorders>
                    <w:top w:val="nil"/>
                    <w:left w:val="nil"/>
                    <w:bottom w:val="nil"/>
                    <w:right w:val="nil"/>
                    <w:tl2br w:val="nil"/>
                    <w:tr2bl w:val="nil"/>
                  </w:tcBorders>
                  <w:shd w:val="clear" w:color="auto" w:fill="auto"/>
                  <w:noWrap/>
                  <w:tcMar>
                    <w:left w:w="0" w:type="dxa"/>
                    <w:right w:w="135" w:type="dxa"/>
                  </w:tcMar>
                  <w:vAlign w:val="bottom"/>
                </w:tcPr>
                <w:p w14:paraId="7E47E80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98"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79C7B1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18,736</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392A8CE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306C3D3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16,883</w:t>
                  </w:r>
                </w:p>
              </w:tc>
            </w:tr>
            <w:tr w:rsidR="007F4C68" w:rsidRPr="007F4C68" w14:paraId="233C9B70" w14:textId="77777777" w:rsidTr="00A65A6F">
              <w:trPr>
                <w:cantSplit/>
                <w:trHeight w:hRule="exact" w:val="300"/>
              </w:trPr>
              <w:tc>
                <w:tcPr>
                  <w:tcW w:w="4684" w:type="dxa"/>
                  <w:tcBorders>
                    <w:top w:val="nil"/>
                    <w:left w:val="nil"/>
                    <w:bottom w:val="nil"/>
                    <w:right w:val="nil"/>
                    <w:tl2br w:val="nil"/>
                    <w:tr2bl w:val="nil"/>
                  </w:tcBorders>
                  <w:shd w:val="clear" w:color="auto" w:fill="auto"/>
                  <w:noWrap/>
                  <w:tcMar>
                    <w:left w:w="0" w:type="dxa"/>
                    <w:right w:w="0" w:type="dxa"/>
                  </w:tcMar>
                  <w:vAlign w:val="bottom"/>
                </w:tcPr>
                <w:p w14:paraId="73AC091A"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1597"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9E6215C"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45" w:type="dxa"/>
                  <w:tcBorders>
                    <w:top w:val="nil"/>
                    <w:left w:val="nil"/>
                    <w:bottom w:val="nil"/>
                    <w:right w:val="nil"/>
                    <w:tl2br w:val="nil"/>
                    <w:tr2bl w:val="nil"/>
                  </w:tcBorders>
                  <w:shd w:val="clear" w:color="auto" w:fill="auto"/>
                  <w:noWrap/>
                  <w:tcMar>
                    <w:left w:w="0" w:type="dxa"/>
                    <w:right w:w="0" w:type="dxa"/>
                  </w:tcMar>
                  <w:vAlign w:val="bottom"/>
                </w:tcPr>
                <w:p w14:paraId="7C9A841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298"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ECA2CA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98" w:type="dxa"/>
                  <w:tcBorders>
                    <w:top w:val="nil"/>
                    <w:left w:val="nil"/>
                    <w:bottom w:val="nil"/>
                    <w:right w:val="nil"/>
                    <w:tl2br w:val="nil"/>
                    <w:tr2bl w:val="nil"/>
                  </w:tcBorders>
                  <w:shd w:val="clear" w:color="auto" w:fill="auto"/>
                  <w:noWrap/>
                  <w:tcMar>
                    <w:left w:w="0" w:type="dxa"/>
                    <w:right w:w="0" w:type="dxa"/>
                  </w:tcMar>
                  <w:vAlign w:val="bottom"/>
                </w:tcPr>
                <w:p w14:paraId="3D1F51B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58FA86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r>
            <w:tr w:rsidR="007F4C68" w:rsidRPr="007F4C68" w14:paraId="66BC7352" w14:textId="77777777" w:rsidTr="00A65A6F">
              <w:trPr>
                <w:cantSplit/>
                <w:trHeight w:hRule="exact" w:val="539"/>
              </w:trPr>
              <w:tc>
                <w:tcPr>
                  <w:tcW w:w="9922" w:type="dxa"/>
                  <w:gridSpan w:val="6"/>
                  <w:tcBorders>
                    <w:top w:val="nil"/>
                    <w:left w:val="nil"/>
                    <w:bottom w:val="nil"/>
                    <w:right w:val="nil"/>
                    <w:tl2br w:val="nil"/>
                    <w:tr2bl w:val="nil"/>
                  </w:tcBorders>
                  <w:shd w:val="clear" w:color="auto" w:fill="auto"/>
                  <w:noWrap/>
                  <w:tcMar>
                    <w:left w:w="40" w:type="dxa"/>
                    <w:right w:w="40" w:type="dxa"/>
                  </w:tcMar>
                  <w:vAlign w:val="bottom"/>
                </w:tcPr>
                <w:p w14:paraId="6723E2B0"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r w:rsidRPr="007F4C68">
                    <w:rPr>
                      <w:rFonts w:asciiTheme="majorBidi" w:hAnsiTheme="majorBidi" w:cstheme="majorBidi"/>
                      <w:color w:val="000000"/>
                    </w:rPr>
                    <w:t>The accompanying additional information is an integral part of the financial information and of the separate financial information.</w:t>
                  </w:r>
                </w:p>
              </w:tc>
            </w:tr>
          </w:tbl>
          <w:p w14:paraId="66A0F484" w14:textId="77777777" w:rsidR="007F4C68" w:rsidRPr="007F4C68" w:rsidRDefault="007F4C68" w:rsidP="00A65A6F">
            <w:pPr>
              <w:rPr>
                <w:rFonts w:asciiTheme="majorBidi" w:hAnsiTheme="majorBidi" w:cstheme="majorBidi"/>
              </w:rPr>
            </w:pPr>
          </w:p>
        </w:tc>
      </w:tr>
    </w:tbl>
    <w:p w14:paraId="46D33BDA" w14:textId="77777777" w:rsidR="007F4C68" w:rsidRPr="007F4C68" w:rsidRDefault="007F4C68" w:rsidP="007F4C68">
      <w:pPr>
        <w:rPr>
          <w:rFonts w:asciiTheme="majorBidi" w:hAnsiTheme="majorBidi" w:cstheme="majorBidi"/>
          <w:sz w:val="21"/>
          <w:szCs w:val="21"/>
          <w:rt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7F4C68" w:rsidRPr="007F4C68" w14:paraId="0B991BA9" w14:textId="77777777" w:rsidTr="00A65A6F">
        <w:trPr>
          <w:cantSplit/>
        </w:trPr>
        <w:tc>
          <w:tcPr>
            <w:tcW w:w="5000" w:type="pct"/>
          </w:tcPr>
          <w:tbl>
            <w:tblPr>
              <w:tblStyle w:val="CDMRange2"/>
              <w:tblW w:w="9922" w:type="dxa"/>
              <w:tblLook w:val="0600" w:firstRow="0" w:lastRow="0" w:firstColumn="0" w:lastColumn="0" w:noHBand="1" w:noVBand="1"/>
              <w:tblCaption w:val="Print_Area"/>
            </w:tblPr>
            <w:tblGrid>
              <w:gridCol w:w="5016"/>
              <w:gridCol w:w="1335"/>
              <w:gridCol w:w="294"/>
              <w:gridCol w:w="1265"/>
              <w:gridCol w:w="312"/>
              <w:gridCol w:w="1700"/>
            </w:tblGrid>
            <w:tr w:rsidR="007F4C68" w:rsidRPr="007F4C68" w14:paraId="3A00EC0B" w14:textId="77777777" w:rsidTr="00A65A6F">
              <w:trPr>
                <w:cantSplit/>
                <w:trHeight w:hRule="exact" w:val="300"/>
              </w:trPr>
              <w:tc>
                <w:tcPr>
                  <w:tcW w:w="5053" w:type="dxa"/>
                  <w:tcBorders>
                    <w:top w:val="nil"/>
                    <w:left w:val="nil"/>
                    <w:bottom w:val="nil"/>
                    <w:right w:val="nil"/>
                    <w:tl2br w:val="nil"/>
                    <w:tr2bl w:val="nil"/>
                  </w:tcBorders>
                  <w:shd w:val="clear" w:color="auto" w:fill="auto"/>
                  <w:noWrap/>
                  <w:tcMar>
                    <w:left w:w="0" w:type="dxa"/>
                    <w:right w:w="0" w:type="dxa"/>
                  </w:tcMar>
                  <w:vAlign w:val="bottom"/>
                </w:tcPr>
                <w:p w14:paraId="30ABF383"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1331" w:type="dxa"/>
                  <w:tcBorders>
                    <w:top w:val="nil"/>
                    <w:left w:val="nil"/>
                    <w:bottom w:val="nil"/>
                    <w:right w:val="nil"/>
                    <w:tl2br w:val="nil"/>
                    <w:tr2bl w:val="nil"/>
                  </w:tcBorders>
                  <w:shd w:val="clear" w:color="auto" w:fill="auto"/>
                  <w:noWrap/>
                  <w:tcMar>
                    <w:left w:w="0" w:type="dxa"/>
                    <w:right w:w="0" w:type="dxa"/>
                  </w:tcMar>
                  <w:vAlign w:val="bottom"/>
                </w:tcPr>
                <w:p w14:paraId="4FA9AFD9" w14:textId="77777777" w:rsidR="007F4C68" w:rsidRPr="007F4C68" w:rsidRDefault="007F4C68" w:rsidP="00A65A6F">
                  <w:pPr>
                    <w:keepNext/>
                    <w:spacing w:before="0" w:after="0"/>
                    <w:jc w:val="center"/>
                    <w:rPr>
                      <w:rFonts w:asciiTheme="majorBidi" w:eastAsia="Ploni ML Medium AAA Medium" w:hAnsiTheme="majorBidi" w:cstheme="majorBidi"/>
                      <w:b/>
                      <w:color w:val="000000"/>
                      <w:sz w:val="21"/>
                    </w:rPr>
                  </w:pPr>
                </w:p>
              </w:tc>
              <w:tc>
                <w:tcPr>
                  <w:tcW w:w="280" w:type="dxa"/>
                  <w:tcBorders>
                    <w:top w:val="nil"/>
                    <w:left w:val="nil"/>
                    <w:bottom w:val="nil"/>
                    <w:right w:val="nil"/>
                    <w:tl2br w:val="nil"/>
                    <w:tr2bl w:val="nil"/>
                  </w:tcBorders>
                  <w:shd w:val="clear" w:color="auto" w:fill="auto"/>
                  <w:noWrap/>
                  <w:tcMar>
                    <w:left w:w="0" w:type="dxa"/>
                    <w:right w:w="0" w:type="dxa"/>
                  </w:tcMar>
                  <w:vAlign w:val="bottom"/>
                </w:tcPr>
                <w:p w14:paraId="3BCBE7B5" w14:textId="77777777" w:rsidR="007F4C68" w:rsidRPr="007F4C68" w:rsidRDefault="007F4C68" w:rsidP="00A65A6F">
                  <w:pPr>
                    <w:keepNext/>
                    <w:spacing w:before="0" w:after="0"/>
                    <w:jc w:val="center"/>
                    <w:rPr>
                      <w:rFonts w:asciiTheme="majorBidi" w:eastAsia="Ploni ML Medium AAA Medium" w:hAnsiTheme="majorBidi" w:cstheme="majorBidi"/>
                      <w:b/>
                      <w:color w:val="000000"/>
                      <w:sz w:val="21"/>
                    </w:rPr>
                  </w:pPr>
                </w:p>
              </w:tc>
              <w:tc>
                <w:tcPr>
                  <w:tcW w:w="1260" w:type="dxa"/>
                  <w:tcBorders>
                    <w:top w:val="nil"/>
                    <w:left w:val="nil"/>
                    <w:bottom w:val="nil"/>
                    <w:right w:val="nil"/>
                    <w:tl2br w:val="nil"/>
                    <w:tr2bl w:val="nil"/>
                  </w:tcBorders>
                  <w:shd w:val="clear" w:color="auto" w:fill="auto"/>
                  <w:noWrap/>
                  <w:tcMar>
                    <w:left w:w="0" w:type="dxa"/>
                    <w:right w:w="0" w:type="dxa"/>
                  </w:tcMar>
                  <w:vAlign w:val="bottom"/>
                </w:tcPr>
                <w:p w14:paraId="1884D65C" w14:textId="77777777" w:rsidR="007F4C68" w:rsidRPr="007F4C68" w:rsidRDefault="007F4C68" w:rsidP="00A65A6F">
                  <w:pPr>
                    <w:keepNext/>
                    <w:spacing w:before="0" w:after="0"/>
                    <w:jc w:val="center"/>
                    <w:rPr>
                      <w:rFonts w:asciiTheme="majorBidi" w:eastAsia="Ploni ML Medium AAA Medium" w:hAnsiTheme="majorBidi" w:cstheme="majorBidi"/>
                      <w:b/>
                      <w:color w:val="000000"/>
                      <w:sz w:val="21"/>
                    </w:rPr>
                  </w:pPr>
                </w:p>
              </w:tc>
              <w:tc>
                <w:tcPr>
                  <w:tcW w:w="298" w:type="dxa"/>
                  <w:tcBorders>
                    <w:top w:val="nil"/>
                    <w:left w:val="nil"/>
                    <w:bottom w:val="nil"/>
                    <w:right w:val="nil"/>
                    <w:tl2br w:val="nil"/>
                    <w:tr2bl w:val="nil"/>
                  </w:tcBorders>
                  <w:shd w:val="clear" w:color="auto" w:fill="auto"/>
                  <w:noWrap/>
                  <w:tcMar>
                    <w:left w:w="0" w:type="dxa"/>
                    <w:right w:w="0" w:type="dxa"/>
                  </w:tcMar>
                  <w:vAlign w:val="bottom"/>
                </w:tcPr>
                <w:p w14:paraId="3B204577" w14:textId="77777777" w:rsidR="007F4C68" w:rsidRPr="007F4C68" w:rsidRDefault="007F4C68" w:rsidP="00A65A6F">
                  <w:pPr>
                    <w:keepNext/>
                    <w:spacing w:before="0" w:after="0"/>
                    <w:jc w:val="center"/>
                    <w:rPr>
                      <w:rFonts w:asciiTheme="majorBidi" w:eastAsia="Ploni ML Medium AAA Medium" w:hAnsiTheme="majorBidi" w:cstheme="majorBidi"/>
                      <w:b/>
                      <w:color w:val="000000"/>
                      <w:sz w:val="21"/>
                    </w:rPr>
                  </w:pPr>
                </w:p>
              </w:tc>
              <w:tc>
                <w:tcPr>
                  <w:tcW w:w="1700" w:type="dxa"/>
                  <w:tcBorders>
                    <w:top w:val="nil"/>
                    <w:left w:val="nil"/>
                    <w:bottom w:val="nil"/>
                    <w:right w:val="nil"/>
                    <w:tl2br w:val="nil"/>
                    <w:tr2bl w:val="nil"/>
                  </w:tcBorders>
                  <w:shd w:val="clear" w:color="auto" w:fill="auto"/>
                  <w:noWrap/>
                  <w:tcMar>
                    <w:left w:w="43" w:type="dxa"/>
                    <w:right w:w="43" w:type="dxa"/>
                  </w:tcMar>
                  <w:vAlign w:val="bottom"/>
                </w:tcPr>
                <w:p w14:paraId="6015A8FD" w14:textId="77777777" w:rsidR="007F4C68" w:rsidRPr="007F4C68" w:rsidRDefault="007F4C68" w:rsidP="00A65A6F">
                  <w:pPr>
                    <w:keepNext/>
                    <w:spacing w:before="0" w:after="0"/>
                    <w:jc w:val="center"/>
                    <w:rPr>
                      <w:rFonts w:asciiTheme="majorBidi" w:eastAsia="Ploni ML Medium AAA Medium" w:hAnsiTheme="majorBidi" w:cstheme="majorBidi"/>
                      <w:b/>
                      <w:color w:val="000000"/>
                      <w:sz w:val="21"/>
                    </w:rPr>
                  </w:pPr>
                </w:p>
              </w:tc>
            </w:tr>
            <w:tr w:rsidR="007F4C68" w:rsidRPr="007F4C68" w14:paraId="46643A6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053" w:type="dxa"/>
                  <w:tcBorders>
                    <w:top w:val="nil"/>
                    <w:left w:val="nil"/>
                    <w:bottom w:val="nil"/>
                    <w:right w:val="nil"/>
                    <w:tl2br w:val="nil"/>
                    <w:tr2bl w:val="nil"/>
                  </w:tcBorders>
                  <w:shd w:val="clear" w:color="auto" w:fill="auto"/>
                  <w:noWrap/>
                  <w:tcMar>
                    <w:left w:w="0" w:type="dxa"/>
                    <w:right w:w="0" w:type="dxa"/>
                  </w:tcMar>
                  <w:vAlign w:val="bottom"/>
                </w:tcPr>
                <w:p w14:paraId="506C3EAF"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2871"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63AD8D7F"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June 30</w:t>
                  </w:r>
                </w:p>
              </w:tc>
              <w:tc>
                <w:tcPr>
                  <w:tcW w:w="298" w:type="dxa"/>
                  <w:tcBorders>
                    <w:top w:val="nil"/>
                    <w:left w:val="nil"/>
                    <w:bottom w:val="nil"/>
                    <w:right w:val="nil"/>
                    <w:tl2br w:val="nil"/>
                    <w:tr2bl w:val="nil"/>
                  </w:tcBorders>
                  <w:shd w:val="clear" w:color="auto" w:fill="auto"/>
                  <w:tcMar>
                    <w:left w:w="0" w:type="dxa"/>
                    <w:right w:w="0" w:type="dxa"/>
                  </w:tcMar>
                  <w:vAlign w:val="bottom"/>
                </w:tcPr>
                <w:p w14:paraId="141A3DBF" w14:textId="77777777" w:rsidR="007F4C68" w:rsidRPr="007F4C68" w:rsidRDefault="007F4C68" w:rsidP="00A65A6F">
                  <w:pPr>
                    <w:keepNext/>
                    <w:spacing w:before="0" w:after="0"/>
                    <w:jc w:val="left"/>
                    <w:rPr>
                      <w:rFonts w:asciiTheme="majorBidi" w:eastAsia="Ploni ML Medium AAA Medium" w:hAnsiTheme="majorBidi" w:cstheme="majorBidi"/>
                      <w:b/>
                      <w:color w:val="000000"/>
                    </w:rPr>
                  </w:pPr>
                </w:p>
              </w:tc>
              <w:tc>
                <w:tcPr>
                  <w:tcW w:w="1700" w:type="dxa"/>
                  <w:tcBorders>
                    <w:top w:val="nil"/>
                    <w:left w:val="nil"/>
                    <w:bottom w:val="nil"/>
                    <w:right w:val="nil"/>
                    <w:tl2br w:val="nil"/>
                    <w:tr2bl w:val="nil"/>
                  </w:tcBorders>
                  <w:shd w:val="clear" w:color="auto" w:fill="auto"/>
                  <w:tcMar>
                    <w:left w:w="43" w:type="dxa"/>
                    <w:right w:w="43" w:type="dxa"/>
                  </w:tcMar>
                  <w:vAlign w:val="bottom"/>
                </w:tcPr>
                <w:p w14:paraId="4DBF7E7C"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December 31</w:t>
                  </w:r>
                </w:p>
              </w:tc>
            </w:tr>
            <w:tr w:rsidR="007F4C68" w:rsidRPr="007F4C68" w14:paraId="0B828D5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0" w:type="dxa"/>
                    <w:right w:w="0" w:type="dxa"/>
                  </w:tcMar>
                  <w:vAlign w:val="bottom"/>
                </w:tcPr>
                <w:p w14:paraId="0E227092"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1331"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5A454603"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2024</w:t>
                  </w:r>
                </w:p>
              </w:tc>
              <w:tc>
                <w:tcPr>
                  <w:tcW w:w="2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9BCB0A"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260"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29C91254"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c>
                <w:tcPr>
                  <w:tcW w:w="298" w:type="dxa"/>
                  <w:tcBorders>
                    <w:top w:val="nil"/>
                    <w:left w:val="nil"/>
                    <w:bottom w:val="nil"/>
                    <w:right w:val="nil"/>
                    <w:tl2br w:val="nil"/>
                    <w:tr2bl w:val="nil"/>
                  </w:tcBorders>
                  <w:shd w:val="clear" w:color="auto" w:fill="auto"/>
                  <w:noWrap/>
                  <w:tcMar>
                    <w:left w:w="0" w:type="dxa"/>
                    <w:right w:w="0" w:type="dxa"/>
                  </w:tcMar>
                  <w:vAlign w:val="bottom"/>
                </w:tcPr>
                <w:p w14:paraId="21D0F63C"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700" w:type="dxa"/>
                  <w:tcBorders>
                    <w:top w:val="nil"/>
                    <w:left w:val="nil"/>
                    <w:bottom w:val="single" w:sz="4" w:space="0" w:color="000000"/>
                    <w:right w:val="nil"/>
                    <w:tl2br w:val="nil"/>
                    <w:tr2bl w:val="nil"/>
                  </w:tcBorders>
                  <w:shd w:val="clear" w:color="auto" w:fill="auto"/>
                  <w:noWrap/>
                  <w:tcMar>
                    <w:left w:w="43" w:type="dxa"/>
                    <w:right w:w="43" w:type="dxa"/>
                  </w:tcMar>
                  <w:vAlign w:val="bottom"/>
                </w:tcPr>
                <w:p w14:paraId="68832DD7"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r>
            <w:tr w:rsidR="007F4C68" w:rsidRPr="007F4C68" w14:paraId="3D78A51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0" w:type="dxa"/>
                    <w:right w:w="0" w:type="dxa"/>
                  </w:tcMar>
                  <w:vAlign w:val="bottom"/>
                </w:tcPr>
                <w:p w14:paraId="2A74FC3A"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2871" w:type="dxa"/>
                  <w:gridSpan w:val="3"/>
                  <w:tcBorders>
                    <w:top w:val="nil"/>
                    <w:left w:val="nil"/>
                    <w:bottom w:val="single" w:sz="4" w:space="0" w:color="000000"/>
                    <w:right w:val="nil"/>
                    <w:tl2br w:val="nil"/>
                    <w:tr2bl w:val="nil"/>
                  </w:tcBorders>
                  <w:shd w:val="clear" w:color="auto" w:fill="auto"/>
                  <w:noWrap/>
                  <w:tcMar>
                    <w:left w:w="43" w:type="dxa"/>
                    <w:right w:w="43" w:type="dxa"/>
                  </w:tcMar>
                  <w:vAlign w:val="bottom"/>
                </w:tcPr>
                <w:p w14:paraId="64FD0AB2"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Unaudited</w:t>
                  </w:r>
                </w:p>
              </w:tc>
              <w:tc>
                <w:tcPr>
                  <w:tcW w:w="298" w:type="dxa"/>
                  <w:tcBorders>
                    <w:top w:val="nil"/>
                    <w:left w:val="nil"/>
                    <w:bottom w:val="nil"/>
                    <w:right w:val="nil"/>
                    <w:tl2br w:val="nil"/>
                    <w:tr2bl w:val="nil"/>
                  </w:tcBorders>
                  <w:shd w:val="clear" w:color="auto" w:fill="auto"/>
                  <w:noWrap/>
                  <w:tcMar>
                    <w:left w:w="0" w:type="dxa"/>
                    <w:right w:w="0" w:type="dxa"/>
                  </w:tcMar>
                  <w:vAlign w:val="bottom"/>
                </w:tcPr>
                <w:p w14:paraId="5A902F65"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700"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687722A3"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Audited</w:t>
                  </w:r>
                </w:p>
              </w:tc>
            </w:tr>
            <w:tr w:rsidR="007F4C68" w:rsidRPr="007F4C68" w14:paraId="5FFE3BD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0" w:type="dxa"/>
                    <w:right w:w="0" w:type="dxa"/>
                  </w:tcMar>
                  <w:vAlign w:val="bottom"/>
                </w:tcPr>
                <w:p w14:paraId="5862A0C6"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4869" w:type="dxa"/>
                  <w:gridSpan w:val="5"/>
                  <w:tcBorders>
                    <w:top w:val="nil"/>
                    <w:left w:val="nil"/>
                    <w:bottom w:val="single" w:sz="4" w:space="0" w:color="000000"/>
                    <w:right w:val="nil"/>
                    <w:tl2br w:val="nil"/>
                    <w:tr2bl w:val="nil"/>
                  </w:tcBorders>
                  <w:shd w:val="clear" w:color="auto" w:fill="auto"/>
                  <w:noWrap/>
                  <w:tcMar>
                    <w:left w:w="43" w:type="dxa"/>
                    <w:right w:w="43" w:type="dxa"/>
                  </w:tcMar>
                  <w:vAlign w:val="bottom"/>
                </w:tcPr>
                <w:p w14:paraId="5ABEACF6"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NIS million</w:t>
                  </w:r>
                </w:p>
              </w:tc>
            </w:tr>
            <w:tr w:rsidR="007F4C68" w:rsidRPr="007F4C68" w14:paraId="57AF3DB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3749DB0E" w14:textId="77777777" w:rsidR="007F4C68" w:rsidRPr="007F4C68" w:rsidRDefault="007F4C68" w:rsidP="00A65A6F">
                  <w:pPr>
                    <w:keepNext/>
                    <w:spacing w:before="0" w:after="0"/>
                    <w:jc w:val="left"/>
                    <w:rPr>
                      <w:rFonts w:asciiTheme="majorBidi" w:eastAsia="Ploni ML Medium AAA Medium" w:hAnsiTheme="majorBidi" w:cstheme="majorBidi"/>
                      <w:b/>
                      <w:color w:val="000000"/>
                      <w:sz w:val="21"/>
                      <w:u w:val="single"/>
                    </w:rPr>
                  </w:pPr>
                  <w:r w:rsidRPr="007F4C68">
                    <w:rPr>
                      <w:rFonts w:asciiTheme="majorBidi" w:hAnsiTheme="majorBidi" w:cstheme="majorBidi"/>
                      <w:b/>
                      <w:color w:val="000000"/>
                      <w:sz w:val="21"/>
                      <w:u w:val="single"/>
                    </w:rPr>
                    <w:t>Liabilities and Equity</w:t>
                  </w:r>
                </w:p>
              </w:tc>
              <w:tc>
                <w:tcPr>
                  <w:tcW w:w="133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6573E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1CAAF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2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D72F67"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98"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42577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2229ED"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r>
            <w:tr w:rsidR="007F4C68" w:rsidRPr="007F4C68" w14:paraId="65DD1DA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78DE8BE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Current liabilities</w:t>
                  </w:r>
                </w:p>
              </w:tc>
              <w:tc>
                <w:tcPr>
                  <w:tcW w:w="1331" w:type="dxa"/>
                  <w:tcBorders>
                    <w:top w:val="nil"/>
                    <w:left w:val="nil"/>
                    <w:bottom w:val="nil"/>
                    <w:right w:val="nil"/>
                    <w:tl2br w:val="nil"/>
                    <w:tr2bl w:val="nil"/>
                  </w:tcBorders>
                  <w:shd w:val="clear" w:color="auto" w:fill="auto"/>
                  <w:noWrap/>
                  <w:tcMar>
                    <w:left w:w="0" w:type="dxa"/>
                    <w:right w:w="0" w:type="dxa"/>
                  </w:tcMar>
                  <w:vAlign w:val="bottom"/>
                </w:tcPr>
                <w:p w14:paraId="0CAA56F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80" w:type="dxa"/>
                  <w:tcBorders>
                    <w:top w:val="nil"/>
                    <w:left w:val="nil"/>
                    <w:bottom w:val="nil"/>
                    <w:right w:val="nil"/>
                    <w:tl2br w:val="nil"/>
                    <w:tr2bl w:val="nil"/>
                  </w:tcBorders>
                  <w:shd w:val="clear" w:color="auto" w:fill="auto"/>
                  <w:noWrap/>
                  <w:tcMar>
                    <w:left w:w="0" w:type="dxa"/>
                    <w:right w:w="0" w:type="dxa"/>
                  </w:tcMar>
                  <w:vAlign w:val="bottom"/>
                </w:tcPr>
                <w:p w14:paraId="7DD71C2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0" w:type="dxa"/>
                    <w:right w:w="0" w:type="dxa"/>
                  </w:tcMar>
                  <w:vAlign w:val="bottom"/>
                </w:tcPr>
                <w:p w14:paraId="406080AD"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98" w:type="dxa"/>
                  <w:tcBorders>
                    <w:top w:val="nil"/>
                    <w:left w:val="nil"/>
                    <w:bottom w:val="nil"/>
                    <w:right w:val="nil"/>
                    <w:tl2br w:val="nil"/>
                    <w:tr2bl w:val="nil"/>
                  </w:tcBorders>
                  <w:shd w:val="clear" w:color="auto" w:fill="auto"/>
                  <w:noWrap/>
                  <w:tcMar>
                    <w:left w:w="0" w:type="dxa"/>
                    <w:right w:w="0" w:type="dxa"/>
                  </w:tcMar>
                  <w:vAlign w:val="bottom"/>
                </w:tcPr>
                <w:p w14:paraId="51354BC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0" w:type="dxa"/>
                    <w:right w:w="0" w:type="dxa"/>
                  </w:tcMar>
                  <w:vAlign w:val="bottom"/>
                </w:tcPr>
                <w:p w14:paraId="04A916D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r>
            <w:tr w:rsidR="007F4C68" w:rsidRPr="007F4C68" w14:paraId="41AD804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6EC66AD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Current maturities of non-current liabilities</w:t>
                  </w:r>
                </w:p>
              </w:tc>
              <w:tc>
                <w:tcPr>
                  <w:tcW w:w="1331" w:type="dxa"/>
                  <w:tcBorders>
                    <w:top w:val="nil"/>
                    <w:left w:val="nil"/>
                    <w:bottom w:val="nil"/>
                    <w:right w:val="nil"/>
                    <w:tl2br w:val="nil"/>
                    <w:tr2bl w:val="nil"/>
                  </w:tcBorders>
                  <w:shd w:val="clear" w:color="auto" w:fill="auto"/>
                  <w:noWrap/>
                  <w:tcMar>
                    <w:left w:w="43" w:type="dxa"/>
                    <w:right w:w="178" w:type="dxa"/>
                  </w:tcMar>
                  <w:vAlign w:val="bottom"/>
                </w:tcPr>
                <w:p w14:paraId="4CFD097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2,421</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22616BA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43" w:type="dxa"/>
                    <w:right w:w="178" w:type="dxa"/>
                  </w:tcMar>
                  <w:vAlign w:val="bottom"/>
                </w:tcPr>
                <w:p w14:paraId="0E6BD9C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1,974</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5A8FA28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3" w:type="dxa"/>
                    <w:right w:w="178" w:type="dxa"/>
                  </w:tcMar>
                  <w:vAlign w:val="bottom"/>
                </w:tcPr>
                <w:p w14:paraId="535A139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2,580</w:t>
                  </w:r>
                </w:p>
              </w:tc>
            </w:tr>
            <w:tr w:rsidR="007F4C68" w:rsidRPr="007F4C68" w14:paraId="5E7AB03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3820405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Short-term loans from subsidiaries</w:t>
                  </w:r>
                </w:p>
              </w:tc>
              <w:tc>
                <w:tcPr>
                  <w:tcW w:w="1331" w:type="dxa"/>
                  <w:tcBorders>
                    <w:top w:val="nil"/>
                    <w:left w:val="nil"/>
                    <w:bottom w:val="nil"/>
                    <w:right w:val="nil"/>
                    <w:tl2br w:val="nil"/>
                    <w:tr2bl w:val="nil"/>
                  </w:tcBorders>
                  <w:shd w:val="clear" w:color="auto" w:fill="auto"/>
                  <w:noWrap/>
                  <w:tcMar>
                    <w:left w:w="43" w:type="dxa"/>
                    <w:right w:w="178" w:type="dxa"/>
                  </w:tcMar>
                  <w:vAlign w:val="bottom"/>
                </w:tcPr>
                <w:p w14:paraId="4851748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43</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77EFD22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43" w:type="dxa"/>
                    <w:right w:w="178" w:type="dxa"/>
                  </w:tcMar>
                  <w:vAlign w:val="bottom"/>
                </w:tcPr>
                <w:p w14:paraId="465E191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427</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22F4F84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3" w:type="dxa"/>
                    <w:right w:w="178" w:type="dxa"/>
                  </w:tcMar>
                  <w:vAlign w:val="bottom"/>
                </w:tcPr>
                <w:p w14:paraId="2AE641E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168</w:t>
                  </w:r>
                </w:p>
              </w:tc>
            </w:tr>
            <w:tr w:rsidR="007F4C68" w:rsidRPr="007F4C68" w14:paraId="0C44408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23C695B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Financial derivatives</w:t>
                  </w:r>
                </w:p>
              </w:tc>
              <w:tc>
                <w:tcPr>
                  <w:tcW w:w="1331" w:type="dxa"/>
                  <w:tcBorders>
                    <w:top w:val="nil"/>
                    <w:left w:val="nil"/>
                    <w:bottom w:val="nil"/>
                    <w:right w:val="nil"/>
                    <w:tl2br w:val="nil"/>
                    <w:tr2bl w:val="nil"/>
                  </w:tcBorders>
                  <w:shd w:val="clear" w:color="auto" w:fill="auto"/>
                  <w:noWrap/>
                  <w:tcMar>
                    <w:left w:w="43" w:type="dxa"/>
                    <w:right w:w="178" w:type="dxa"/>
                  </w:tcMar>
                  <w:vAlign w:val="bottom"/>
                </w:tcPr>
                <w:p w14:paraId="1469F9E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40A5C34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43" w:type="dxa"/>
                    <w:right w:w="178" w:type="dxa"/>
                  </w:tcMar>
                  <w:vAlign w:val="bottom"/>
                </w:tcPr>
                <w:p w14:paraId="32414DE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0E55E82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3" w:type="dxa"/>
                    <w:right w:w="178" w:type="dxa"/>
                  </w:tcMar>
                  <w:vAlign w:val="bottom"/>
                </w:tcPr>
                <w:p w14:paraId="10B85FE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163</w:t>
                  </w:r>
                </w:p>
              </w:tc>
            </w:tr>
            <w:tr w:rsidR="007F4C68" w:rsidRPr="007F4C68" w14:paraId="1F74678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316BDDB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Trade payables and service providers</w:t>
                  </w:r>
                </w:p>
              </w:tc>
              <w:tc>
                <w:tcPr>
                  <w:tcW w:w="1331" w:type="dxa"/>
                  <w:tcBorders>
                    <w:top w:val="nil"/>
                    <w:left w:val="nil"/>
                    <w:bottom w:val="nil"/>
                    <w:right w:val="nil"/>
                    <w:tl2br w:val="nil"/>
                    <w:tr2bl w:val="nil"/>
                  </w:tcBorders>
                  <w:shd w:val="clear" w:color="auto" w:fill="auto"/>
                  <w:noWrap/>
                  <w:tcMar>
                    <w:left w:w="43" w:type="dxa"/>
                    <w:right w:w="178" w:type="dxa"/>
                  </w:tcMar>
                  <w:vAlign w:val="bottom"/>
                </w:tcPr>
                <w:p w14:paraId="1226C16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26</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73D65E2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43" w:type="dxa"/>
                    <w:right w:w="178" w:type="dxa"/>
                  </w:tcMar>
                  <w:vAlign w:val="bottom"/>
                </w:tcPr>
                <w:p w14:paraId="01E7519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35</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2232E4A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3" w:type="dxa"/>
                    <w:right w:w="178" w:type="dxa"/>
                  </w:tcMar>
                  <w:vAlign w:val="bottom"/>
                </w:tcPr>
                <w:p w14:paraId="157AB4B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19</w:t>
                  </w:r>
                </w:p>
              </w:tc>
            </w:tr>
            <w:tr w:rsidR="007F4C68" w:rsidRPr="007F4C68" w14:paraId="44990AF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4FB3F6E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Other payables</w:t>
                  </w:r>
                </w:p>
              </w:tc>
              <w:tc>
                <w:tcPr>
                  <w:tcW w:w="1331" w:type="dxa"/>
                  <w:tcBorders>
                    <w:top w:val="nil"/>
                    <w:left w:val="nil"/>
                    <w:bottom w:val="nil"/>
                    <w:right w:val="nil"/>
                    <w:tl2br w:val="nil"/>
                    <w:tr2bl w:val="nil"/>
                  </w:tcBorders>
                  <w:shd w:val="clear" w:color="auto" w:fill="auto"/>
                  <w:noWrap/>
                  <w:tcMar>
                    <w:left w:w="43" w:type="dxa"/>
                    <w:right w:w="178" w:type="dxa"/>
                  </w:tcMar>
                  <w:vAlign w:val="bottom"/>
                </w:tcPr>
                <w:p w14:paraId="46143F2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69</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11C8AF3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43" w:type="dxa"/>
                    <w:right w:w="178" w:type="dxa"/>
                  </w:tcMar>
                  <w:vAlign w:val="bottom"/>
                </w:tcPr>
                <w:p w14:paraId="5AF5985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64</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1AE2C5A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3" w:type="dxa"/>
                    <w:right w:w="178" w:type="dxa"/>
                  </w:tcMar>
                  <w:vAlign w:val="bottom"/>
                </w:tcPr>
                <w:p w14:paraId="08C6904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89</w:t>
                  </w:r>
                </w:p>
              </w:tc>
            </w:tr>
            <w:tr w:rsidR="007F4C68" w:rsidRPr="007F4C68" w14:paraId="61376D4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0" w:type="dxa"/>
                    <w:right w:w="0" w:type="dxa"/>
                  </w:tcMar>
                  <w:vAlign w:val="bottom"/>
                </w:tcPr>
                <w:p w14:paraId="3E46A18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31"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36AEFB2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2,559</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71E4E0F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7497B54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2,504</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7B134D1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2E828BB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3,019</w:t>
                  </w:r>
                </w:p>
              </w:tc>
            </w:tr>
            <w:tr w:rsidR="007F4C68" w:rsidRPr="007F4C68" w14:paraId="649B18B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26694A8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Non-current liabilities</w:t>
                  </w:r>
                </w:p>
              </w:tc>
              <w:tc>
                <w:tcPr>
                  <w:tcW w:w="1331"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05C632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63538CC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74D8DE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154ACE2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1D3C78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32B602C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2D1093E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Loans from banks</w:t>
                  </w:r>
                </w:p>
              </w:tc>
              <w:tc>
                <w:tcPr>
                  <w:tcW w:w="1331" w:type="dxa"/>
                  <w:tcBorders>
                    <w:top w:val="nil"/>
                    <w:left w:val="nil"/>
                    <w:bottom w:val="nil"/>
                    <w:right w:val="nil"/>
                    <w:tl2br w:val="nil"/>
                    <w:tr2bl w:val="nil"/>
                  </w:tcBorders>
                  <w:shd w:val="clear" w:color="auto" w:fill="auto"/>
                  <w:noWrap/>
                  <w:tcMar>
                    <w:left w:w="43" w:type="dxa"/>
                    <w:right w:w="178" w:type="dxa"/>
                  </w:tcMar>
                  <w:vAlign w:val="bottom"/>
                </w:tcPr>
                <w:p w14:paraId="7005DF5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2,527</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2C55630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43" w:type="dxa"/>
                    <w:right w:w="178" w:type="dxa"/>
                  </w:tcMar>
                  <w:vAlign w:val="bottom"/>
                </w:tcPr>
                <w:p w14:paraId="62C497F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2,692</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2B08020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3" w:type="dxa"/>
                    <w:right w:w="178" w:type="dxa"/>
                  </w:tcMar>
                  <w:vAlign w:val="bottom"/>
                </w:tcPr>
                <w:p w14:paraId="6D42B21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1,896</w:t>
                  </w:r>
                </w:p>
              </w:tc>
            </w:tr>
            <w:tr w:rsidR="007F4C68" w:rsidRPr="007F4C68" w14:paraId="6823AAA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0B94722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Loans from affiliates</w:t>
                  </w:r>
                </w:p>
              </w:tc>
              <w:tc>
                <w:tcPr>
                  <w:tcW w:w="1331" w:type="dxa"/>
                  <w:tcBorders>
                    <w:top w:val="nil"/>
                    <w:left w:val="nil"/>
                    <w:bottom w:val="nil"/>
                    <w:right w:val="nil"/>
                    <w:tl2br w:val="nil"/>
                    <w:tr2bl w:val="nil"/>
                  </w:tcBorders>
                  <w:shd w:val="clear" w:color="auto" w:fill="auto"/>
                  <w:noWrap/>
                  <w:tcMar>
                    <w:left w:w="43" w:type="dxa"/>
                    <w:right w:w="178" w:type="dxa"/>
                  </w:tcMar>
                  <w:vAlign w:val="bottom"/>
                </w:tcPr>
                <w:p w14:paraId="58EC9D1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57</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08540B9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43" w:type="dxa"/>
                    <w:right w:w="178" w:type="dxa"/>
                  </w:tcMar>
                  <w:vAlign w:val="bottom"/>
                </w:tcPr>
                <w:p w14:paraId="1B4CB60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1,310</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68F1250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3" w:type="dxa"/>
                    <w:right w:w="178" w:type="dxa"/>
                  </w:tcMar>
                  <w:vAlign w:val="bottom"/>
                </w:tcPr>
                <w:p w14:paraId="0625831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430</w:t>
                  </w:r>
                </w:p>
              </w:tc>
            </w:tr>
            <w:tr w:rsidR="007F4C68" w:rsidRPr="007F4C68" w14:paraId="48E95FC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3B56AE9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Debentures and convertible debentures</w:t>
                  </w:r>
                </w:p>
              </w:tc>
              <w:tc>
                <w:tcPr>
                  <w:tcW w:w="1331" w:type="dxa"/>
                  <w:tcBorders>
                    <w:top w:val="nil"/>
                    <w:left w:val="nil"/>
                    <w:bottom w:val="nil"/>
                    <w:right w:val="nil"/>
                    <w:tl2br w:val="nil"/>
                    <w:tr2bl w:val="nil"/>
                  </w:tcBorders>
                  <w:shd w:val="clear" w:color="auto" w:fill="auto"/>
                  <w:noWrap/>
                  <w:tcMar>
                    <w:left w:w="43" w:type="dxa"/>
                    <w:right w:w="178" w:type="dxa"/>
                  </w:tcMar>
                  <w:vAlign w:val="bottom"/>
                </w:tcPr>
                <w:p w14:paraId="0773F21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6,504</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061AB75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43" w:type="dxa"/>
                    <w:right w:w="178" w:type="dxa"/>
                  </w:tcMar>
                  <w:vAlign w:val="bottom"/>
                </w:tcPr>
                <w:p w14:paraId="49F868C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6,543</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59D8BB3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3" w:type="dxa"/>
                    <w:right w:w="178" w:type="dxa"/>
                  </w:tcMar>
                  <w:vAlign w:val="bottom"/>
                </w:tcPr>
                <w:p w14:paraId="6A93F34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6,460</w:t>
                  </w:r>
                </w:p>
              </w:tc>
            </w:tr>
            <w:tr w:rsidR="007F4C68" w:rsidRPr="007F4C68" w14:paraId="0513233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3C0D60B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Financial derivatives</w:t>
                  </w:r>
                </w:p>
              </w:tc>
              <w:tc>
                <w:tcPr>
                  <w:tcW w:w="1331" w:type="dxa"/>
                  <w:tcBorders>
                    <w:top w:val="nil"/>
                    <w:left w:val="nil"/>
                    <w:bottom w:val="nil"/>
                    <w:right w:val="nil"/>
                    <w:tl2br w:val="nil"/>
                    <w:tr2bl w:val="nil"/>
                  </w:tcBorders>
                  <w:shd w:val="clear" w:color="auto" w:fill="auto"/>
                  <w:noWrap/>
                  <w:tcMar>
                    <w:left w:w="43" w:type="dxa"/>
                    <w:right w:w="178" w:type="dxa"/>
                  </w:tcMar>
                  <w:vAlign w:val="bottom"/>
                </w:tcPr>
                <w:p w14:paraId="68432DA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165</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743A76B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43" w:type="dxa"/>
                    <w:right w:w="178" w:type="dxa"/>
                  </w:tcMar>
                  <w:vAlign w:val="bottom"/>
                </w:tcPr>
                <w:p w14:paraId="01E8522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231</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48A43A5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3" w:type="dxa"/>
                    <w:right w:w="178" w:type="dxa"/>
                  </w:tcMar>
                  <w:vAlign w:val="bottom"/>
                </w:tcPr>
                <w:p w14:paraId="5F601BB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202</w:t>
                  </w:r>
                </w:p>
              </w:tc>
            </w:tr>
            <w:tr w:rsidR="007F4C68" w:rsidRPr="007F4C68" w14:paraId="6752C09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4A3B3E5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Other liabilities</w:t>
                  </w:r>
                </w:p>
              </w:tc>
              <w:tc>
                <w:tcPr>
                  <w:tcW w:w="1331" w:type="dxa"/>
                  <w:tcBorders>
                    <w:top w:val="nil"/>
                    <w:left w:val="nil"/>
                    <w:bottom w:val="nil"/>
                    <w:right w:val="nil"/>
                    <w:tl2br w:val="nil"/>
                    <w:tr2bl w:val="nil"/>
                  </w:tcBorders>
                  <w:shd w:val="clear" w:color="auto" w:fill="auto"/>
                  <w:noWrap/>
                  <w:tcMar>
                    <w:left w:w="43" w:type="dxa"/>
                    <w:right w:w="178" w:type="dxa"/>
                  </w:tcMar>
                  <w:vAlign w:val="bottom"/>
                </w:tcPr>
                <w:p w14:paraId="5DD25F8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40</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6AA7771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43" w:type="dxa"/>
                    <w:right w:w="178" w:type="dxa"/>
                  </w:tcMar>
                  <w:vAlign w:val="bottom"/>
                </w:tcPr>
                <w:p w14:paraId="358F836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60</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5DB17B3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3" w:type="dxa"/>
                    <w:right w:w="178" w:type="dxa"/>
                  </w:tcMar>
                  <w:vAlign w:val="bottom"/>
                </w:tcPr>
                <w:p w14:paraId="7CD08A3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8</w:t>
                  </w:r>
                </w:p>
              </w:tc>
            </w:tr>
            <w:tr w:rsidR="007F4C68" w:rsidRPr="007F4C68" w14:paraId="7C2A5FF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6CB3104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Deferred taxes</w:t>
                  </w:r>
                </w:p>
              </w:tc>
              <w:tc>
                <w:tcPr>
                  <w:tcW w:w="1331"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C84998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19</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7602EE8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9851E4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32E8AD5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34DD67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31</w:t>
                  </w:r>
                </w:p>
              </w:tc>
            </w:tr>
            <w:tr w:rsidR="007F4C68" w:rsidRPr="007F4C68" w14:paraId="0BC61DA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0" w:type="dxa"/>
                    <w:right w:w="0" w:type="dxa"/>
                  </w:tcMar>
                  <w:vAlign w:val="bottom"/>
                </w:tcPr>
                <w:p w14:paraId="00B139F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31"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2A087B8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9,312</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22781E5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7530162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10,836</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50CFB17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4AD9420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9,027</w:t>
                  </w:r>
                </w:p>
              </w:tc>
            </w:tr>
            <w:tr w:rsidR="007F4C68" w:rsidRPr="007F4C68" w14:paraId="075A404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0" w:type="dxa"/>
                    <w:right w:w="0" w:type="dxa"/>
                  </w:tcMar>
                  <w:vAlign w:val="bottom"/>
                </w:tcPr>
                <w:p w14:paraId="4A6C116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31"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EE409F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7D5FEE8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44E6CA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2FAC65E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3CDC06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5D09AA0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2C61958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Equity attributable to equity holders of the Company</w:t>
                  </w:r>
                </w:p>
              </w:tc>
              <w:tc>
                <w:tcPr>
                  <w:tcW w:w="1331" w:type="dxa"/>
                  <w:tcBorders>
                    <w:top w:val="nil"/>
                    <w:left w:val="nil"/>
                    <w:bottom w:val="nil"/>
                    <w:right w:val="nil"/>
                    <w:tl2br w:val="nil"/>
                    <w:tr2bl w:val="nil"/>
                  </w:tcBorders>
                  <w:shd w:val="clear" w:color="auto" w:fill="auto"/>
                  <w:noWrap/>
                  <w:tcMar>
                    <w:left w:w="0" w:type="dxa"/>
                    <w:right w:w="135" w:type="dxa"/>
                  </w:tcMar>
                  <w:vAlign w:val="bottom"/>
                </w:tcPr>
                <w:p w14:paraId="36B12CF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4615BA1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0" w:type="dxa"/>
                    <w:right w:w="135" w:type="dxa"/>
                  </w:tcMar>
                  <w:vAlign w:val="bottom"/>
                </w:tcPr>
                <w:p w14:paraId="4A9017E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14F30C0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0" w:type="dxa"/>
                    <w:right w:w="135" w:type="dxa"/>
                  </w:tcMar>
                  <w:vAlign w:val="bottom"/>
                </w:tcPr>
                <w:p w14:paraId="4B21717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73F0CCF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56CDC92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Share capital</w:t>
                  </w:r>
                </w:p>
              </w:tc>
              <w:tc>
                <w:tcPr>
                  <w:tcW w:w="1331" w:type="dxa"/>
                  <w:tcBorders>
                    <w:top w:val="nil"/>
                    <w:left w:val="nil"/>
                    <w:bottom w:val="nil"/>
                    <w:right w:val="nil"/>
                    <w:tl2br w:val="nil"/>
                    <w:tr2bl w:val="nil"/>
                  </w:tcBorders>
                  <w:shd w:val="clear" w:color="auto" w:fill="auto"/>
                  <w:noWrap/>
                  <w:tcMar>
                    <w:left w:w="43" w:type="dxa"/>
                    <w:right w:w="178" w:type="dxa"/>
                  </w:tcMar>
                  <w:vAlign w:val="bottom"/>
                </w:tcPr>
                <w:p w14:paraId="2FAAD6D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239</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4801426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43" w:type="dxa"/>
                    <w:right w:w="178" w:type="dxa"/>
                  </w:tcMar>
                  <w:vAlign w:val="bottom"/>
                </w:tcPr>
                <w:p w14:paraId="735E82F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231</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0BD384D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3" w:type="dxa"/>
                    <w:right w:w="178" w:type="dxa"/>
                  </w:tcMar>
                  <w:vAlign w:val="bottom"/>
                </w:tcPr>
                <w:p w14:paraId="4C9B113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239</w:t>
                  </w:r>
                </w:p>
              </w:tc>
            </w:tr>
            <w:tr w:rsidR="007F4C68" w:rsidRPr="007F4C68" w14:paraId="1E2C143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77F3F2F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Share premium</w:t>
                  </w:r>
                </w:p>
              </w:tc>
              <w:tc>
                <w:tcPr>
                  <w:tcW w:w="1331" w:type="dxa"/>
                  <w:tcBorders>
                    <w:top w:val="nil"/>
                    <w:left w:val="nil"/>
                    <w:bottom w:val="nil"/>
                    <w:right w:val="nil"/>
                    <w:tl2br w:val="nil"/>
                    <w:tr2bl w:val="nil"/>
                  </w:tcBorders>
                  <w:shd w:val="clear" w:color="auto" w:fill="auto"/>
                  <w:noWrap/>
                  <w:tcMar>
                    <w:left w:w="43" w:type="dxa"/>
                    <w:right w:w="178" w:type="dxa"/>
                  </w:tcMar>
                  <w:vAlign w:val="bottom"/>
                </w:tcPr>
                <w:p w14:paraId="64BD332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4,782</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4960C41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43" w:type="dxa"/>
                    <w:right w:w="178" w:type="dxa"/>
                  </w:tcMar>
                  <w:vAlign w:val="bottom"/>
                </w:tcPr>
                <w:p w14:paraId="204EE35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4,671</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0D757E8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3" w:type="dxa"/>
                    <w:right w:w="178" w:type="dxa"/>
                  </w:tcMar>
                  <w:vAlign w:val="bottom"/>
                </w:tcPr>
                <w:p w14:paraId="6F8360F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4,754</w:t>
                  </w:r>
                </w:p>
              </w:tc>
            </w:tr>
            <w:tr w:rsidR="007F4C68" w:rsidRPr="007F4C68" w14:paraId="6BE7438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1C0F464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Retained earnings</w:t>
                  </w:r>
                </w:p>
              </w:tc>
              <w:tc>
                <w:tcPr>
                  <w:tcW w:w="1331" w:type="dxa"/>
                  <w:tcBorders>
                    <w:top w:val="nil"/>
                    <w:left w:val="nil"/>
                    <w:bottom w:val="nil"/>
                    <w:right w:val="nil"/>
                    <w:tl2br w:val="nil"/>
                    <w:tr2bl w:val="nil"/>
                  </w:tcBorders>
                  <w:shd w:val="clear" w:color="auto" w:fill="auto"/>
                  <w:noWrap/>
                  <w:tcMar>
                    <w:left w:w="43" w:type="dxa"/>
                    <w:right w:w="178" w:type="dxa"/>
                  </w:tcMar>
                  <w:vAlign w:val="bottom"/>
                </w:tcPr>
                <w:p w14:paraId="110837F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2,682</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035893B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43" w:type="dxa"/>
                    <w:right w:w="178" w:type="dxa"/>
                  </w:tcMar>
                  <w:vAlign w:val="bottom"/>
                </w:tcPr>
                <w:p w14:paraId="7828A7A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3,121</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4AB4A46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3" w:type="dxa"/>
                    <w:right w:w="178" w:type="dxa"/>
                  </w:tcMar>
                  <w:vAlign w:val="bottom"/>
                </w:tcPr>
                <w:p w14:paraId="0F13210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2,430</w:t>
                  </w:r>
                </w:p>
              </w:tc>
            </w:tr>
            <w:tr w:rsidR="007F4C68" w:rsidRPr="007F4C68" w14:paraId="4F01F9B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053" w:type="dxa"/>
                  <w:tcBorders>
                    <w:top w:val="nil"/>
                    <w:left w:val="nil"/>
                    <w:bottom w:val="nil"/>
                    <w:right w:val="nil"/>
                    <w:tl2br w:val="nil"/>
                    <w:tr2bl w:val="nil"/>
                  </w:tcBorders>
                  <w:shd w:val="clear" w:color="auto" w:fill="auto"/>
                  <w:tcMar>
                    <w:left w:w="43" w:type="dxa"/>
                    <w:right w:w="43" w:type="dxa"/>
                  </w:tcMar>
                  <w:vAlign w:val="bottom"/>
                </w:tcPr>
                <w:p w14:paraId="2215F25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Adjustments due to translation of financial statements of foreign operations</w:t>
                  </w:r>
                </w:p>
              </w:tc>
              <w:tc>
                <w:tcPr>
                  <w:tcW w:w="1331" w:type="dxa"/>
                  <w:tcBorders>
                    <w:top w:val="nil"/>
                    <w:left w:val="nil"/>
                    <w:bottom w:val="nil"/>
                    <w:right w:val="nil"/>
                    <w:tl2br w:val="nil"/>
                    <w:tr2bl w:val="nil"/>
                  </w:tcBorders>
                  <w:shd w:val="clear" w:color="auto" w:fill="auto"/>
                  <w:noWrap/>
                  <w:tcMar>
                    <w:left w:w="43" w:type="dxa"/>
                    <w:right w:w="178" w:type="dxa"/>
                  </w:tcMar>
                  <w:vAlign w:val="bottom"/>
                </w:tcPr>
                <w:p w14:paraId="3EFF209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(4,071)</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5C93108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43" w:type="dxa"/>
                    <w:right w:w="178" w:type="dxa"/>
                  </w:tcMar>
                  <w:vAlign w:val="bottom"/>
                </w:tcPr>
                <w:p w14:paraId="10EE280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(3,984)</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1B820FE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3" w:type="dxa"/>
                    <w:right w:w="178" w:type="dxa"/>
                  </w:tcMar>
                  <w:vAlign w:val="bottom"/>
                </w:tcPr>
                <w:p w14:paraId="67A8BA5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(3,998)</w:t>
                  </w:r>
                </w:p>
              </w:tc>
            </w:tr>
            <w:tr w:rsidR="007F4C68" w:rsidRPr="007F4C68" w14:paraId="4660428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19D4E3D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Other reserves</w:t>
                  </w:r>
                </w:p>
              </w:tc>
              <w:tc>
                <w:tcPr>
                  <w:tcW w:w="1331" w:type="dxa"/>
                  <w:tcBorders>
                    <w:top w:val="nil"/>
                    <w:left w:val="nil"/>
                    <w:bottom w:val="nil"/>
                    <w:right w:val="nil"/>
                    <w:tl2br w:val="nil"/>
                    <w:tr2bl w:val="nil"/>
                  </w:tcBorders>
                  <w:shd w:val="clear" w:color="auto" w:fill="auto"/>
                  <w:noWrap/>
                  <w:tcMar>
                    <w:left w:w="43" w:type="dxa"/>
                    <w:right w:w="178" w:type="dxa"/>
                  </w:tcMar>
                  <w:vAlign w:val="bottom"/>
                </w:tcPr>
                <w:p w14:paraId="1734FE6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1,304</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67108CB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nil"/>
                    <w:right w:val="nil"/>
                    <w:tl2br w:val="nil"/>
                    <w:tr2bl w:val="nil"/>
                  </w:tcBorders>
                  <w:shd w:val="clear" w:color="auto" w:fill="auto"/>
                  <w:noWrap/>
                  <w:tcMar>
                    <w:left w:w="43" w:type="dxa"/>
                    <w:right w:w="178" w:type="dxa"/>
                  </w:tcMar>
                  <w:vAlign w:val="bottom"/>
                </w:tcPr>
                <w:p w14:paraId="00F2ED0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1,358</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027CB16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nil"/>
                    <w:right w:val="nil"/>
                    <w:tl2br w:val="nil"/>
                    <w:tr2bl w:val="nil"/>
                  </w:tcBorders>
                  <w:shd w:val="clear" w:color="auto" w:fill="auto"/>
                  <w:noWrap/>
                  <w:tcMar>
                    <w:left w:w="43" w:type="dxa"/>
                    <w:right w:w="178" w:type="dxa"/>
                  </w:tcMar>
                  <w:vAlign w:val="bottom"/>
                </w:tcPr>
                <w:p w14:paraId="04AEF10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1,413</w:t>
                  </w:r>
                </w:p>
              </w:tc>
            </w:tr>
            <w:tr w:rsidR="007F4C68" w:rsidRPr="007F4C68" w14:paraId="014AB89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75E54F7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Treasury shares</w:t>
                  </w:r>
                </w:p>
              </w:tc>
              <w:tc>
                <w:tcPr>
                  <w:tcW w:w="1331"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925825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(11)</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2F05E07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0F80996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538B024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6E243A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w:t>
                  </w:r>
                </w:p>
              </w:tc>
            </w:tr>
            <w:tr w:rsidR="007F4C68" w:rsidRPr="007F4C68" w14:paraId="5CBFFED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0" w:type="dxa"/>
                    <w:right w:w="0" w:type="dxa"/>
                  </w:tcMar>
                  <w:vAlign w:val="bottom"/>
                </w:tcPr>
                <w:p w14:paraId="2A99091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31"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4BFDCD8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4,925</w:t>
                  </w:r>
                </w:p>
              </w:tc>
              <w:tc>
                <w:tcPr>
                  <w:tcW w:w="280" w:type="dxa"/>
                  <w:tcBorders>
                    <w:top w:val="nil"/>
                    <w:left w:val="nil"/>
                    <w:bottom w:val="nil"/>
                    <w:right w:val="nil"/>
                    <w:tl2br w:val="nil"/>
                    <w:tr2bl w:val="nil"/>
                  </w:tcBorders>
                  <w:shd w:val="clear" w:color="auto" w:fill="auto"/>
                  <w:noWrap/>
                  <w:tcMar>
                    <w:left w:w="0" w:type="dxa"/>
                    <w:right w:w="135" w:type="dxa"/>
                  </w:tcMar>
                  <w:vAlign w:val="bottom"/>
                </w:tcPr>
                <w:p w14:paraId="62C3BA0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9C3B2C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5,396</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33AF0E4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5DC4AA2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4,837</w:t>
                  </w:r>
                </w:p>
              </w:tc>
            </w:tr>
            <w:tr w:rsidR="007F4C68" w:rsidRPr="007F4C68" w14:paraId="18C79B9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0" w:type="dxa"/>
                    <w:right w:w="0" w:type="dxa"/>
                  </w:tcMar>
                  <w:vAlign w:val="bottom"/>
                </w:tcPr>
                <w:p w14:paraId="4C9F8CA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3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FE42F7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280" w:type="dxa"/>
                  <w:tcBorders>
                    <w:top w:val="nil"/>
                    <w:left w:val="nil"/>
                    <w:bottom w:val="nil"/>
                    <w:right w:val="nil"/>
                    <w:tl2br w:val="nil"/>
                    <w:tr2bl w:val="nil"/>
                  </w:tcBorders>
                  <w:shd w:val="clear" w:color="auto" w:fill="auto"/>
                  <w:noWrap/>
                  <w:tcMar>
                    <w:left w:w="0" w:type="dxa"/>
                    <w:right w:w="0" w:type="dxa"/>
                  </w:tcMar>
                  <w:vAlign w:val="bottom"/>
                </w:tcPr>
                <w:p w14:paraId="0FFD128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BC0D3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298" w:type="dxa"/>
                  <w:tcBorders>
                    <w:top w:val="nil"/>
                    <w:left w:val="nil"/>
                    <w:bottom w:val="nil"/>
                    <w:right w:val="nil"/>
                    <w:tl2br w:val="nil"/>
                    <w:tr2bl w:val="nil"/>
                  </w:tcBorders>
                  <w:shd w:val="clear" w:color="auto" w:fill="auto"/>
                  <w:noWrap/>
                  <w:tcMar>
                    <w:left w:w="0" w:type="dxa"/>
                    <w:right w:w="0" w:type="dxa"/>
                  </w:tcMar>
                  <w:vAlign w:val="bottom"/>
                </w:tcPr>
                <w:p w14:paraId="1B54112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240B0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66B7895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43" w:type="dxa"/>
                    <w:right w:w="43" w:type="dxa"/>
                  </w:tcMar>
                  <w:vAlign w:val="bottom"/>
                </w:tcPr>
                <w:p w14:paraId="3CA851A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Total liabilities and equity</w:t>
                  </w:r>
                </w:p>
              </w:tc>
              <w:tc>
                <w:tcPr>
                  <w:tcW w:w="1331"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2051A98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16,796</w:t>
                  </w:r>
                </w:p>
              </w:tc>
              <w:tc>
                <w:tcPr>
                  <w:tcW w:w="280" w:type="dxa"/>
                  <w:tcBorders>
                    <w:top w:val="nil"/>
                    <w:left w:val="nil"/>
                    <w:bottom w:val="nil"/>
                    <w:right w:val="nil"/>
                    <w:tl2br w:val="nil"/>
                    <w:tr2bl w:val="nil"/>
                  </w:tcBorders>
                  <w:shd w:val="clear" w:color="auto" w:fill="auto"/>
                  <w:noWrap/>
                  <w:tcMar>
                    <w:left w:w="0" w:type="dxa"/>
                    <w:right w:w="0" w:type="dxa"/>
                  </w:tcMar>
                  <w:vAlign w:val="bottom"/>
                </w:tcPr>
                <w:p w14:paraId="77E1271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6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13A553A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18,736</w:t>
                  </w:r>
                </w:p>
              </w:tc>
              <w:tc>
                <w:tcPr>
                  <w:tcW w:w="298" w:type="dxa"/>
                  <w:tcBorders>
                    <w:top w:val="nil"/>
                    <w:left w:val="nil"/>
                    <w:bottom w:val="nil"/>
                    <w:right w:val="nil"/>
                    <w:tl2br w:val="nil"/>
                    <w:tr2bl w:val="nil"/>
                  </w:tcBorders>
                  <w:shd w:val="clear" w:color="auto" w:fill="auto"/>
                  <w:noWrap/>
                  <w:tcMar>
                    <w:left w:w="0" w:type="dxa"/>
                    <w:right w:w="135" w:type="dxa"/>
                  </w:tcMar>
                  <w:vAlign w:val="bottom"/>
                </w:tcPr>
                <w:p w14:paraId="4888083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0"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25AFDCD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16,883</w:t>
                  </w:r>
                </w:p>
              </w:tc>
            </w:tr>
            <w:tr w:rsidR="007F4C68" w:rsidRPr="007F4C68" w14:paraId="0E1EA3E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053" w:type="dxa"/>
                  <w:tcBorders>
                    <w:top w:val="nil"/>
                    <w:left w:val="nil"/>
                    <w:bottom w:val="nil"/>
                    <w:right w:val="nil"/>
                    <w:tl2br w:val="nil"/>
                    <w:tr2bl w:val="nil"/>
                  </w:tcBorders>
                  <w:shd w:val="clear" w:color="auto" w:fill="auto"/>
                  <w:noWrap/>
                  <w:tcMar>
                    <w:left w:w="0" w:type="dxa"/>
                    <w:right w:w="0" w:type="dxa"/>
                  </w:tcMar>
                  <w:vAlign w:val="bottom"/>
                </w:tcPr>
                <w:p w14:paraId="2A1D47D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31"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058FC0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80" w:type="dxa"/>
                  <w:tcBorders>
                    <w:top w:val="nil"/>
                    <w:left w:val="nil"/>
                    <w:bottom w:val="nil"/>
                    <w:right w:val="nil"/>
                    <w:tl2br w:val="nil"/>
                    <w:tr2bl w:val="nil"/>
                  </w:tcBorders>
                  <w:shd w:val="clear" w:color="auto" w:fill="auto"/>
                  <w:noWrap/>
                  <w:tcMar>
                    <w:left w:w="0" w:type="dxa"/>
                    <w:right w:w="0" w:type="dxa"/>
                  </w:tcMar>
                  <w:vAlign w:val="bottom"/>
                </w:tcPr>
                <w:p w14:paraId="30C8C5D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26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159F51D"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98" w:type="dxa"/>
                  <w:tcBorders>
                    <w:top w:val="nil"/>
                    <w:left w:val="nil"/>
                    <w:bottom w:val="nil"/>
                    <w:right w:val="nil"/>
                    <w:tl2br w:val="nil"/>
                    <w:tr2bl w:val="nil"/>
                  </w:tcBorders>
                  <w:shd w:val="clear" w:color="auto" w:fill="auto"/>
                  <w:noWrap/>
                  <w:tcMar>
                    <w:left w:w="0" w:type="dxa"/>
                    <w:right w:w="0" w:type="dxa"/>
                  </w:tcMar>
                  <w:vAlign w:val="bottom"/>
                </w:tcPr>
                <w:p w14:paraId="131D1BA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EB9848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r>
            <w:tr w:rsidR="007F4C68" w:rsidRPr="007F4C68" w14:paraId="61AC3019" w14:textId="77777777" w:rsidTr="00E3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9"/>
              </w:trPr>
              <w:tc>
                <w:tcPr>
                  <w:tcW w:w="9922" w:type="dxa"/>
                  <w:gridSpan w:val="6"/>
                  <w:tcBorders>
                    <w:top w:val="nil"/>
                    <w:left w:val="nil"/>
                    <w:bottom w:val="nil"/>
                    <w:right w:val="nil"/>
                    <w:tl2br w:val="nil"/>
                    <w:tr2bl w:val="nil"/>
                  </w:tcBorders>
                  <w:shd w:val="clear" w:color="auto" w:fill="auto"/>
                  <w:noWrap/>
                  <w:tcMar>
                    <w:left w:w="43" w:type="dxa"/>
                    <w:right w:w="43" w:type="dxa"/>
                  </w:tcMar>
                  <w:vAlign w:val="bottom"/>
                </w:tcPr>
                <w:p w14:paraId="4882EC33"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r w:rsidRPr="007F4C68">
                    <w:rPr>
                      <w:rFonts w:asciiTheme="majorBidi" w:hAnsiTheme="majorBidi" w:cstheme="majorBidi"/>
                      <w:color w:val="000000"/>
                    </w:rPr>
                    <w:t>The accompanying additional information is an integral part of the financial information and of the separate financial information.</w:t>
                  </w:r>
                </w:p>
              </w:tc>
            </w:tr>
          </w:tbl>
          <w:p w14:paraId="25BE2B8A" w14:textId="77777777" w:rsidR="007F4C68" w:rsidRPr="007F4C68" w:rsidRDefault="007F4C68" w:rsidP="00A65A6F">
            <w:pPr>
              <w:rPr>
                <w:rFonts w:asciiTheme="majorBidi" w:hAnsiTheme="majorBidi" w:cstheme="majorBidi"/>
              </w:rPr>
            </w:pPr>
          </w:p>
        </w:tc>
      </w:tr>
    </w:tbl>
    <w:p w14:paraId="0BC6E3A9" w14:textId="77777777" w:rsidR="007F4C68" w:rsidRPr="007F4C68" w:rsidRDefault="007F4C68" w:rsidP="007F4C68">
      <w:pPr>
        <w:rPr>
          <w:rFonts w:asciiTheme="majorBidi" w:hAnsiTheme="majorBidi" w:cstheme="majorBidi"/>
          <w:sz w:val="21"/>
          <w:szCs w:val="21"/>
          <w:rtl/>
        </w:rPr>
      </w:pPr>
    </w:p>
    <w:tbl>
      <w:tblPr>
        <w:tblStyle w:val="TableGrid"/>
        <w:tblW w:w="9975" w:type="dxa"/>
        <w:tblInd w:w="57" w:type="dxa"/>
        <w:tblBorders>
          <w:top w:val="none" w:sz="0" w:space="0" w:color="auto"/>
          <w:left w:val="none" w:sz="0" w:space="0" w:color="auto"/>
          <w:bottom w:val="none" w:sz="0" w:space="0" w:color="auto"/>
          <w:right w:val="none" w:sz="0" w:space="0" w:color="auto"/>
          <w:insideH w:val="nil"/>
          <w:insideV w:val="nil"/>
        </w:tblBorders>
        <w:tblLayout w:type="fixed"/>
        <w:tblLook w:val="04A0" w:firstRow="1" w:lastRow="0" w:firstColumn="1" w:lastColumn="0" w:noHBand="0" w:noVBand="1"/>
      </w:tblPr>
      <w:tblGrid>
        <w:gridCol w:w="2308"/>
        <w:gridCol w:w="266"/>
        <w:gridCol w:w="2307"/>
        <w:gridCol w:w="240"/>
        <w:gridCol w:w="2307"/>
        <w:gridCol w:w="240"/>
        <w:gridCol w:w="2307"/>
      </w:tblGrid>
      <w:tr w:rsidR="007F4C68" w:rsidRPr="007F4C68" w14:paraId="374894E8" w14:textId="77777777" w:rsidTr="00A65A6F">
        <w:trPr>
          <w:cantSplit/>
        </w:trPr>
        <w:tc>
          <w:tcPr>
            <w:tcW w:w="2309" w:type="dxa"/>
            <w:tcBorders>
              <w:top w:val="nil"/>
              <w:left w:val="nil"/>
              <w:bottom w:val="single" w:sz="4" w:space="0" w:color="auto"/>
              <w:right w:val="nil"/>
            </w:tcBorders>
            <w:hideMark/>
          </w:tcPr>
          <w:p w14:paraId="681885E3" w14:textId="4C8ADA90" w:rsidR="007F4C68" w:rsidRPr="007F4C68" w:rsidRDefault="007F4C68" w:rsidP="00A65A6F">
            <w:pPr>
              <w:keepNext/>
              <w:jc w:val="center"/>
              <w:rPr>
                <w:rFonts w:asciiTheme="majorBidi" w:hAnsiTheme="majorBidi" w:cstheme="majorBidi"/>
                <w:sz w:val="21"/>
                <w:szCs w:val="21"/>
              </w:rPr>
            </w:pPr>
            <w:r w:rsidRPr="007F4C68">
              <w:rPr>
                <w:rFonts w:asciiTheme="majorBidi" w:hAnsiTheme="majorBidi" w:cstheme="majorBidi"/>
                <w:sz w:val="21"/>
              </w:rPr>
              <w:t xml:space="preserve">August </w:t>
            </w:r>
            <w:r w:rsidR="00A65C56" w:rsidRPr="007F4C68">
              <w:rPr>
                <w:rFonts w:asciiTheme="majorBidi" w:hAnsiTheme="majorBidi" w:cstheme="majorBidi"/>
                <w:sz w:val="21"/>
              </w:rPr>
              <w:t>14, 2024</w:t>
            </w:r>
          </w:p>
        </w:tc>
        <w:tc>
          <w:tcPr>
            <w:tcW w:w="266" w:type="dxa"/>
            <w:tcBorders>
              <w:top w:val="nil"/>
              <w:left w:val="nil"/>
              <w:bottom w:val="nil"/>
              <w:right w:val="nil"/>
            </w:tcBorders>
          </w:tcPr>
          <w:p w14:paraId="0FD537D9" w14:textId="77777777" w:rsidR="007F4C68" w:rsidRPr="007F4C68" w:rsidRDefault="007F4C68" w:rsidP="00A65A6F">
            <w:pPr>
              <w:keepNext/>
              <w:rPr>
                <w:rFonts w:asciiTheme="majorBidi" w:hAnsiTheme="majorBidi" w:cstheme="majorBidi"/>
                <w:sz w:val="21"/>
                <w:szCs w:val="21"/>
              </w:rPr>
            </w:pPr>
          </w:p>
        </w:tc>
        <w:tc>
          <w:tcPr>
            <w:tcW w:w="2308" w:type="dxa"/>
            <w:tcBorders>
              <w:top w:val="nil"/>
              <w:left w:val="nil"/>
              <w:bottom w:val="single" w:sz="4" w:space="0" w:color="auto"/>
              <w:right w:val="nil"/>
            </w:tcBorders>
          </w:tcPr>
          <w:p w14:paraId="01CC4645" w14:textId="77777777" w:rsidR="007F4C68" w:rsidRPr="007F4C68" w:rsidRDefault="007F4C68" w:rsidP="00A65A6F">
            <w:pPr>
              <w:keepNext/>
              <w:rPr>
                <w:rFonts w:asciiTheme="majorBidi" w:hAnsiTheme="majorBidi" w:cstheme="majorBidi"/>
                <w:sz w:val="21"/>
                <w:szCs w:val="21"/>
                <w:rtl/>
              </w:rPr>
            </w:pPr>
          </w:p>
        </w:tc>
        <w:tc>
          <w:tcPr>
            <w:tcW w:w="240" w:type="dxa"/>
            <w:tcBorders>
              <w:top w:val="nil"/>
              <w:left w:val="nil"/>
              <w:bottom w:val="nil"/>
              <w:right w:val="nil"/>
            </w:tcBorders>
          </w:tcPr>
          <w:p w14:paraId="14B06EA8" w14:textId="77777777" w:rsidR="007F4C68" w:rsidRPr="007F4C68" w:rsidRDefault="007F4C68" w:rsidP="00A65A6F">
            <w:pPr>
              <w:keepNext/>
              <w:rPr>
                <w:rFonts w:asciiTheme="majorBidi" w:hAnsiTheme="majorBidi" w:cstheme="majorBidi"/>
                <w:sz w:val="21"/>
                <w:szCs w:val="21"/>
                <w:rtl/>
              </w:rPr>
            </w:pPr>
          </w:p>
        </w:tc>
        <w:tc>
          <w:tcPr>
            <w:tcW w:w="2308" w:type="dxa"/>
            <w:tcBorders>
              <w:top w:val="nil"/>
              <w:left w:val="nil"/>
              <w:bottom w:val="single" w:sz="4" w:space="0" w:color="auto"/>
              <w:right w:val="nil"/>
            </w:tcBorders>
          </w:tcPr>
          <w:p w14:paraId="4F91CF3E" w14:textId="77777777" w:rsidR="007F4C68" w:rsidRPr="007F4C68" w:rsidRDefault="007F4C68" w:rsidP="00A65A6F">
            <w:pPr>
              <w:keepNext/>
              <w:rPr>
                <w:rFonts w:asciiTheme="majorBidi" w:hAnsiTheme="majorBidi" w:cstheme="majorBidi"/>
                <w:sz w:val="21"/>
                <w:szCs w:val="21"/>
                <w:rtl/>
              </w:rPr>
            </w:pPr>
          </w:p>
        </w:tc>
        <w:tc>
          <w:tcPr>
            <w:tcW w:w="240" w:type="dxa"/>
            <w:tcBorders>
              <w:top w:val="nil"/>
              <w:left w:val="nil"/>
              <w:bottom w:val="nil"/>
              <w:right w:val="nil"/>
            </w:tcBorders>
          </w:tcPr>
          <w:p w14:paraId="27C84E73" w14:textId="77777777" w:rsidR="007F4C68" w:rsidRPr="007F4C68" w:rsidRDefault="007F4C68" w:rsidP="00A65A6F">
            <w:pPr>
              <w:keepNext/>
              <w:rPr>
                <w:rFonts w:asciiTheme="majorBidi" w:hAnsiTheme="majorBidi" w:cstheme="majorBidi"/>
                <w:sz w:val="21"/>
                <w:szCs w:val="21"/>
                <w:rtl/>
              </w:rPr>
            </w:pPr>
          </w:p>
        </w:tc>
        <w:tc>
          <w:tcPr>
            <w:tcW w:w="2308" w:type="dxa"/>
            <w:tcBorders>
              <w:top w:val="nil"/>
              <w:left w:val="nil"/>
              <w:bottom w:val="single" w:sz="4" w:space="0" w:color="auto"/>
              <w:right w:val="nil"/>
            </w:tcBorders>
          </w:tcPr>
          <w:p w14:paraId="4A764BD9" w14:textId="77777777" w:rsidR="007F4C68" w:rsidRPr="007F4C68" w:rsidRDefault="007F4C68" w:rsidP="00A65A6F">
            <w:pPr>
              <w:keepNext/>
              <w:rPr>
                <w:rFonts w:asciiTheme="majorBidi" w:hAnsiTheme="majorBidi" w:cstheme="majorBidi"/>
                <w:sz w:val="21"/>
                <w:szCs w:val="21"/>
                <w:rtl/>
              </w:rPr>
            </w:pPr>
          </w:p>
        </w:tc>
      </w:tr>
      <w:tr w:rsidR="007F4C68" w:rsidRPr="007F4C68" w14:paraId="088F5045" w14:textId="77777777" w:rsidTr="00A65A6F">
        <w:trPr>
          <w:cantSplit/>
        </w:trPr>
        <w:tc>
          <w:tcPr>
            <w:tcW w:w="2309" w:type="dxa"/>
            <w:tcBorders>
              <w:top w:val="single" w:sz="4" w:space="0" w:color="auto"/>
              <w:left w:val="nil"/>
              <w:bottom w:val="nil"/>
              <w:right w:val="nil"/>
            </w:tcBorders>
            <w:hideMark/>
          </w:tcPr>
          <w:p w14:paraId="76855049" w14:textId="77777777" w:rsidR="007F4C68" w:rsidRPr="007F4C68" w:rsidRDefault="007F4C68" w:rsidP="00A65A6F">
            <w:pPr>
              <w:keepNext/>
              <w:spacing w:before="0" w:after="0"/>
              <w:jc w:val="center"/>
              <w:rPr>
                <w:rFonts w:asciiTheme="majorBidi" w:hAnsiTheme="majorBidi" w:cstheme="majorBidi"/>
                <w:sz w:val="21"/>
                <w:szCs w:val="21"/>
              </w:rPr>
            </w:pPr>
            <w:r w:rsidRPr="007F4C68">
              <w:rPr>
                <w:rFonts w:asciiTheme="majorBidi" w:hAnsiTheme="majorBidi" w:cstheme="majorBidi"/>
                <w:sz w:val="21"/>
              </w:rPr>
              <w:t>Date of approval of the financial statements</w:t>
            </w:r>
          </w:p>
        </w:tc>
        <w:tc>
          <w:tcPr>
            <w:tcW w:w="266" w:type="dxa"/>
            <w:tcBorders>
              <w:top w:val="nil"/>
              <w:left w:val="nil"/>
              <w:bottom w:val="nil"/>
              <w:right w:val="nil"/>
            </w:tcBorders>
          </w:tcPr>
          <w:p w14:paraId="7365EFB6" w14:textId="77777777" w:rsidR="007F4C68" w:rsidRPr="007F4C68" w:rsidRDefault="007F4C68" w:rsidP="00A65A6F">
            <w:pPr>
              <w:keepNext/>
              <w:spacing w:before="0" w:after="0"/>
              <w:jc w:val="center"/>
              <w:rPr>
                <w:rFonts w:asciiTheme="majorBidi" w:hAnsiTheme="majorBidi" w:cstheme="majorBidi"/>
                <w:sz w:val="21"/>
                <w:szCs w:val="21"/>
                <w:rtl/>
              </w:rPr>
            </w:pPr>
          </w:p>
        </w:tc>
        <w:tc>
          <w:tcPr>
            <w:tcW w:w="2308" w:type="dxa"/>
            <w:tcBorders>
              <w:top w:val="single" w:sz="4" w:space="0" w:color="auto"/>
              <w:left w:val="nil"/>
              <w:bottom w:val="nil"/>
              <w:right w:val="nil"/>
            </w:tcBorders>
            <w:hideMark/>
          </w:tcPr>
          <w:p w14:paraId="28AA083D" w14:textId="77777777" w:rsidR="007F4C68" w:rsidRPr="007F4C68" w:rsidRDefault="007F4C68" w:rsidP="00A65A6F">
            <w:pPr>
              <w:keepNext/>
              <w:spacing w:before="0" w:after="0"/>
              <w:jc w:val="center"/>
              <w:rPr>
                <w:rFonts w:asciiTheme="majorBidi" w:hAnsiTheme="majorBidi" w:cstheme="majorBidi"/>
                <w:sz w:val="21"/>
                <w:szCs w:val="21"/>
              </w:rPr>
            </w:pPr>
            <w:r w:rsidRPr="007F4C68">
              <w:rPr>
                <w:rFonts w:asciiTheme="majorBidi" w:hAnsiTheme="majorBidi" w:cstheme="majorBidi"/>
                <w:sz w:val="21"/>
              </w:rPr>
              <w:t>Ehud Arnon</w:t>
            </w:r>
          </w:p>
          <w:p w14:paraId="1E0ACE06" w14:textId="77777777" w:rsidR="007F4C68" w:rsidRPr="007F4C68" w:rsidRDefault="007F4C68" w:rsidP="00A65A6F">
            <w:pPr>
              <w:keepNext/>
              <w:spacing w:before="0" w:after="0"/>
              <w:jc w:val="center"/>
              <w:rPr>
                <w:rFonts w:asciiTheme="majorBidi" w:hAnsiTheme="majorBidi" w:cstheme="majorBidi"/>
                <w:sz w:val="21"/>
                <w:szCs w:val="21"/>
              </w:rPr>
            </w:pPr>
            <w:r w:rsidRPr="007F4C68">
              <w:rPr>
                <w:rFonts w:asciiTheme="majorBidi" w:hAnsiTheme="majorBidi" w:cstheme="majorBidi"/>
                <w:sz w:val="21"/>
              </w:rPr>
              <w:t>Chairman of the Board of Directors</w:t>
            </w:r>
          </w:p>
        </w:tc>
        <w:tc>
          <w:tcPr>
            <w:tcW w:w="240" w:type="dxa"/>
            <w:tcBorders>
              <w:top w:val="nil"/>
              <w:left w:val="nil"/>
              <w:bottom w:val="nil"/>
              <w:right w:val="nil"/>
            </w:tcBorders>
          </w:tcPr>
          <w:p w14:paraId="1F8E890F" w14:textId="77777777" w:rsidR="007F4C68" w:rsidRPr="007F4C68" w:rsidRDefault="007F4C68" w:rsidP="00A65A6F">
            <w:pPr>
              <w:keepNext/>
              <w:spacing w:before="0" w:after="0"/>
              <w:jc w:val="center"/>
              <w:rPr>
                <w:rFonts w:asciiTheme="majorBidi" w:hAnsiTheme="majorBidi" w:cstheme="majorBidi"/>
                <w:sz w:val="21"/>
                <w:szCs w:val="21"/>
                <w:rtl/>
              </w:rPr>
            </w:pPr>
          </w:p>
        </w:tc>
        <w:tc>
          <w:tcPr>
            <w:tcW w:w="2308" w:type="dxa"/>
            <w:tcBorders>
              <w:top w:val="single" w:sz="4" w:space="0" w:color="auto"/>
              <w:left w:val="nil"/>
              <w:bottom w:val="nil"/>
              <w:right w:val="nil"/>
            </w:tcBorders>
            <w:hideMark/>
          </w:tcPr>
          <w:p w14:paraId="3A2CC5DD" w14:textId="77777777" w:rsidR="007F4C68" w:rsidRPr="007F4C68" w:rsidRDefault="007F4C68" w:rsidP="00A65A6F">
            <w:pPr>
              <w:keepNext/>
              <w:spacing w:before="0" w:after="0"/>
              <w:jc w:val="center"/>
              <w:rPr>
                <w:rFonts w:asciiTheme="majorBidi" w:hAnsiTheme="majorBidi" w:cstheme="majorBidi"/>
                <w:sz w:val="21"/>
                <w:szCs w:val="21"/>
              </w:rPr>
            </w:pPr>
            <w:r w:rsidRPr="007F4C68">
              <w:rPr>
                <w:rFonts w:asciiTheme="majorBidi" w:hAnsiTheme="majorBidi" w:cstheme="majorBidi"/>
                <w:sz w:val="21"/>
              </w:rPr>
              <w:t>Chaim Katzman</w:t>
            </w:r>
          </w:p>
          <w:p w14:paraId="62AF78B7" w14:textId="77777777" w:rsidR="007F4C68" w:rsidRPr="007F4C68" w:rsidRDefault="007F4C68" w:rsidP="00A65A6F">
            <w:pPr>
              <w:keepNext/>
              <w:spacing w:before="0" w:after="0"/>
              <w:jc w:val="center"/>
              <w:rPr>
                <w:rFonts w:asciiTheme="majorBidi" w:hAnsiTheme="majorBidi" w:cstheme="majorBidi"/>
                <w:sz w:val="21"/>
                <w:szCs w:val="21"/>
              </w:rPr>
            </w:pPr>
            <w:r w:rsidRPr="007F4C68">
              <w:rPr>
                <w:rFonts w:asciiTheme="majorBidi" w:hAnsiTheme="majorBidi" w:cstheme="majorBidi"/>
                <w:sz w:val="21"/>
              </w:rPr>
              <w:t>CEO and Vice Chairman of the Board of Directors</w:t>
            </w:r>
          </w:p>
        </w:tc>
        <w:tc>
          <w:tcPr>
            <w:tcW w:w="240" w:type="dxa"/>
            <w:tcBorders>
              <w:top w:val="nil"/>
              <w:left w:val="nil"/>
              <w:bottom w:val="nil"/>
              <w:right w:val="nil"/>
            </w:tcBorders>
          </w:tcPr>
          <w:p w14:paraId="00B6DEA0" w14:textId="77777777" w:rsidR="007F4C68" w:rsidRPr="007F4C68" w:rsidRDefault="007F4C68" w:rsidP="00A65A6F">
            <w:pPr>
              <w:keepNext/>
              <w:spacing w:before="0" w:after="0"/>
              <w:jc w:val="center"/>
              <w:rPr>
                <w:rFonts w:asciiTheme="majorBidi" w:hAnsiTheme="majorBidi" w:cstheme="majorBidi"/>
                <w:sz w:val="21"/>
                <w:szCs w:val="21"/>
                <w:rtl/>
              </w:rPr>
            </w:pPr>
          </w:p>
        </w:tc>
        <w:tc>
          <w:tcPr>
            <w:tcW w:w="2308" w:type="dxa"/>
            <w:tcBorders>
              <w:top w:val="single" w:sz="4" w:space="0" w:color="auto"/>
              <w:left w:val="nil"/>
              <w:bottom w:val="nil"/>
              <w:right w:val="nil"/>
            </w:tcBorders>
          </w:tcPr>
          <w:p w14:paraId="028740F3" w14:textId="77777777" w:rsidR="007F4C68" w:rsidRPr="007F4C68" w:rsidRDefault="007F4C68" w:rsidP="00A65A6F">
            <w:pPr>
              <w:keepNext/>
              <w:spacing w:before="0" w:after="0"/>
              <w:jc w:val="center"/>
              <w:rPr>
                <w:rFonts w:asciiTheme="majorBidi" w:hAnsiTheme="majorBidi" w:cstheme="majorBidi"/>
                <w:sz w:val="21"/>
                <w:szCs w:val="21"/>
              </w:rPr>
            </w:pPr>
            <w:r w:rsidRPr="007F4C68">
              <w:rPr>
                <w:rFonts w:asciiTheme="majorBidi" w:hAnsiTheme="majorBidi" w:cstheme="majorBidi"/>
                <w:sz w:val="21"/>
              </w:rPr>
              <w:t>Gil Kotler</w:t>
            </w:r>
          </w:p>
          <w:p w14:paraId="19D34CD3" w14:textId="77777777" w:rsidR="007F4C68" w:rsidRPr="007F4C68" w:rsidRDefault="007F4C68" w:rsidP="00A65A6F">
            <w:pPr>
              <w:keepNext/>
              <w:spacing w:before="0" w:after="0"/>
              <w:jc w:val="center"/>
              <w:rPr>
                <w:rFonts w:asciiTheme="majorBidi" w:hAnsiTheme="majorBidi" w:cstheme="majorBidi"/>
                <w:sz w:val="21"/>
                <w:szCs w:val="21"/>
              </w:rPr>
            </w:pPr>
            <w:r w:rsidRPr="007F4C68">
              <w:rPr>
                <w:rFonts w:asciiTheme="majorBidi" w:hAnsiTheme="majorBidi" w:cstheme="majorBidi"/>
                <w:sz w:val="21"/>
              </w:rPr>
              <w:t>CFO</w:t>
            </w:r>
          </w:p>
          <w:p w14:paraId="5A36EF83" w14:textId="77777777" w:rsidR="007F4C68" w:rsidRPr="007F4C68" w:rsidRDefault="007F4C68" w:rsidP="00A65A6F">
            <w:pPr>
              <w:keepNext/>
              <w:spacing w:before="0" w:after="0"/>
              <w:jc w:val="center"/>
              <w:rPr>
                <w:rFonts w:asciiTheme="majorBidi" w:hAnsiTheme="majorBidi" w:cstheme="majorBidi"/>
                <w:sz w:val="21"/>
                <w:szCs w:val="21"/>
                <w:rtl/>
              </w:rPr>
            </w:pPr>
          </w:p>
        </w:tc>
      </w:tr>
    </w:tbl>
    <w:p w14:paraId="7D07106C" w14:textId="77777777" w:rsidR="007F4C68" w:rsidRPr="007F4C68" w:rsidRDefault="007F4C68" w:rsidP="007F4C68">
      <w:pPr>
        <w:rPr>
          <w:rFonts w:asciiTheme="majorBidi" w:hAnsiTheme="majorBidi" w:cstheme="majorBidi"/>
          <w:vanish/>
          <w:sz w:val="21"/>
          <w:szCs w:val="21"/>
        </w:rPr>
        <w:sectPr w:rsidR="007F4C68" w:rsidRPr="007F4C68" w:rsidSect="007F4C68">
          <w:headerReference w:type="even" r:id="rId71"/>
          <w:headerReference w:type="default" r:id="rId72"/>
          <w:footerReference w:type="even" r:id="rId73"/>
          <w:footerReference w:type="default" r:id="rId74"/>
          <w:headerReference w:type="first" r:id="rId75"/>
          <w:footerReference w:type="first" r:id="rId76"/>
          <w:footnotePr>
            <w:numRestart w:val="eachPage"/>
          </w:footnotePr>
          <w:type w:val="continuous"/>
          <w:pgSz w:w="11906" w:h="16838"/>
          <w:pgMar w:top="1418" w:right="992" w:bottom="1134" w:left="992" w:header="567" w:footer="567" w:gutter="0"/>
          <w:pgBorders>
            <w:top w:val="nil"/>
            <w:left w:val="nil"/>
            <w:bottom w:val="nil"/>
            <w:right w:val="nil"/>
          </w:pgBorders>
          <w:cols w:space="720"/>
          <w:rtlGutter/>
          <w:docGrid w:linePitch="360"/>
        </w:sectPr>
      </w:pPr>
    </w:p>
    <w:p w14:paraId="130E09A1" w14:textId="77777777" w:rsidR="007F4C68" w:rsidRPr="007F4C68" w:rsidRDefault="007F4C68" w:rsidP="007F4C68">
      <w:pPr>
        <w:pageBreakBefore/>
        <w:rPr>
          <w:rFonts w:asciiTheme="majorBidi" w:hAnsiTheme="majorBidi" w:cstheme="majorBidi"/>
          <w:vanish/>
        </w:rPr>
      </w:pPr>
      <w:bookmarkStart w:id="187" w:name="RG_MARKER_56647"/>
      <w:bookmarkStart w:id="188" w:name="RG_MARKER_56595"/>
      <w:bookmarkEnd w:id="187"/>
      <w:bookmarkEnd w:id="18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7F4C68" w:rsidRPr="007F4C68" w14:paraId="498F120F" w14:textId="77777777" w:rsidTr="00A65A6F">
        <w:trPr>
          <w:cantSplit/>
        </w:trPr>
        <w:tc>
          <w:tcPr>
            <w:tcW w:w="9922" w:type="dxa"/>
          </w:tcPr>
          <w:tbl>
            <w:tblPr>
              <w:tblStyle w:val="CDMRange1"/>
              <w:tblW w:w="10206" w:type="dxa"/>
              <w:tblLook w:val="0600" w:firstRow="0" w:lastRow="0" w:firstColumn="0" w:lastColumn="0" w:noHBand="1" w:noVBand="1"/>
              <w:tblCaption w:val="Print_Area"/>
            </w:tblPr>
            <w:tblGrid>
              <w:gridCol w:w="454"/>
              <w:gridCol w:w="3498"/>
              <w:gridCol w:w="936"/>
              <w:gridCol w:w="183"/>
              <w:gridCol w:w="936"/>
              <w:gridCol w:w="183"/>
              <w:gridCol w:w="936"/>
              <w:gridCol w:w="183"/>
              <w:gridCol w:w="936"/>
              <w:gridCol w:w="183"/>
              <w:gridCol w:w="1494"/>
            </w:tblGrid>
            <w:tr w:rsidR="007F4C68" w:rsidRPr="007F4C68" w14:paraId="32A4F48A" w14:textId="77777777" w:rsidTr="00A65A6F">
              <w:trPr>
                <w:cantSplit/>
                <w:trHeight w:val="300"/>
              </w:trPr>
              <w:tc>
                <w:tcPr>
                  <w:tcW w:w="458" w:type="dxa"/>
                  <w:tcBorders>
                    <w:top w:val="nil"/>
                    <w:left w:val="nil"/>
                    <w:bottom w:val="nil"/>
                    <w:right w:val="nil"/>
                    <w:tl2br w:val="nil"/>
                    <w:tr2bl w:val="nil"/>
                  </w:tcBorders>
                  <w:shd w:val="clear" w:color="auto" w:fill="auto"/>
                  <w:noWrap/>
                  <w:tcMar>
                    <w:left w:w="0" w:type="dxa"/>
                    <w:right w:w="0" w:type="dxa"/>
                  </w:tcMar>
                  <w:vAlign w:val="bottom"/>
                </w:tcPr>
                <w:p w14:paraId="1C942BD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8" w:type="dxa"/>
                  <w:tcBorders>
                    <w:top w:val="nil"/>
                    <w:left w:val="nil"/>
                    <w:bottom w:val="nil"/>
                    <w:right w:val="nil"/>
                    <w:tl2br w:val="nil"/>
                    <w:tr2bl w:val="nil"/>
                  </w:tcBorders>
                  <w:shd w:val="clear" w:color="auto" w:fill="auto"/>
                  <w:noWrap/>
                  <w:tcMar>
                    <w:left w:w="0" w:type="dxa"/>
                    <w:right w:w="0" w:type="dxa"/>
                  </w:tcMar>
                  <w:vAlign w:val="bottom"/>
                </w:tcPr>
                <w:p w14:paraId="7B62ECC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1D23BE4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0" w:type="dxa"/>
                  </w:tcMar>
                  <w:vAlign w:val="bottom"/>
                </w:tcPr>
                <w:p w14:paraId="7F46A39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3FEF23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0" w:type="dxa"/>
                  </w:tcMar>
                  <w:vAlign w:val="bottom"/>
                </w:tcPr>
                <w:p w14:paraId="769EBBFC"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429E9F7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tcMar>
                    <w:left w:w="0" w:type="dxa"/>
                    <w:right w:w="0" w:type="dxa"/>
                  </w:tcMar>
                  <w:vAlign w:val="bottom"/>
                </w:tcPr>
                <w:p w14:paraId="5A5982C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36FC1777"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tcMar>
                    <w:left w:w="0" w:type="dxa"/>
                    <w:right w:w="0" w:type="dxa"/>
                  </w:tcMar>
                  <w:vAlign w:val="bottom"/>
                </w:tcPr>
                <w:p w14:paraId="001D090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550" w:type="dxa"/>
                  <w:tcBorders>
                    <w:top w:val="nil"/>
                    <w:left w:val="nil"/>
                    <w:bottom w:val="nil"/>
                    <w:right w:val="nil"/>
                    <w:tl2br w:val="nil"/>
                    <w:tr2bl w:val="nil"/>
                  </w:tcBorders>
                  <w:shd w:val="clear" w:color="auto" w:fill="auto"/>
                  <w:tcMar>
                    <w:left w:w="0" w:type="dxa"/>
                    <w:right w:w="0" w:type="dxa"/>
                  </w:tcMar>
                  <w:vAlign w:val="bottom"/>
                </w:tcPr>
                <w:p w14:paraId="74EFE805" w14:textId="77777777" w:rsidR="007F4C68" w:rsidRPr="007F4C68" w:rsidRDefault="007F4C68" w:rsidP="00A65A6F">
                  <w:pPr>
                    <w:keepNext/>
                    <w:spacing w:before="0" w:after="0"/>
                    <w:jc w:val="center"/>
                    <w:rPr>
                      <w:rFonts w:asciiTheme="majorBidi" w:eastAsia="Ploni ML Medium AAA Medium" w:hAnsiTheme="majorBidi" w:cstheme="majorBidi"/>
                      <w:b/>
                      <w:color w:val="000000"/>
                      <w:sz w:val="21"/>
                    </w:rPr>
                  </w:pPr>
                </w:p>
              </w:tc>
            </w:tr>
            <w:tr w:rsidR="007F4C68" w:rsidRPr="007F4C68" w14:paraId="5BDCD9C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58" w:type="dxa"/>
                  <w:tcBorders>
                    <w:top w:val="nil"/>
                    <w:left w:val="nil"/>
                    <w:bottom w:val="nil"/>
                    <w:right w:val="nil"/>
                    <w:tl2br w:val="nil"/>
                    <w:tr2bl w:val="nil"/>
                  </w:tcBorders>
                  <w:shd w:val="clear" w:color="auto" w:fill="auto"/>
                  <w:noWrap/>
                  <w:tcMar>
                    <w:left w:w="0" w:type="dxa"/>
                    <w:right w:w="0" w:type="dxa"/>
                  </w:tcMar>
                  <w:vAlign w:val="bottom"/>
                </w:tcPr>
                <w:p w14:paraId="7D46299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8" w:type="dxa"/>
                  <w:tcBorders>
                    <w:top w:val="nil"/>
                    <w:left w:val="nil"/>
                    <w:bottom w:val="nil"/>
                    <w:right w:val="nil"/>
                    <w:tl2br w:val="nil"/>
                    <w:tr2bl w:val="nil"/>
                  </w:tcBorders>
                  <w:shd w:val="clear" w:color="auto" w:fill="auto"/>
                  <w:noWrap/>
                  <w:tcMar>
                    <w:left w:w="0" w:type="dxa"/>
                    <w:right w:w="0" w:type="dxa"/>
                  </w:tcMar>
                  <w:vAlign w:val="bottom"/>
                </w:tcPr>
                <w:p w14:paraId="07B5C54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090"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635DAC06"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 xml:space="preserve">Six months ended </w:t>
                  </w:r>
                </w:p>
                <w:p w14:paraId="1B9D58B8"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June 30</w:t>
                  </w:r>
                </w:p>
              </w:tc>
              <w:tc>
                <w:tcPr>
                  <w:tcW w:w="170" w:type="dxa"/>
                  <w:tcBorders>
                    <w:top w:val="nil"/>
                    <w:left w:val="nil"/>
                    <w:bottom w:val="nil"/>
                    <w:right w:val="nil"/>
                    <w:tl2br w:val="nil"/>
                    <w:tr2bl w:val="nil"/>
                  </w:tcBorders>
                  <w:shd w:val="clear" w:color="auto" w:fill="auto"/>
                  <w:noWrap/>
                  <w:tcMar>
                    <w:left w:w="0" w:type="dxa"/>
                    <w:right w:w="0" w:type="dxa"/>
                  </w:tcMar>
                  <w:vAlign w:val="bottom"/>
                </w:tcPr>
                <w:p w14:paraId="7E614BF4"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2090"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75ABC9EC"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 xml:space="preserve">Three months ended </w:t>
                  </w:r>
                </w:p>
                <w:p w14:paraId="5A6E4D5B"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June 30</w:t>
                  </w:r>
                </w:p>
              </w:tc>
              <w:tc>
                <w:tcPr>
                  <w:tcW w:w="170" w:type="dxa"/>
                  <w:tcBorders>
                    <w:top w:val="nil"/>
                    <w:left w:val="nil"/>
                    <w:bottom w:val="nil"/>
                    <w:right w:val="nil"/>
                    <w:tl2br w:val="nil"/>
                    <w:tr2bl w:val="nil"/>
                  </w:tcBorders>
                  <w:shd w:val="clear" w:color="auto" w:fill="auto"/>
                  <w:tcMar>
                    <w:left w:w="0" w:type="dxa"/>
                    <w:right w:w="0" w:type="dxa"/>
                  </w:tcMar>
                  <w:vAlign w:val="bottom"/>
                </w:tcPr>
                <w:p w14:paraId="549A882E" w14:textId="77777777" w:rsidR="007F4C68" w:rsidRPr="007F4C68" w:rsidRDefault="007F4C68" w:rsidP="00A65A6F">
                  <w:pPr>
                    <w:keepNext/>
                    <w:spacing w:before="0" w:after="0"/>
                    <w:jc w:val="left"/>
                    <w:rPr>
                      <w:rFonts w:asciiTheme="majorBidi" w:eastAsia="Ploni ML Medium AAA Medium" w:hAnsiTheme="majorBidi" w:cstheme="majorBidi"/>
                      <w:b/>
                      <w:color w:val="000000"/>
                    </w:rPr>
                  </w:pPr>
                </w:p>
              </w:tc>
              <w:tc>
                <w:tcPr>
                  <w:tcW w:w="1550" w:type="dxa"/>
                  <w:tcBorders>
                    <w:top w:val="nil"/>
                    <w:left w:val="nil"/>
                    <w:bottom w:val="nil"/>
                    <w:right w:val="nil"/>
                    <w:tl2br w:val="nil"/>
                    <w:tr2bl w:val="nil"/>
                  </w:tcBorders>
                  <w:shd w:val="clear" w:color="auto" w:fill="auto"/>
                  <w:tcMar>
                    <w:left w:w="40" w:type="dxa"/>
                    <w:right w:w="40" w:type="dxa"/>
                  </w:tcMar>
                  <w:vAlign w:val="bottom"/>
                </w:tcPr>
                <w:p w14:paraId="47672AAC"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Year ended December 31</w:t>
                  </w:r>
                </w:p>
              </w:tc>
            </w:tr>
            <w:tr w:rsidR="007F4C68" w:rsidRPr="007F4C68" w14:paraId="62BACBD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58" w:type="dxa"/>
                  <w:tcBorders>
                    <w:top w:val="nil"/>
                    <w:left w:val="nil"/>
                    <w:bottom w:val="nil"/>
                    <w:right w:val="nil"/>
                    <w:tl2br w:val="nil"/>
                    <w:tr2bl w:val="nil"/>
                  </w:tcBorders>
                  <w:shd w:val="clear" w:color="auto" w:fill="auto"/>
                  <w:noWrap/>
                  <w:tcMar>
                    <w:left w:w="0" w:type="dxa"/>
                    <w:right w:w="0" w:type="dxa"/>
                  </w:tcMar>
                  <w:vAlign w:val="bottom"/>
                </w:tcPr>
                <w:p w14:paraId="429BAA9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8" w:type="dxa"/>
                  <w:tcBorders>
                    <w:top w:val="nil"/>
                    <w:left w:val="nil"/>
                    <w:bottom w:val="nil"/>
                    <w:right w:val="nil"/>
                    <w:tl2br w:val="nil"/>
                    <w:tr2bl w:val="nil"/>
                  </w:tcBorders>
                  <w:shd w:val="clear" w:color="auto" w:fill="auto"/>
                  <w:noWrap/>
                  <w:tcMar>
                    <w:left w:w="0" w:type="dxa"/>
                    <w:right w:w="0" w:type="dxa"/>
                  </w:tcMar>
                  <w:vAlign w:val="bottom"/>
                </w:tcPr>
                <w:p w14:paraId="68EB5F8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8BBC81C"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2024</w:t>
                  </w:r>
                </w:p>
              </w:tc>
              <w:tc>
                <w:tcPr>
                  <w:tcW w:w="1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F89165"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8EEA483"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c>
                <w:tcPr>
                  <w:tcW w:w="170" w:type="dxa"/>
                  <w:tcBorders>
                    <w:top w:val="nil"/>
                    <w:left w:val="nil"/>
                    <w:bottom w:val="nil"/>
                    <w:right w:val="nil"/>
                    <w:tl2br w:val="nil"/>
                    <w:tr2bl w:val="nil"/>
                  </w:tcBorders>
                  <w:shd w:val="clear" w:color="auto" w:fill="auto"/>
                  <w:noWrap/>
                  <w:tcMar>
                    <w:left w:w="0" w:type="dxa"/>
                    <w:right w:w="0" w:type="dxa"/>
                  </w:tcMar>
                  <w:vAlign w:val="bottom"/>
                </w:tcPr>
                <w:p w14:paraId="062A00BF"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46B59FC"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2024</w:t>
                  </w:r>
                </w:p>
              </w:tc>
              <w:tc>
                <w:tcPr>
                  <w:tcW w:w="1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67CDAB"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A4A1102"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c>
                <w:tcPr>
                  <w:tcW w:w="170" w:type="dxa"/>
                  <w:tcBorders>
                    <w:top w:val="nil"/>
                    <w:left w:val="nil"/>
                    <w:bottom w:val="nil"/>
                    <w:right w:val="nil"/>
                    <w:tl2br w:val="nil"/>
                    <w:tr2bl w:val="nil"/>
                  </w:tcBorders>
                  <w:shd w:val="clear" w:color="auto" w:fill="auto"/>
                  <w:noWrap/>
                  <w:tcMar>
                    <w:left w:w="0" w:type="dxa"/>
                    <w:right w:w="0" w:type="dxa"/>
                  </w:tcMar>
                  <w:vAlign w:val="bottom"/>
                </w:tcPr>
                <w:p w14:paraId="767B452D"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5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219CC2D"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r>
            <w:tr w:rsidR="007F4C68" w:rsidRPr="007F4C68" w14:paraId="5FEFAB6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58" w:type="dxa"/>
                  <w:tcBorders>
                    <w:top w:val="nil"/>
                    <w:left w:val="nil"/>
                    <w:bottom w:val="nil"/>
                    <w:right w:val="nil"/>
                    <w:tl2br w:val="nil"/>
                    <w:tr2bl w:val="nil"/>
                  </w:tcBorders>
                  <w:shd w:val="clear" w:color="auto" w:fill="auto"/>
                  <w:noWrap/>
                  <w:tcMar>
                    <w:left w:w="0" w:type="dxa"/>
                    <w:right w:w="0" w:type="dxa"/>
                  </w:tcMar>
                  <w:vAlign w:val="bottom"/>
                </w:tcPr>
                <w:p w14:paraId="332BBE5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8" w:type="dxa"/>
                  <w:tcBorders>
                    <w:top w:val="nil"/>
                    <w:left w:val="nil"/>
                    <w:bottom w:val="nil"/>
                    <w:right w:val="nil"/>
                    <w:tl2br w:val="nil"/>
                    <w:tr2bl w:val="nil"/>
                  </w:tcBorders>
                  <w:shd w:val="clear" w:color="auto" w:fill="auto"/>
                  <w:noWrap/>
                  <w:tcMar>
                    <w:left w:w="0" w:type="dxa"/>
                    <w:right w:w="0" w:type="dxa"/>
                  </w:tcMar>
                  <w:vAlign w:val="bottom"/>
                </w:tcPr>
                <w:p w14:paraId="30310BE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09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64A1AA80"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Unaudited</w:t>
                  </w:r>
                </w:p>
              </w:tc>
              <w:tc>
                <w:tcPr>
                  <w:tcW w:w="170" w:type="dxa"/>
                  <w:tcBorders>
                    <w:top w:val="nil"/>
                    <w:left w:val="nil"/>
                    <w:bottom w:val="nil"/>
                    <w:right w:val="nil"/>
                    <w:tl2br w:val="nil"/>
                    <w:tr2bl w:val="nil"/>
                  </w:tcBorders>
                  <w:shd w:val="clear" w:color="auto" w:fill="auto"/>
                  <w:noWrap/>
                  <w:tcMar>
                    <w:left w:w="0" w:type="dxa"/>
                    <w:right w:w="0" w:type="dxa"/>
                  </w:tcMar>
                  <w:vAlign w:val="bottom"/>
                </w:tcPr>
                <w:p w14:paraId="2916E2B1"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209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6E03733E"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Unaudited</w:t>
                  </w:r>
                </w:p>
              </w:tc>
              <w:tc>
                <w:tcPr>
                  <w:tcW w:w="170" w:type="dxa"/>
                  <w:tcBorders>
                    <w:top w:val="nil"/>
                    <w:left w:val="nil"/>
                    <w:bottom w:val="nil"/>
                    <w:right w:val="nil"/>
                    <w:tl2br w:val="nil"/>
                    <w:tr2bl w:val="nil"/>
                  </w:tcBorders>
                  <w:shd w:val="clear" w:color="auto" w:fill="auto"/>
                  <w:noWrap/>
                  <w:tcMar>
                    <w:left w:w="0" w:type="dxa"/>
                    <w:right w:w="0" w:type="dxa"/>
                  </w:tcMar>
                  <w:vAlign w:val="bottom"/>
                </w:tcPr>
                <w:p w14:paraId="156914A7" w14:textId="77777777" w:rsidR="007F4C68" w:rsidRPr="007F4C68" w:rsidRDefault="007F4C68" w:rsidP="00A65A6F">
                  <w:pPr>
                    <w:keepNext/>
                    <w:spacing w:before="0" w:after="0"/>
                    <w:jc w:val="left"/>
                    <w:rPr>
                      <w:rFonts w:asciiTheme="majorBidi" w:eastAsia="Ploni ML Medium AAA Medium" w:hAnsiTheme="majorBidi" w:cstheme="majorBidi"/>
                      <w:b/>
                      <w:color w:val="000000"/>
                    </w:rPr>
                  </w:pPr>
                </w:p>
              </w:tc>
              <w:tc>
                <w:tcPr>
                  <w:tcW w:w="15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B49F958"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Audited</w:t>
                  </w:r>
                </w:p>
              </w:tc>
            </w:tr>
            <w:tr w:rsidR="007F4C68" w:rsidRPr="007F4C68" w14:paraId="66AD4FB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58" w:type="dxa"/>
                  <w:tcBorders>
                    <w:top w:val="nil"/>
                    <w:left w:val="nil"/>
                    <w:bottom w:val="nil"/>
                    <w:right w:val="nil"/>
                    <w:tl2br w:val="nil"/>
                    <w:tr2bl w:val="nil"/>
                  </w:tcBorders>
                  <w:shd w:val="clear" w:color="auto" w:fill="auto"/>
                  <w:noWrap/>
                  <w:tcMar>
                    <w:left w:w="0" w:type="dxa"/>
                    <w:right w:w="0" w:type="dxa"/>
                  </w:tcMar>
                  <w:vAlign w:val="bottom"/>
                </w:tcPr>
                <w:p w14:paraId="088EF01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8" w:type="dxa"/>
                  <w:tcBorders>
                    <w:top w:val="nil"/>
                    <w:left w:val="nil"/>
                    <w:bottom w:val="nil"/>
                    <w:right w:val="nil"/>
                    <w:tl2br w:val="nil"/>
                    <w:tr2bl w:val="nil"/>
                  </w:tcBorders>
                  <w:shd w:val="clear" w:color="auto" w:fill="auto"/>
                  <w:noWrap/>
                  <w:tcMar>
                    <w:left w:w="0" w:type="dxa"/>
                    <w:right w:w="0" w:type="dxa"/>
                  </w:tcMar>
                  <w:vAlign w:val="bottom"/>
                </w:tcPr>
                <w:p w14:paraId="6E9CCD1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6070" w:type="dxa"/>
                  <w:gridSpan w:val="9"/>
                  <w:tcBorders>
                    <w:top w:val="nil"/>
                    <w:left w:val="nil"/>
                    <w:bottom w:val="single" w:sz="4" w:space="0" w:color="000000"/>
                    <w:right w:val="nil"/>
                    <w:tl2br w:val="nil"/>
                    <w:tr2bl w:val="nil"/>
                  </w:tcBorders>
                  <w:shd w:val="clear" w:color="auto" w:fill="auto"/>
                  <w:noWrap/>
                  <w:tcMar>
                    <w:left w:w="40" w:type="dxa"/>
                    <w:right w:w="40" w:type="dxa"/>
                  </w:tcMar>
                  <w:vAlign w:val="bottom"/>
                </w:tcPr>
                <w:p w14:paraId="1074AA13"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NIS million</w:t>
                  </w:r>
                </w:p>
              </w:tc>
            </w:tr>
            <w:tr w:rsidR="007F4C68" w:rsidRPr="007F4C68" w14:paraId="0B78822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36" w:type="dxa"/>
                  <w:gridSpan w:val="2"/>
                  <w:tcBorders>
                    <w:top w:val="nil"/>
                    <w:left w:val="nil"/>
                    <w:bottom w:val="nil"/>
                    <w:right w:val="nil"/>
                    <w:tl2br w:val="nil"/>
                    <w:tr2bl w:val="nil"/>
                  </w:tcBorders>
                  <w:shd w:val="clear" w:color="auto" w:fill="auto"/>
                  <w:noWrap/>
                  <w:tcMar>
                    <w:left w:w="40" w:type="dxa"/>
                    <w:right w:w="40" w:type="dxa"/>
                  </w:tcMar>
                  <w:vAlign w:val="bottom"/>
                </w:tcPr>
                <w:p w14:paraId="21D86E9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Rental and other income</w:t>
                  </w:r>
                </w:p>
              </w:tc>
              <w:tc>
                <w:tcPr>
                  <w:tcW w:w="96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0717261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173</w:t>
                  </w:r>
                </w:p>
              </w:tc>
              <w:tc>
                <w:tcPr>
                  <w:tcW w:w="17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E1C2F2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3A49778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137</w:t>
                  </w:r>
                </w:p>
              </w:tc>
              <w:tc>
                <w:tcPr>
                  <w:tcW w:w="17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F7B751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2E49028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89</w:t>
                  </w:r>
                </w:p>
              </w:tc>
              <w:tc>
                <w:tcPr>
                  <w:tcW w:w="17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1F1B2F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706C0FC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66</w:t>
                  </w:r>
                </w:p>
              </w:tc>
              <w:tc>
                <w:tcPr>
                  <w:tcW w:w="17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CA6929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single" w:sz="4" w:space="0" w:color="000000"/>
                    <w:left w:val="nil"/>
                    <w:bottom w:val="nil"/>
                    <w:right w:val="nil"/>
                    <w:tl2br w:val="nil"/>
                    <w:tr2bl w:val="nil"/>
                  </w:tcBorders>
                  <w:shd w:val="clear" w:color="auto" w:fill="auto"/>
                  <w:noWrap/>
                  <w:tcMar>
                    <w:left w:w="40" w:type="dxa"/>
                    <w:right w:w="175" w:type="dxa"/>
                  </w:tcMar>
                  <w:vAlign w:val="bottom"/>
                </w:tcPr>
                <w:p w14:paraId="1D52C5B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304</w:t>
                  </w:r>
                </w:p>
              </w:tc>
            </w:tr>
            <w:tr w:rsidR="007F4C68" w:rsidRPr="007F4C68" w14:paraId="0B0F89C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36" w:type="dxa"/>
                  <w:gridSpan w:val="2"/>
                  <w:tcBorders>
                    <w:top w:val="nil"/>
                    <w:left w:val="nil"/>
                    <w:bottom w:val="nil"/>
                    <w:right w:val="nil"/>
                    <w:tl2br w:val="nil"/>
                    <w:tr2bl w:val="nil"/>
                  </w:tcBorders>
                  <w:shd w:val="clear" w:color="auto" w:fill="auto"/>
                  <w:noWrap/>
                  <w:tcMar>
                    <w:left w:w="40" w:type="dxa"/>
                    <w:right w:w="40" w:type="dxa"/>
                  </w:tcMar>
                  <w:vAlign w:val="bottom"/>
                </w:tcPr>
                <w:p w14:paraId="29260F9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Net operating rental income</w:t>
                  </w:r>
                </w:p>
              </w:tc>
              <w:tc>
                <w:tcPr>
                  <w:tcW w:w="9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4313CF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55</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5FFCCE8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08B37F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34</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77EE669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FE30F6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28</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14D3496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08B48E0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16</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11B860B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962B6E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106</w:t>
                  </w:r>
                </w:p>
              </w:tc>
            </w:tr>
            <w:tr w:rsidR="007F4C68" w:rsidRPr="007F4C68" w14:paraId="1869112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58" w:type="dxa"/>
                  <w:tcBorders>
                    <w:top w:val="nil"/>
                    <w:left w:val="nil"/>
                    <w:bottom w:val="nil"/>
                    <w:right w:val="nil"/>
                    <w:tl2br w:val="nil"/>
                    <w:tr2bl w:val="nil"/>
                  </w:tcBorders>
                  <w:shd w:val="clear" w:color="auto" w:fill="auto"/>
                  <w:noWrap/>
                  <w:tcMar>
                    <w:left w:w="0" w:type="dxa"/>
                    <w:right w:w="0" w:type="dxa"/>
                  </w:tcMar>
                  <w:vAlign w:val="bottom"/>
                </w:tcPr>
                <w:p w14:paraId="6E2519D7"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8" w:type="dxa"/>
                  <w:tcBorders>
                    <w:top w:val="nil"/>
                    <w:left w:val="nil"/>
                    <w:bottom w:val="nil"/>
                    <w:right w:val="nil"/>
                    <w:tl2br w:val="nil"/>
                    <w:tr2bl w:val="nil"/>
                  </w:tcBorders>
                  <w:shd w:val="clear" w:color="auto" w:fill="auto"/>
                  <w:noWrap/>
                  <w:tcMar>
                    <w:left w:w="0" w:type="dxa"/>
                    <w:right w:w="0" w:type="dxa"/>
                  </w:tcMar>
                  <w:vAlign w:val="bottom"/>
                </w:tcPr>
                <w:p w14:paraId="205D2DB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1AE980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120AE4E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6FCAA7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66247FA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14317F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5FC46B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A30987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1556E95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242D16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2C40358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36" w:type="dxa"/>
                  <w:gridSpan w:val="2"/>
                  <w:tcBorders>
                    <w:top w:val="nil"/>
                    <w:left w:val="nil"/>
                    <w:bottom w:val="nil"/>
                    <w:right w:val="nil"/>
                    <w:tl2br w:val="nil"/>
                    <w:tr2bl w:val="nil"/>
                  </w:tcBorders>
                  <w:shd w:val="clear" w:color="auto" w:fill="auto"/>
                  <w:noWrap/>
                  <w:tcMar>
                    <w:left w:w="40" w:type="dxa"/>
                    <w:right w:w="40" w:type="dxa"/>
                  </w:tcMar>
                  <w:vAlign w:val="bottom"/>
                </w:tcPr>
                <w:p w14:paraId="11C2B9E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Operating income, net</w:t>
                  </w: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76621B5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118</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CBEFB2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35B68D7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103</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375EF1B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506AE1C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61</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F63636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12E972C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50</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0E45E7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nil"/>
                    <w:right w:val="nil"/>
                    <w:tl2br w:val="nil"/>
                    <w:tr2bl w:val="nil"/>
                  </w:tcBorders>
                  <w:shd w:val="clear" w:color="auto" w:fill="auto"/>
                  <w:noWrap/>
                  <w:tcMar>
                    <w:left w:w="40" w:type="dxa"/>
                    <w:right w:w="175" w:type="dxa"/>
                  </w:tcMar>
                  <w:vAlign w:val="bottom"/>
                </w:tcPr>
                <w:p w14:paraId="7409850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198</w:t>
                  </w:r>
                </w:p>
              </w:tc>
            </w:tr>
            <w:tr w:rsidR="007F4C68" w:rsidRPr="007F4C68" w14:paraId="29A2F5C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58" w:type="dxa"/>
                  <w:tcBorders>
                    <w:top w:val="nil"/>
                    <w:left w:val="nil"/>
                    <w:bottom w:val="nil"/>
                    <w:right w:val="nil"/>
                    <w:tl2br w:val="nil"/>
                    <w:tr2bl w:val="nil"/>
                  </w:tcBorders>
                  <w:shd w:val="clear" w:color="auto" w:fill="auto"/>
                  <w:noWrap/>
                  <w:tcMar>
                    <w:left w:w="0" w:type="dxa"/>
                    <w:right w:w="0" w:type="dxa"/>
                  </w:tcMar>
                  <w:vAlign w:val="bottom"/>
                </w:tcPr>
                <w:p w14:paraId="3653596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8" w:type="dxa"/>
                  <w:tcBorders>
                    <w:top w:val="nil"/>
                    <w:left w:val="nil"/>
                    <w:bottom w:val="nil"/>
                    <w:right w:val="nil"/>
                    <w:tl2br w:val="nil"/>
                    <w:tr2bl w:val="nil"/>
                  </w:tcBorders>
                  <w:shd w:val="clear" w:color="auto" w:fill="auto"/>
                  <w:noWrap/>
                  <w:tcMar>
                    <w:left w:w="0" w:type="dxa"/>
                    <w:right w:w="0" w:type="dxa"/>
                  </w:tcMar>
                  <w:vAlign w:val="bottom"/>
                </w:tcPr>
                <w:p w14:paraId="369AD0C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135" w:type="dxa"/>
                  </w:tcMar>
                  <w:vAlign w:val="bottom"/>
                </w:tcPr>
                <w:p w14:paraId="6C48AA9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3AC4B76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135" w:type="dxa"/>
                  </w:tcMar>
                  <w:vAlign w:val="bottom"/>
                </w:tcPr>
                <w:p w14:paraId="27BC906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07FCC32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135" w:type="dxa"/>
                  </w:tcMar>
                  <w:vAlign w:val="bottom"/>
                </w:tcPr>
                <w:p w14:paraId="06D7225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064DD49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135" w:type="dxa"/>
                  </w:tcMar>
                  <w:vAlign w:val="bottom"/>
                </w:tcPr>
                <w:p w14:paraId="72E0EB3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39AD42D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nil"/>
                    <w:right w:val="nil"/>
                    <w:tl2br w:val="nil"/>
                    <w:tr2bl w:val="nil"/>
                  </w:tcBorders>
                  <w:shd w:val="clear" w:color="auto" w:fill="auto"/>
                  <w:noWrap/>
                  <w:tcMar>
                    <w:left w:w="0" w:type="dxa"/>
                    <w:right w:w="135" w:type="dxa"/>
                  </w:tcMar>
                  <w:vAlign w:val="bottom"/>
                </w:tcPr>
                <w:p w14:paraId="46EA67F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40072EE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36" w:type="dxa"/>
                  <w:gridSpan w:val="2"/>
                  <w:tcBorders>
                    <w:top w:val="nil"/>
                    <w:left w:val="nil"/>
                    <w:bottom w:val="nil"/>
                    <w:right w:val="nil"/>
                    <w:tl2br w:val="nil"/>
                    <w:tr2bl w:val="nil"/>
                  </w:tcBorders>
                  <w:shd w:val="clear" w:color="auto" w:fill="auto"/>
                  <w:tcMar>
                    <w:left w:w="40" w:type="dxa"/>
                    <w:right w:w="40" w:type="dxa"/>
                  </w:tcMar>
                  <w:vAlign w:val="bottom"/>
                </w:tcPr>
                <w:p w14:paraId="149B4054" w14:textId="2DAC11E0" w:rsidR="007F4C68" w:rsidRPr="007F4C68" w:rsidRDefault="007F4C68" w:rsidP="006C4351">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Appreciation (impairment) of investment property and investment property under development, net</w:t>
                  </w: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22FF866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54</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3FD3AD2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36A6908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F0453D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5410C75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61</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2BCB1A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3BF7DAA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10</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E8B74E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nil"/>
                    <w:right w:val="nil"/>
                    <w:tl2br w:val="nil"/>
                    <w:tr2bl w:val="nil"/>
                  </w:tcBorders>
                  <w:shd w:val="clear" w:color="auto" w:fill="auto"/>
                  <w:noWrap/>
                  <w:tcMar>
                    <w:left w:w="40" w:type="dxa"/>
                    <w:right w:w="175" w:type="dxa"/>
                  </w:tcMar>
                  <w:vAlign w:val="bottom"/>
                </w:tcPr>
                <w:p w14:paraId="3711C6D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(137)</w:t>
                  </w:r>
                </w:p>
              </w:tc>
            </w:tr>
            <w:tr w:rsidR="007F4C68" w:rsidRPr="007F4C68" w14:paraId="571EF53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36" w:type="dxa"/>
                  <w:gridSpan w:val="2"/>
                  <w:tcBorders>
                    <w:top w:val="nil"/>
                    <w:left w:val="nil"/>
                    <w:bottom w:val="nil"/>
                    <w:right w:val="nil"/>
                    <w:tl2br w:val="nil"/>
                    <w:tr2bl w:val="nil"/>
                  </w:tcBorders>
                  <w:shd w:val="clear" w:color="auto" w:fill="auto"/>
                  <w:noWrap/>
                  <w:tcMar>
                    <w:left w:w="40" w:type="dxa"/>
                    <w:right w:w="40" w:type="dxa"/>
                  </w:tcMar>
                  <w:vAlign w:val="bottom"/>
                </w:tcPr>
                <w:p w14:paraId="6E9E4DB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General and administrative expenses</w:t>
                  </w: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4A187FD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(27)</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8ECEF1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249DF21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(29)</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5A5E46C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6DCE575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(13)</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1FF9D25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4E081C5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(14)</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83323C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nil"/>
                    <w:right w:val="nil"/>
                    <w:tl2br w:val="nil"/>
                    <w:tr2bl w:val="nil"/>
                  </w:tcBorders>
                  <w:shd w:val="clear" w:color="auto" w:fill="auto"/>
                  <w:noWrap/>
                  <w:tcMar>
                    <w:left w:w="40" w:type="dxa"/>
                    <w:right w:w="175" w:type="dxa"/>
                  </w:tcMar>
                  <w:vAlign w:val="bottom"/>
                </w:tcPr>
                <w:p w14:paraId="4CF110D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(56)</w:t>
                  </w:r>
                </w:p>
              </w:tc>
            </w:tr>
            <w:tr w:rsidR="007F4C68" w:rsidRPr="007F4C68" w14:paraId="49551C8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36" w:type="dxa"/>
                  <w:gridSpan w:val="2"/>
                  <w:tcBorders>
                    <w:top w:val="nil"/>
                    <w:left w:val="nil"/>
                    <w:bottom w:val="nil"/>
                    <w:right w:val="nil"/>
                    <w:tl2br w:val="nil"/>
                    <w:tr2bl w:val="nil"/>
                  </w:tcBorders>
                  <w:shd w:val="clear" w:color="auto" w:fill="auto"/>
                  <w:noWrap/>
                  <w:tcMar>
                    <w:left w:w="40" w:type="dxa"/>
                    <w:right w:w="40" w:type="dxa"/>
                  </w:tcMar>
                  <w:vAlign w:val="bottom"/>
                </w:tcPr>
                <w:p w14:paraId="59B34B2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Other expenses, net</w:t>
                  </w: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4E55F14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521604C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31C2849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0E663C9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032F90F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52D88C2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5886624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36753D0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nil"/>
                    <w:right w:val="nil"/>
                    <w:tl2br w:val="nil"/>
                    <w:tr2bl w:val="nil"/>
                  </w:tcBorders>
                  <w:shd w:val="clear" w:color="auto" w:fill="auto"/>
                  <w:noWrap/>
                  <w:tcMar>
                    <w:left w:w="40" w:type="dxa"/>
                    <w:right w:w="175" w:type="dxa"/>
                  </w:tcMar>
                  <w:vAlign w:val="bottom"/>
                </w:tcPr>
                <w:p w14:paraId="4AB2D2F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w:t>
                  </w:r>
                </w:p>
              </w:tc>
            </w:tr>
            <w:tr w:rsidR="007F4C68" w:rsidRPr="007F4C68" w14:paraId="201712D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36" w:type="dxa"/>
                  <w:gridSpan w:val="2"/>
                  <w:tcBorders>
                    <w:top w:val="nil"/>
                    <w:left w:val="nil"/>
                    <w:bottom w:val="nil"/>
                    <w:right w:val="nil"/>
                    <w:tl2br w:val="nil"/>
                    <w:tr2bl w:val="nil"/>
                  </w:tcBorders>
                  <w:shd w:val="clear" w:color="auto" w:fill="auto"/>
                  <w:noWrap/>
                  <w:tcMar>
                    <w:left w:w="40" w:type="dxa"/>
                    <w:right w:w="40" w:type="dxa"/>
                  </w:tcMar>
                  <w:vAlign w:val="bottom"/>
                </w:tcPr>
                <w:p w14:paraId="613396F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Management fees from related companies</w:t>
                  </w: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1332951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168E384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6912842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06642C5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4C053E6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0038A00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175F405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3C34651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nil"/>
                    <w:right w:val="nil"/>
                    <w:tl2br w:val="nil"/>
                    <w:tr2bl w:val="nil"/>
                  </w:tcBorders>
                  <w:shd w:val="clear" w:color="auto" w:fill="auto"/>
                  <w:noWrap/>
                  <w:tcMar>
                    <w:left w:w="40" w:type="dxa"/>
                    <w:right w:w="175" w:type="dxa"/>
                  </w:tcMar>
                  <w:vAlign w:val="bottom"/>
                </w:tcPr>
                <w:p w14:paraId="4116BB2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w:t>
                  </w:r>
                </w:p>
              </w:tc>
            </w:tr>
            <w:tr w:rsidR="007F4C68" w:rsidRPr="007F4C68" w14:paraId="7F5A9BD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36" w:type="dxa"/>
                  <w:gridSpan w:val="2"/>
                  <w:tcBorders>
                    <w:top w:val="nil"/>
                    <w:left w:val="nil"/>
                    <w:bottom w:val="nil"/>
                    <w:right w:val="nil"/>
                    <w:tl2br w:val="nil"/>
                    <w:tr2bl w:val="nil"/>
                  </w:tcBorders>
                  <w:shd w:val="clear" w:color="auto" w:fill="auto"/>
                  <w:noWrap/>
                  <w:tcMar>
                    <w:left w:w="40" w:type="dxa"/>
                    <w:right w:w="40" w:type="dxa"/>
                  </w:tcMar>
                  <w:vAlign w:val="bottom"/>
                </w:tcPr>
                <w:p w14:paraId="3039F6F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Income (loss) from subsidiaries, net</w:t>
                  </w:r>
                </w:p>
              </w:tc>
              <w:tc>
                <w:tcPr>
                  <w:tcW w:w="9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AC3C15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382</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02DDD4A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33378D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(149)</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38AF7AB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F04A31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376</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FF0871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97A3A0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135</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110970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47FA14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(360)</w:t>
                  </w:r>
                </w:p>
              </w:tc>
            </w:tr>
            <w:tr w:rsidR="007F4C68" w:rsidRPr="007F4C68" w14:paraId="06A7AEA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58" w:type="dxa"/>
                  <w:tcBorders>
                    <w:top w:val="nil"/>
                    <w:left w:val="nil"/>
                    <w:bottom w:val="nil"/>
                    <w:right w:val="nil"/>
                    <w:tl2br w:val="nil"/>
                    <w:tr2bl w:val="nil"/>
                  </w:tcBorders>
                  <w:shd w:val="clear" w:color="auto" w:fill="auto"/>
                  <w:noWrap/>
                  <w:tcMar>
                    <w:left w:w="0" w:type="dxa"/>
                    <w:right w:w="0" w:type="dxa"/>
                  </w:tcMar>
                  <w:vAlign w:val="bottom"/>
                </w:tcPr>
                <w:p w14:paraId="5219AE1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8" w:type="dxa"/>
                  <w:tcBorders>
                    <w:top w:val="nil"/>
                    <w:left w:val="nil"/>
                    <w:bottom w:val="nil"/>
                    <w:right w:val="nil"/>
                    <w:tl2br w:val="nil"/>
                    <w:tr2bl w:val="nil"/>
                  </w:tcBorders>
                  <w:shd w:val="clear" w:color="auto" w:fill="auto"/>
                  <w:noWrap/>
                  <w:tcMar>
                    <w:left w:w="0" w:type="dxa"/>
                    <w:right w:w="0" w:type="dxa"/>
                  </w:tcMar>
                  <w:vAlign w:val="bottom"/>
                </w:tcPr>
                <w:p w14:paraId="3E39B07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633402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37304B1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2BCA88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A9A760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2AF81E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2164E3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CC32D4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76AE094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DA8253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652013D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36" w:type="dxa"/>
                  <w:gridSpan w:val="2"/>
                  <w:tcBorders>
                    <w:top w:val="nil"/>
                    <w:left w:val="nil"/>
                    <w:bottom w:val="nil"/>
                    <w:right w:val="nil"/>
                    <w:tl2br w:val="nil"/>
                    <w:tr2bl w:val="nil"/>
                  </w:tcBorders>
                  <w:shd w:val="clear" w:color="auto" w:fill="auto"/>
                  <w:noWrap/>
                  <w:tcMar>
                    <w:left w:w="40" w:type="dxa"/>
                    <w:right w:w="40" w:type="dxa"/>
                  </w:tcMar>
                  <w:vAlign w:val="bottom"/>
                </w:tcPr>
                <w:p w14:paraId="69E32A8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Operating profit (loss)</w:t>
                  </w: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4AE4822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528</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3B61A93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2CA6ADA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(72)</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115FC7D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228342F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485</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0AD348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2FC60D3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181</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5BF5EAD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nil"/>
                    <w:right w:val="nil"/>
                    <w:tl2br w:val="nil"/>
                    <w:tr2bl w:val="nil"/>
                  </w:tcBorders>
                  <w:shd w:val="clear" w:color="auto" w:fill="auto"/>
                  <w:noWrap/>
                  <w:tcMar>
                    <w:left w:w="40" w:type="dxa"/>
                    <w:right w:w="175" w:type="dxa"/>
                  </w:tcMar>
                  <w:vAlign w:val="bottom"/>
                </w:tcPr>
                <w:p w14:paraId="043E4D1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(354)</w:t>
                  </w:r>
                </w:p>
              </w:tc>
            </w:tr>
            <w:tr w:rsidR="007F4C68" w:rsidRPr="007F4C68" w14:paraId="62EBCFA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58" w:type="dxa"/>
                  <w:tcBorders>
                    <w:top w:val="nil"/>
                    <w:left w:val="nil"/>
                    <w:bottom w:val="nil"/>
                    <w:right w:val="nil"/>
                    <w:tl2br w:val="nil"/>
                    <w:tr2bl w:val="nil"/>
                  </w:tcBorders>
                  <w:shd w:val="clear" w:color="auto" w:fill="auto"/>
                  <w:noWrap/>
                  <w:tcMar>
                    <w:left w:w="0" w:type="dxa"/>
                    <w:right w:w="0" w:type="dxa"/>
                  </w:tcMar>
                  <w:vAlign w:val="bottom"/>
                </w:tcPr>
                <w:p w14:paraId="1AA5161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8" w:type="dxa"/>
                  <w:tcBorders>
                    <w:top w:val="nil"/>
                    <w:left w:val="nil"/>
                    <w:bottom w:val="nil"/>
                    <w:right w:val="nil"/>
                    <w:tl2br w:val="nil"/>
                    <w:tr2bl w:val="nil"/>
                  </w:tcBorders>
                  <w:shd w:val="clear" w:color="auto" w:fill="auto"/>
                  <w:noWrap/>
                  <w:tcMar>
                    <w:left w:w="0" w:type="dxa"/>
                    <w:right w:w="0" w:type="dxa"/>
                  </w:tcMar>
                  <w:vAlign w:val="bottom"/>
                </w:tcPr>
                <w:p w14:paraId="4A4C352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135" w:type="dxa"/>
                  </w:tcMar>
                  <w:vAlign w:val="bottom"/>
                </w:tcPr>
                <w:p w14:paraId="68A12FF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0AB9825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135" w:type="dxa"/>
                  </w:tcMar>
                  <w:vAlign w:val="bottom"/>
                </w:tcPr>
                <w:p w14:paraId="09CA80F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38C1C45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135" w:type="dxa"/>
                  </w:tcMar>
                  <w:vAlign w:val="bottom"/>
                </w:tcPr>
                <w:p w14:paraId="7C96242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6F6EC1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135" w:type="dxa"/>
                  </w:tcMar>
                  <w:vAlign w:val="bottom"/>
                </w:tcPr>
                <w:p w14:paraId="69CC70C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6310034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nil"/>
                    <w:right w:val="nil"/>
                    <w:tl2br w:val="nil"/>
                    <w:tr2bl w:val="nil"/>
                  </w:tcBorders>
                  <w:shd w:val="clear" w:color="auto" w:fill="auto"/>
                  <w:noWrap/>
                  <w:tcMar>
                    <w:left w:w="0" w:type="dxa"/>
                    <w:right w:w="135" w:type="dxa"/>
                  </w:tcMar>
                  <w:vAlign w:val="bottom"/>
                </w:tcPr>
                <w:p w14:paraId="785B557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0AEFDE1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36" w:type="dxa"/>
                  <w:gridSpan w:val="2"/>
                  <w:tcBorders>
                    <w:top w:val="nil"/>
                    <w:left w:val="nil"/>
                    <w:bottom w:val="nil"/>
                    <w:right w:val="nil"/>
                    <w:tl2br w:val="nil"/>
                    <w:tr2bl w:val="nil"/>
                  </w:tcBorders>
                  <w:shd w:val="clear" w:color="auto" w:fill="auto"/>
                  <w:noWrap/>
                  <w:tcMar>
                    <w:left w:w="40" w:type="dxa"/>
                    <w:right w:w="40" w:type="dxa"/>
                  </w:tcMar>
                  <w:vAlign w:val="bottom"/>
                </w:tcPr>
                <w:p w14:paraId="0B898CA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Financing expenses</w:t>
                  </w: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36E51CB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(385)</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0E8A4CC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6AAF402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(462)</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603D39A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27D90CC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(242)</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4CCB79E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3511077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(256)</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6958F51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nil"/>
                    <w:right w:val="nil"/>
                    <w:tl2br w:val="nil"/>
                    <w:tr2bl w:val="nil"/>
                  </w:tcBorders>
                  <w:shd w:val="clear" w:color="auto" w:fill="auto"/>
                  <w:noWrap/>
                  <w:tcMar>
                    <w:left w:w="40" w:type="dxa"/>
                    <w:right w:w="175" w:type="dxa"/>
                  </w:tcMar>
                  <w:vAlign w:val="bottom"/>
                </w:tcPr>
                <w:p w14:paraId="14BF536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(824)</w:t>
                  </w:r>
                </w:p>
              </w:tc>
            </w:tr>
            <w:tr w:rsidR="007F4C68" w:rsidRPr="007F4C68" w14:paraId="0FBDD56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36" w:type="dxa"/>
                  <w:gridSpan w:val="2"/>
                  <w:tcBorders>
                    <w:top w:val="nil"/>
                    <w:left w:val="nil"/>
                    <w:bottom w:val="nil"/>
                    <w:right w:val="nil"/>
                    <w:tl2br w:val="nil"/>
                    <w:tr2bl w:val="nil"/>
                  </w:tcBorders>
                  <w:shd w:val="clear" w:color="auto" w:fill="auto"/>
                  <w:noWrap/>
                  <w:tcMar>
                    <w:left w:w="40" w:type="dxa"/>
                    <w:right w:w="40" w:type="dxa"/>
                  </w:tcMar>
                  <w:vAlign w:val="bottom"/>
                </w:tcPr>
                <w:p w14:paraId="2F28680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Financing income</w:t>
                  </w: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3C2CCE6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62</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1DF7462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324AD58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20</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7BEE7EF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0789012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59</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DFD022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5E48E16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52</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CFCAFB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nil"/>
                    <w:right w:val="nil"/>
                    <w:tl2br w:val="nil"/>
                    <w:tr2bl w:val="nil"/>
                  </w:tcBorders>
                  <w:shd w:val="clear" w:color="auto" w:fill="auto"/>
                  <w:noWrap/>
                  <w:tcMar>
                    <w:left w:w="40" w:type="dxa"/>
                    <w:right w:w="175" w:type="dxa"/>
                  </w:tcMar>
                  <w:vAlign w:val="bottom"/>
                </w:tcPr>
                <w:p w14:paraId="74EEFF1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43</w:t>
                  </w:r>
                </w:p>
              </w:tc>
            </w:tr>
            <w:tr w:rsidR="007F4C68" w:rsidRPr="007F4C68" w14:paraId="35DBD65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36" w:type="dxa"/>
                  <w:gridSpan w:val="2"/>
                  <w:tcBorders>
                    <w:top w:val="nil"/>
                    <w:left w:val="nil"/>
                    <w:bottom w:val="nil"/>
                    <w:right w:val="nil"/>
                    <w:tl2br w:val="nil"/>
                    <w:tr2bl w:val="nil"/>
                  </w:tcBorders>
                  <w:shd w:val="clear" w:color="auto" w:fill="auto"/>
                  <w:noWrap/>
                  <w:tcMar>
                    <w:left w:w="40" w:type="dxa"/>
                    <w:right w:w="40" w:type="dxa"/>
                  </w:tcMar>
                  <w:vAlign w:val="bottom"/>
                </w:tcPr>
                <w:p w14:paraId="00AF95A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Financing income (expenses) from subsidiaries, net</w:t>
                  </w:r>
                </w:p>
              </w:tc>
              <w:tc>
                <w:tcPr>
                  <w:tcW w:w="9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B0BD51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56</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3FFBD05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3A757DE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486B623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5AA33E9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31</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43A49DD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1D4908E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15E7ECD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D7613A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11</w:t>
                  </w:r>
                </w:p>
              </w:tc>
            </w:tr>
            <w:tr w:rsidR="007F4C68" w:rsidRPr="007F4C68" w14:paraId="6BD3C7D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58" w:type="dxa"/>
                  <w:tcBorders>
                    <w:top w:val="nil"/>
                    <w:left w:val="nil"/>
                    <w:bottom w:val="nil"/>
                    <w:right w:val="nil"/>
                    <w:tl2br w:val="nil"/>
                    <w:tr2bl w:val="nil"/>
                  </w:tcBorders>
                  <w:shd w:val="clear" w:color="auto" w:fill="auto"/>
                  <w:noWrap/>
                  <w:tcMar>
                    <w:left w:w="0" w:type="dxa"/>
                    <w:right w:w="0" w:type="dxa"/>
                  </w:tcMar>
                  <w:vAlign w:val="bottom"/>
                </w:tcPr>
                <w:p w14:paraId="4DB9983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8" w:type="dxa"/>
                  <w:tcBorders>
                    <w:top w:val="nil"/>
                    <w:left w:val="nil"/>
                    <w:bottom w:val="nil"/>
                    <w:right w:val="nil"/>
                    <w:tl2br w:val="nil"/>
                    <w:tr2bl w:val="nil"/>
                  </w:tcBorders>
                  <w:shd w:val="clear" w:color="auto" w:fill="auto"/>
                  <w:noWrap/>
                  <w:tcMar>
                    <w:left w:w="0" w:type="dxa"/>
                    <w:right w:w="0" w:type="dxa"/>
                  </w:tcMar>
                  <w:vAlign w:val="bottom"/>
                </w:tcPr>
                <w:p w14:paraId="6410ADE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EEC346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76A4650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BC4D48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6919F2D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385297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4694CFD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5F7210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04BA2DC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57A31C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5B89D41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36" w:type="dxa"/>
                  <w:gridSpan w:val="2"/>
                  <w:tcBorders>
                    <w:top w:val="nil"/>
                    <w:left w:val="nil"/>
                    <w:bottom w:val="nil"/>
                    <w:right w:val="nil"/>
                    <w:tl2br w:val="nil"/>
                    <w:tr2bl w:val="nil"/>
                  </w:tcBorders>
                  <w:shd w:val="clear" w:color="auto" w:fill="auto"/>
                  <w:noWrap/>
                  <w:tcMar>
                    <w:left w:w="40" w:type="dxa"/>
                    <w:right w:w="40" w:type="dxa"/>
                  </w:tcMar>
                  <w:vAlign w:val="bottom"/>
                </w:tcPr>
                <w:p w14:paraId="36A6D11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Income (loss) before taxes on income</w:t>
                  </w: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38AFF93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261</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51F8334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39D4208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(515)</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19EFDC6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21E7A96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333</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4F5A6E3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40" w:type="dxa"/>
                    <w:right w:w="175" w:type="dxa"/>
                  </w:tcMar>
                  <w:vAlign w:val="bottom"/>
                </w:tcPr>
                <w:p w14:paraId="5B423A3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(21)</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16C0702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nil"/>
                    <w:right w:val="nil"/>
                    <w:tl2br w:val="nil"/>
                    <w:tr2bl w:val="nil"/>
                  </w:tcBorders>
                  <w:shd w:val="clear" w:color="auto" w:fill="auto"/>
                  <w:noWrap/>
                  <w:tcMar>
                    <w:left w:w="40" w:type="dxa"/>
                    <w:right w:w="175" w:type="dxa"/>
                  </w:tcMar>
                  <w:vAlign w:val="bottom"/>
                </w:tcPr>
                <w:p w14:paraId="6F9C558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(1,124)</w:t>
                  </w:r>
                </w:p>
              </w:tc>
            </w:tr>
            <w:tr w:rsidR="007F4C68" w:rsidRPr="007F4C68" w14:paraId="411A00E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36" w:type="dxa"/>
                  <w:gridSpan w:val="2"/>
                  <w:tcBorders>
                    <w:top w:val="nil"/>
                    <w:left w:val="nil"/>
                    <w:bottom w:val="nil"/>
                    <w:right w:val="nil"/>
                    <w:tl2br w:val="nil"/>
                    <w:tr2bl w:val="nil"/>
                  </w:tcBorders>
                  <w:shd w:val="clear" w:color="auto" w:fill="auto"/>
                  <w:noWrap/>
                  <w:tcMar>
                    <w:left w:w="0" w:type="dxa"/>
                    <w:right w:w="0" w:type="dxa"/>
                  </w:tcMar>
                  <w:vAlign w:val="bottom"/>
                </w:tcPr>
                <w:p w14:paraId="519A4B1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135" w:type="dxa"/>
                  </w:tcMar>
                  <w:vAlign w:val="bottom"/>
                </w:tcPr>
                <w:p w14:paraId="273FE8A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59CC4D9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135" w:type="dxa"/>
                  </w:tcMar>
                  <w:vAlign w:val="bottom"/>
                </w:tcPr>
                <w:p w14:paraId="0DC88EC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621AB06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135" w:type="dxa"/>
                  </w:tcMar>
                  <w:vAlign w:val="bottom"/>
                </w:tcPr>
                <w:p w14:paraId="34EF25A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558472A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135" w:type="dxa"/>
                  </w:tcMar>
                  <w:vAlign w:val="bottom"/>
                </w:tcPr>
                <w:p w14:paraId="552E40B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6A76599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nil"/>
                    <w:right w:val="nil"/>
                    <w:tl2br w:val="nil"/>
                    <w:tr2bl w:val="nil"/>
                  </w:tcBorders>
                  <w:shd w:val="clear" w:color="auto" w:fill="auto"/>
                  <w:noWrap/>
                  <w:tcMar>
                    <w:left w:w="0" w:type="dxa"/>
                    <w:right w:w="135" w:type="dxa"/>
                  </w:tcMar>
                  <w:vAlign w:val="bottom"/>
                </w:tcPr>
                <w:p w14:paraId="5958DCC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2EB86B0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36" w:type="dxa"/>
                  <w:gridSpan w:val="2"/>
                  <w:tcBorders>
                    <w:top w:val="nil"/>
                    <w:left w:val="nil"/>
                    <w:bottom w:val="nil"/>
                    <w:right w:val="nil"/>
                    <w:tl2br w:val="nil"/>
                    <w:tr2bl w:val="nil"/>
                  </w:tcBorders>
                  <w:shd w:val="clear" w:color="auto" w:fill="auto"/>
                  <w:noWrap/>
                  <w:tcMar>
                    <w:left w:w="40" w:type="dxa"/>
                    <w:right w:w="40" w:type="dxa"/>
                  </w:tcMar>
                  <w:vAlign w:val="bottom"/>
                </w:tcPr>
                <w:p w14:paraId="1DA2670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Taxes on income (tax benefit)</w:t>
                  </w:r>
                </w:p>
              </w:tc>
              <w:tc>
                <w:tcPr>
                  <w:tcW w:w="9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A56623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9</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5F028B1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F9E79F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7DBA1B0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67AB9FC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3E1E679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2F79102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(18)</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526E860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single" w:sz="4" w:space="0" w:color="000000"/>
                    <w:right w:val="nil"/>
                    <w:tl2br w:val="nil"/>
                    <w:tr2bl w:val="nil"/>
                  </w:tcBorders>
                  <w:shd w:val="clear" w:color="auto" w:fill="auto"/>
                  <w:noWrap/>
                  <w:tcMar>
                    <w:left w:w="40" w:type="dxa"/>
                    <w:right w:w="175" w:type="dxa"/>
                  </w:tcMar>
                  <w:vAlign w:val="bottom"/>
                </w:tcPr>
                <w:p w14:paraId="7517D7A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79</w:t>
                  </w:r>
                </w:p>
              </w:tc>
            </w:tr>
            <w:tr w:rsidR="007F4C68" w:rsidRPr="007F4C68" w14:paraId="0ACF4BE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36" w:type="dxa"/>
                  <w:gridSpan w:val="2"/>
                  <w:tcBorders>
                    <w:top w:val="nil"/>
                    <w:left w:val="nil"/>
                    <w:bottom w:val="nil"/>
                    <w:right w:val="nil"/>
                    <w:tl2br w:val="nil"/>
                    <w:tr2bl w:val="nil"/>
                  </w:tcBorders>
                  <w:shd w:val="clear" w:color="auto" w:fill="auto"/>
                  <w:noWrap/>
                  <w:tcMar>
                    <w:left w:w="0" w:type="dxa"/>
                    <w:right w:w="0" w:type="dxa"/>
                  </w:tcMar>
                  <w:vAlign w:val="bottom"/>
                </w:tcPr>
                <w:p w14:paraId="73EF755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474629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3FF8183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BC7025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0CB20BE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57EF17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1202083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30229B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3506C4A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FB3ABB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3082AE6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36" w:type="dxa"/>
                  <w:gridSpan w:val="2"/>
                  <w:tcBorders>
                    <w:top w:val="nil"/>
                    <w:left w:val="nil"/>
                    <w:bottom w:val="nil"/>
                    <w:right w:val="nil"/>
                    <w:tl2br w:val="nil"/>
                    <w:tr2bl w:val="nil"/>
                  </w:tcBorders>
                  <w:shd w:val="clear" w:color="auto" w:fill="auto"/>
                  <w:noWrap/>
                  <w:tcMar>
                    <w:left w:w="40" w:type="dxa"/>
                    <w:right w:w="40" w:type="dxa"/>
                  </w:tcMar>
                  <w:vAlign w:val="bottom"/>
                </w:tcPr>
                <w:p w14:paraId="4DA0584D"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Net profit (loss) attributed to the Company</w:t>
                  </w:r>
                </w:p>
              </w:tc>
              <w:tc>
                <w:tcPr>
                  <w:tcW w:w="96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B686B5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252</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0FEA117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21ACD28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(512)</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7E1660A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3B8618E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329</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2275CE5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6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1C7A1F4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w:t>
                  </w:r>
                </w:p>
              </w:tc>
              <w:tc>
                <w:tcPr>
                  <w:tcW w:w="170" w:type="dxa"/>
                  <w:tcBorders>
                    <w:top w:val="nil"/>
                    <w:left w:val="nil"/>
                    <w:bottom w:val="nil"/>
                    <w:right w:val="nil"/>
                    <w:tl2br w:val="nil"/>
                    <w:tr2bl w:val="nil"/>
                  </w:tcBorders>
                  <w:shd w:val="clear" w:color="auto" w:fill="auto"/>
                  <w:noWrap/>
                  <w:tcMar>
                    <w:left w:w="0" w:type="dxa"/>
                    <w:right w:w="135" w:type="dxa"/>
                  </w:tcMar>
                  <w:vAlign w:val="bottom"/>
                </w:tcPr>
                <w:p w14:paraId="140E8C5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550" w:type="dxa"/>
                  <w:tcBorders>
                    <w:top w:val="nil"/>
                    <w:left w:val="nil"/>
                    <w:bottom w:val="double" w:sz="6" w:space="0" w:color="000000"/>
                    <w:right w:val="nil"/>
                    <w:tl2br w:val="nil"/>
                    <w:tr2bl w:val="nil"/>
                  </w:tcBorders>
                  <w:shd w:val="clear" w:color="auto" w:fill="auto"/>
                  <w:noWrap/>
                  <w:tcMar>
                    <w:left w:w="40" w:type="dxa"/>
                    <w:right w:w="175" w:type="dxa"/>
                  </w:tcMar>
                  <w:vAlign w:val="bottom"/>
                </w:tcPr>
                <w:p w14:paraId="0D2A72C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(1,203)</w:t>
                  </w:r>
                </w:p>
              </w:tc>
            </w:tr>
            <w:tr w:rsidR="007F4C68" w:rsidRPr="007F4C68" w14:paraId="70D580B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58" w:type="dxa"/>
                  <w:tcBorders>
                    <w:top w:val="nil"/>
                    <w:left w:val="nil"/>
                    <w:bottom w:val="nil"/>
                    <w:right w:val="nil"/>
                    <w:tl2br w:val="nil"/>
                    <w:tr2bl w:val="nil"/>
                  </w:tcBorders>
                  <w:shd w:val="clear" w:color="auto" w:fill="auto"/>
                  <w:noWrap/>
                  <w:tcMar>
                    <w:left w:w="0" w:type="dxa"/>
                    <w:right w:w="0" w:type="dxa"/>
                  </w:tcMar>
                  <w:vAlign w:val="bottom"/>
                </w:tcPr>
                <w:p w14:paraId="2068E13C"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8" w:type="dxa"/>
                  <w:tcBorders>
                    <w:top w:val="nil"/>
                    <w:left w:val="nil"/>
                    <w:bottom w:val="nil"/>
                    <w:right w:val="nil"/>
                    <w:tl2br w:val="nil"/>
                    <w:tr2bl w:val="nil"/>
                  </w:tcBorders>
                  <w:shd w:val="clear" w:color="auto" w:fill="auto"/>
                  <w:noWrap/>
                  <w:tcMar>
                    <w:left w:w="0" w:type="dxa"/>
                    <w:right w:w="0" w:type="dxa"/>
                  </w:tcMar>
                  <w:vAlign w:val="bottom"/>
                </w:tcPr>
                <w:p w14:paraId="7295896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DC4D64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0" w:type="dxa"/>
                  </w:tcMar>
                  <w:vAlign w:val="bottom"/>
                </w:tcPr>
                <w:p w14:paraId="335D8C4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6DA7C7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0" w:type="dxa"/>
                  </w:tcMar>
                  <w:vAlign w:val="bottom"/>
                </w:tcPr>
                <w:p w14:paraId="26E4EB4C"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72379D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0" w:type="dxa"/>
                  </w:tcMar>
                  <w:vAlign w:val="bottom"/>
                </w:tcPr>
                <w:p w14:paraId="6705B53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10530A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0" w:type="dxa"/>
                  </w:tcMar>
                  <w:vAlign w:val="bottom"/>
                </w:tcPr>
                <w:p w14:paraId="1F29642C"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5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1F4A11D"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r>
            <w:tr w:rsidR="007F4C68" w:rsidRPr="007F4C68" w14:paraId="08FC467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58" w:type="dxa"/>
                  <w:tcBorders>
                    <w:top w:val="nil"/>
                    <w:left w:val="nil"/>
                    <w:bottom w:val="nil"/>
                    <w:right w:val="nil"/>
                    <w:tl2br w:val="nil"/>
                    <w:tr2bl w:val="nil"/>
                  </w:tcBorders>
                  <w:shd w:val="clear" w:color="auto" w:fill="auto"/>
                  <w:noWrap/>
                  <w:tcMar>
                    <w:left w:w="0" w:type="dxa"/>
                    <w:right w:w="0" w:type="dxa"/>
                  </w:tcMar>
                  <w:vAlign w:val="bottom"/>
                </w:tcPr>
                <w:p w14:paraId="49B6F81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8" w:type="dxa"/>
                  <w:tcBorders>
                    <w:top w:val="nil"/>
                    <w:left w:val="nil"/>
                    <w:bottom w:val="nil"/>
                    <w:right w:val="nil"/>
                    <w:tl2br w:val="nil"/>
                    <w:tr2bl w:val="nil"/>
                  </w:tcBorders>
                  <w:shd w:val="clear" w:color="auto" w:fill="auto"/>
                  <w:noWrap/>
                  <w:tcMar>
                    <w:left w:w="0" w:type="dxa"/>
                    <w:right w:w="0" w:type="dxa"/>
                  </w:tcMar>
                  <w:vAlign w:val="bottom"/>
                </w:tcPr>
                <w:p w14:paraId="0B596D7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0C85A07"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0" w:type="dxa"/>
                  </w:tcMar>
                  <w:vAlign w:val="bottom"/>
                </w:tcPr>
                <w:p w14:paraId="2132671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25A94E5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0" w:type="dxa"/>
                  </w:tcMar>
                  <w:vAlign w:val="bottom"/>
                </w:tcPr>
                <w:p w14:paraId="6B306B4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3B8FDC3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0" w:type="dxa"/>
                  </w:tcMar>
                  <w:vAlign w:val="bottom"/>
                </w:tcPr>
                <w:p w14:paraId="1901122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9228E5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70" w:type="dxa"/>
                  <w:tcBorders>
                    <w:top w:val="nil"/>
                    <w:left w:val="nil"/>
                    <w:bottom w:val="nil"/>
                    <w:right w:val="nil"/>
                    <w:tl2br w:val="nil"/>
                    <w:tr2bl w:val="nil"/>
                  </w:tcBorders>
                  <w:shd w:val="clear" w:color="auto" w:fill="auto"/>
                  <w:noWrap/>
                  <w:tcMar>
                    <w:left w:w="0" w:type="dxa"/>
                    <w:right w:w="0" w:type="dxa"/>
                  </w:tcMar>
                  <w:vAlign w:val="bottom"/>
                </w:tcPr>
                <w:p w14:paraId="1DBBFC4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550" w:type="dxa"/>
                  <w:tcBorders>
                    <w:top w:val="nil"/>
                    <w:left w:val="nil"/>
                    <w:bottom w:val="nil"/>
                    <w:right w:val="nil"/>
                    <w:tl2br w:val="nil"/>
                    <w:tr2bl w:val="nil"/>
                  </w:tcBorders>
                  <w:shd w:val="clear" w:color="auto" w:fill="auto"/>
                  <w:noWrap/>
                  <w:tcMar>
                    <w:left w:w="0" w:type="dxa"/>
                    <w:right w:w="0" w:type="dxa"/>
                  </w:tcMar>
                  <w:vAlign w:val="bottom"/>
                </w:tcPr>
                <w:p w14:paraId="4FC9BA4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r>
            <w:tr w:rsidR="007F4C68" w:rsidRPr="007F4C68" w14:paraId="207C350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36"/>
              </w:trPr>
              <w:tc>
                <w:tcPr>
                  <w:tcW w:w="10206" w:type="dxa"/>
                  <w:gridSpan w:val="11"/>
                  <w:tcBorders>
                    <w:top w:val="nil"/>
                    <w:left w:val="nil"/>
                    <w:bottom w:val="nil"/>
                    <w:right w:val="nil"/>
                    <w:tl2br w:val="nil"/>
                    <w:tr2bl w:val="nil"/>
                  </w:tcBorders>
                  <w:shd w:val="clear" w:color="auto" w:fill="auto"/>
                  <w:noWrap/>
                  <w:tcMar>
                    <w:left w:w="40" w:type="dxa"/>
                    <w:right w:w="40" w:type="dxa"/>
                  </w:tcMar>
                  <w:vAlign w:val="bottom"/>
                </w:tcPr>
                <w:p w14:paraId="5128ACDB"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r w:rsidRPr="007F4C68">
                    <w:rPr>
                      <w:rFonts w:asciiTheme="majorBidi" w:hAnsiTheme="majorBidi" w:cstheme="majorBidi"/>
                      <w:color w:val="000000"/>
                    </w:rPr>
                    <w:t>The accompanying additional information is an integral part of the financial information and of the separate financial information.</w:t>
                  </w:r>
                </w:p>
              </w:tc>
            </w:tr>
          </w:tbl>
          <w:p w14:paraId="580B6E30" w14:textId="77777777" w:rsidR="007F4C68" w:rsidRPr="007F4C68" w:rsidRDefault="007F4C68" w:rsidP="00A65A6F">
            <w:pPr>
              <w:rPr>
                <w:rFonts w:asciiTheme="majorBidi" w:hAnsiTheme="majorBidi" w:cstheme="majorBidi"/>
              </w:rPr>
            </w:pPr>
          </w:p>
        </w:tc>
      </w:tr>
    </w:tbl>
    <w:p w14:paraId="10B4B580" w14:textId="77777777" w:rsidR="007F4C68" w:rsidRPr="007F4C68" w:rsidRDefault="007F4C68" w:rsidP="007F4C68">
      <w:pPr>
        <w:spacing w:after="200"/>
        <w:rPr>
          <w:rFonts w:asciiTheme="majorBidi" w:hAnsiTheme="majorBidi" w:cstheme="majorBidi"/>
          <w:vanish/>
        </w:rPr>
        <w:sectPr w:rsidR="007F4C68" w:rsidRPr="007F4C68" w:rsidSect="007F4C68">
          <w:headerReference w:type="even" r:id="rId77"/>
          <w:headerReference w:type="default" r:id="rId78"/>
          <w:footerReference w:type="even" r:id="rId79"/>
          <w:footerReference w:type="default" r:id="rId80"/>
          <w:headerReference w:type="first" r:id="rId81"/>
          <w:footerReference w:type="first" r:id="rId82"/>
          <w:footnotePr>
            <w:numRestart w:val="eachPage"/>
          </w:footnotePr>
          <w:type w:val="continuous"/>
          <w:pgSz w:w="11906" w:h="16838"/>
          <w:pgMar w:top="1418" w:right="992" w:bottom="1134" w:left="992" w:header="567" w:footer="567" w:gutter="0"/>
          <w:pgBorders>
            <w:top w:val="nil"/>
            <w:left w:val="nil"/>
            <w:bottom w:val="nil"/>
            <w:right w:val="nil"/>
          </w:pgBorders>
          <w:cols w:space="720"/>
          <w:rtlGutter/>
          <w:docGrid w:linePitch="360"/>
        </w:sectPr>
      </w:pPr>
    </w:p>
    <w:p w14:paraId="7FA3A020" w14:textId="77777777" w:rsidR="007F4C68" w:rsidRPr="007F4C68" w:rsidRDefault="007F4C68" w:rsidP="007F4C68">
      <w:pPr>
        <w:pageBreakBefore/>
        <w:rPr>
          <w:rFonts w:asciiTheme="majorBidi" w:hAnsiTheme="majorBidi" w:cstheme="majorBidi"/>
          <w:vanish/>
          <w:sz w:val="21"/>
          <w:szCs w:val="21"/>
        </w:rPr>
      </w:pPr>
      <w:bookmarkStart w:id="189" w:name="RG_MARKER_56648"/>
      <w:bookmarkStart w:id="190" w:name="RG_MARKER_56596"/>
      <w:bookmarkEnd w:id="189"/>
      <w:bookmarkEnd w:id="19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7F4C68" w:rsidRPr="007F4C68" w14:paraId="1BD8E8FB" w14:textId="77777777" w:rsidTr="00A65A6F">
        <w:trPr>
          <w:cantSplit/>
        </w:trPr>
        <w:tc>
          <w:tcPr>
            <w:tcW w:w="5000" w:type="pct"/>
          </w:tcPr>
          <w:tbl>
            <w:tblPr>
              <w:tblStyle w:val="CDMRange1"/>
              <w:tblW w:w="10206" w:type="dxa"/>
              <w:tblLook w:val="0600" w:firstRow="0" w:lastRow="0" w:firstColumn="0" w:lastColumn="0" w:noHBand="1" w:noVBand="1"/>
              <w:tblCaption w:val="Print_Area"/>
            </w:tblPr>
            <w:tblGrid>
              <w:gridCol w:w="332"/>
              <w:gridCol w:w="320"/>
              <w:gridCol w:w="3520"/>
              <w:gridCol w:w="971"/>
              <w:gridCol w:w="156"/>
              <w:gridCol w:w="971"/>
              <w:gridCol w:w="156"/>
              <w:gridCol w:w="971"/>
              <w:gridCol w:w="156"/>
              <w:gridCol w:w="971"/>
              <w:gridCol w:w="156"/>
              <w:gridCol w:w="1242"/>
            </w:tblGrid>
            <w:tr w:rsidR="007F4C68" w:rsidRPr="007F4C68" w14:paraId="0CF89690" w14:textId="77777777" w:rsidTr="00A65A6F">
              <w:trPr>
                <w:cantSplit/>
                <w:trHeight w:val="300"/>
              </w:trPr>
              <w:tc>
                <w:tcPr>
                  <w:tcW w:w="329" w:type="dxa"/>
                  <w:tcBorders>
                    <w:top w:val="nil"/>
                    <w:left w:val="nil"/>
                    <w:bottom w:val="nil"/>
                    <w:right w:val="nil"/>
                    <w:tl2br w:val="nil"/>
                    <w:tr2bl w:val="nil"/>
                  </w:tcBorders>
                  <w:shd w:val="clear" w:color="auto" w:fill="auto"/>
                  <w:noWrap/>
                  <w:tcMar>
                    <w:left w:w="0" w:type="dxa"/>
                    <w:right w:w="0" w:type="dxa"/>
                  </w:tcMar>
                  <w:vAlign w:val="bottom"/>
                </w:tcPr>
                <w:p w14:paraId="4342E76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23" w:type="dxa"/>
                  <w:tcBorders>
                    <w:top w:val="nil"/>
                    <w:left w:val="nil"/>
                    <w:bottom w:val="nil"/>
                    <w:right w:val="nil"/>
                    <w:tl2br w:val="nil"/>
                    <w:tr2bl w:val="nil"/>
                  </w:tcBorders>
                  <w:shd w:val="clear" w:color="auto" w:fill="auto"/>
                  <w:noWrap/>
                  <w:tcMar>
                    <w:left w:w="0" w:type="dxa"/>
                    <w:right w:w="0" w:type="dxa"/>
                  </w:tcMar>
                  <w:vAlign w:val="bottom"/>
                </w:tcPr>
                <w:p w14:paraId="78B45D5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709" w:type="dxa"/>
                  <w:tcBorders>
                    <w:top w:val="nil"/>
                    <w:left w:val="nil"/>
                    <w:bottom w:val="nil"/>
                    <w:right w:val="nil"/>
                    <w:tl2br w:val="nil"/>
                    <w:tr2bl w:val="nil"/>
                  </w:tcBorders>
                  <w:shd w:val="clear" w:color="auto" w:fill="auto"/>
                  <w:noWrap/>
                  <w:tcMar>
                    <w:left w:w="0" w:type="dxa"/>
                    <w:right w:w="0" w:type="dxa"/>
                  </w:tcMar>
                  <w:vAlign w:val="bottom"/>
                </w:tcPr>
                <w:p w14:paraId="3A6CD2C7"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0" w:type="dxa"/>
                    <w:right w:w="0" w:type="dxa"/>
                  </w:tcMar>
                  <w:vAlign w:val="bottom"/>
                </w:tcPr>
                <w:p w14:paraId="7BDEFAED"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344D3FBF"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999" w:type="dxa"/>
                  <w:tcBorders>
                    <w:top w:val="nil"/>
                    <w:left w:val="nil"/>
                    <w:bottom w:val="nil"/>
                    <w:right w:val="nil"/>
                    <w:tl2br w:val="nil"/>
                    <w:tr2bl w:val="nil"/>
                  </w:tcBorders>
                  <w:shd w:val="clear" w:color="auto" w:fill="auto"/>
                  <w:noWrap/>
                  <w:tcMar>
                    <w:left w:w="0" w:type="dxa"/>
                    <w:right w:w="0" w:type="dxa"/>
                  </w:tcMar>
                  <w:vAlign w:val="bottom"/>
                </w:tcPr>
                <w:p w14:paraId="129360B9"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3AF266FC"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999" w:type="dxa"/>
                  <w:tcBorders>
                    <w:top w:val="nil"/>
                    <w:left w:val="nil"/>
                    <w:bottom w:val="nil"/>
                    <w:right w:val="nil"/>
                    <w:tl2br w:val="nil"/>
                    <w:tr2bl w:val="nil"/>
                  </w:tcBorders>
                  <w:shd w:val="clear" w:color="auto" w:fill="auto"/>
                  <w:tcMar>
                    <w:left w:w="0" w:type="dxa"/>
                    <w:right w:w="0" w:type="dxa"/>
                  </w:tcMar>
                  <w:vAlign w:val="bottom"/>
                </w:tcPr>
                <w:p w14:paraId="006599DB"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41" w:type="dxa"/>
                  <w:tcBorders>
                    <w:top w:val="nil"/>
                    <w:left w:val="nil"/>
                    <w:bottom w:val="nil"/>
                    <w:right w:val="nil"/>
                    <w:tl2br w:val="nil"/>
                    <w:tr2bl w:val="nil"/>
                  </w:tcBorders>
                  <w:shd w:val="clear" w:color="auto" w:fill="auto"/>
                  <w:tcMar>
                    <w:left w:w="0" w:type="dxa"/>
                    <w:right w:w="0" w:type="dxa"/>
                  </w:tcMar>
                  <w:vAlign w:val="bottom"/>
                </w:tcPr>
                <w:p w14:paraId="54CC24E6"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999" w:type="dxa"/>
                  <w:tcBorders>
                    <w:top w:val="nil"/>
                    <w:left w:val="nil"/>
                    <w:bottom w:val="nil"/>
                    <w:right w:val="nil"/>
                    <w:tl2br w:val="nil"/>
                    <w:tr2bl w:val="nil"/>
                  </w:tcBorders>
                  <w:shd w:val="clear" w:color="auto" w:fill="auto"/>
                  <w:tcMar>
                    <w:left w:w="0" w:type="dxa"/>
                    <w:right w:w="0" w:type="dxa"/>
                  </w:tcMar>
                  <w:vAlign w:val="bottom"/>
                </w:tcPr>
                <w:p w14:paraId="36B06A31"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41" w:type="dxa"/>
                  <w:tcBorders>
                    <w:top w:val="nil"/>
                    <w:left w:val="nil"/>
                    <w:bottom w:val="nil"/>
                    <w:right w:val="nil"/>
                    <w:tl2br w:val="nil"/>
                    <w:tr2bl w:val="nil"/>
                  </w:tcBorders>
                  <w:shd w:val="clear" w:color="auto" w:fill="auto"/>
                  <w:tcMar>
                    <w:left w:w="0" w:type="dxa"/>
                    <w:right w:w="0" w:type="dxa"/>
                  </w:tcMar>
                  <w:vAlign w:val="bottom"/>
                </w:tcPr>
                <w:p w14:paraId="28E6AB79"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285" w:type="dxa"/>
                  <w:vMerge w:val="restart"/>
                  <w:tcBorders>
                    <w:top w:val="nil"/>
                    <w:left w:val="nil"/>
                    <w:bottom w:val="nil"/>
                    <w:right w:val="nil"/>
                    <w:tl2br w:val="nil"/>
                    <w:tr2bl w:val="nil"/>
                  </w:tcBorders>
                  <w:shd w:val="clear" w:color="auto" w:fill="auto"/>
                  <w:tcMar>
                    <w:left w:w="43" w:type="dxa"/>
                    <w:right w:w="43" w:type="dxa"/>
                  </w:tcMar>
                  <w:vAlign w:val="bottom"/>
                </w:tcPr>
                <w:p w14:paraId="344D1A59"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Year ended December 31</w:t>
                  </w:r>
                </w:p>
              </w:tc>
            </w:tr>
            <w:tr w:rsidR="007F4C68" w:rsidRPr="007F4C68" w14:paraId="59C1CB8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29" w:type="dxa"/>
                  <w:tcBorders>
                    <w:top w:val="nil"/>
                    <w:left w:val="nil"/>
                    <w:bottom w:val="nil"/>
                    <w:right w:val="nil"/>
                    <w:tl2br w:val="nil"/>
                    <w:tr2bl w:val="nil"/>
                  </w:tcBorders>
                  <w:shd w:val="clear" w:color="auto" w:fill="auto"/>
                  <w:noWrap/>
                  <w:tcMar>
                    <w:left w:w="0" w:type="dxa"/>
                    <w:right w:w="0" w:type="dxa"/>
                  </w:tcMar>
                  <w:vAlign w:val="bottom"/>
                </w:tcPr>
                <w:p w14:paraId="37B4B7B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23" w:type="dxa"/>
                  <w:tcBorders>
                    <w:top w:val="nil"/>
                    <w:left w:val="nil"/>
                    <w:bottom w:val="nil"/>
                    <w:right w:val="nil"/>
                    <w:tl2br w:val="nil"/>
                    <w:tr2bl w:val="nil"/>
                  </w:tcBorders>
                  <w:shd w:val="clear" w:color="auto" w:fill="auto"/>
                  <w:noWrap/>
                  <w:tcMar>
                    <w:left w:w="0" w:type="dxa"/>
                    <w:right w:w="0" w:type="dxa"/>
                  </w:tcMar>
                  <w:vAlign w:val="bottom"/>
                </w:tcPr>
                <w:p w14:paraId="2AF8405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709" w:type="dxa"/>
                  <w:tcBorders>
                    <w:top w:val="nil"/>
                    <w:left w:val="nil"/>
                    <w:bottom w:val="nil"/>
                    <w:right w:val="nil"/>
                    <w:tl2br w:val="nil"/>
                    <w:tr2bl w:val="nil"/>
                  </w:tcBorders>
                  <w:shd w:val="clear" w:color="auto" w:fill="auto"/>
                  <w:noWrap/>
                  <w:tcMar>
                    <w:left w:w="0" w:type="dxa"/>
                    <w:right w:w="0" w:type="dxa"/>
                  </w:tcMar>
                  <w:vAlign w:val="bottom"/>
                </w:tcPr>
                <w:p w14:paraId="10CA370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139"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38AE026D"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 xml:space="preserve">Six months ended </w:t>
                  </w:r>
                </w:p>
                <w:p w14:paraId="069FE53F"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June 30</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3F2A469A"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2139"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53E35BEF"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 xml:space="preserve">Three months ended </w:t>
                  </w:r>
                </w:p>
                <w:p w14:paraId="544ABF6F"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June 30</w:t>
                  </w:r>
                </w:p>
              </w:tc>
              <w:tc>
                <w:tcPr>
                  <w:tcW w:w="141" w:type="dxa"/>
                  <w:tcBorders>
                    <w:top w:val="nil"/>
                    <w:left w:val="nil"/>
                    <w:bottom w:val="nil"/>
                    <w:right w:val="nil"/>
                    <w:tl2br w:val="nil"/>
                    <w:tr2bl w:val="nil"/>
                  </w:tcBorders>
                  <w:shd w:val="clear" w:color="auto" w:fill="auto"/>
                  <w:tcMar>
                    <w:left w:w="0" w:type="dxa"/>
                    <w:right w:w="0" w:type="dxa"/>
                  </w:tcMar>
                  <w:vAlign w:val="bottom"/>
                </w:tcPr>
                <w:p w14:paraId="529ED679"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285" w:type="dxa"/>
                  <w:vMerge/>
                  <w:tcBorders>
                    <w:top w:val="nil"/>
                    <w:left w:val="nil"/>
                    <w:bottom w:val="nil"/>
                    <w:right w:val="nil"/>
                    <w:tl2br w:val="nil"/>
                    <w:tr2bl w:val="nil"/>
                  </w:tcBorders>
                  <w:shd w:val="clear" w:color="auto" w:fill="auto"/>
                  <w:tcMar>
                    <w:left w:w="0" w:type="dxa"/>
                    <w:right w:w="0" w:type="dxa"/>
                  </w:tcMar>
                  <w:vAlign w:val="bottom"/>
                </w:tcPr>
                <w:p w14:paraId="3296AEEF"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r>
            <w:tr w:rsidR="007F4C68" w:rsidRPr="007F4C68" w14:paraId="4793FFE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29" w:type="dxa"/>
                  <w:tcBorders>
                    <w:top w:val="nil"/>
                    <w:left w:val="nil"/>
                    <w:bottom w:val="nil"/>
                    <w:right w:val="nil"/>
                    <w:tl2br w:val="nil"/>
                    <w:tr2bl w:val="nil"/>
                  </w:tcBorders>
                  <w:shd w:val="clear" w:color="auto" w:fill="auto"/>
                  <w:noWrap/>
                  <w:tcMar>
                    <w:left w:w="0" w:type="dxa"/>
                    <w:right w:w="0" w:type="dxa"/>
                  </w:tcMar>
                  <w:vAlign w:val="bottom"/>
                </w:tcPr>
                <w:p w14:paraId="7AAA0FE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23" w:type="dxa"/>
                  <w:tcBorders>
                    <w:top w:val="nil"/>
                    <w:left w:val="nil"/>
                    <w:bottom w:val="nil"/>
                    <w:right w:val="nil"/>
                    <w:tl2br w:val="nil"/>
                    <w:tr2bl w:val="nil"/>
                  </w:tcBorders>
                  <w:shd w:val="clear" w:color="auto" w:fill="auto"/>
                  <w:noWrap/>
                  <w:tcMar>
                    <w:left w:w="0" w:type="dxa"/>
                    <w:right w:w="0" w:type="dxa"/>
                  </w:tcMar>
                  <w:vAlign w:val="bottom"/>
                </w:tcPr>
                <w:p w14:paraId="6930CF2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709" w:type="dxa"/>
                  <w:tcBorders>
                    <w:top w:val="nil"/>
                    <w:left w:val="nil"/>
                    <w:bottom w:val="nil"/>
                    <w:right w:val="nil"/>
                    <w:tl2br w:val="nil"/>
                    <w:tr2bl w:val="nil"/>
                  </w:tcBorders>
                  <w:shd w:val="clear" w:color="auto" w:fill="auto"/>
                  <w:noWrap/>
                  <w:tcMar>
                    <w:left w:w="0" w:type="dxa"/>
                    <w:right w:w="0" w:type="dxa"/>
                  </w:tcMar>
                  <w:vAlign w:val="bottom"/>
                </w:tcPr>
                <w:p w14:paraId="108915D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7616C14C"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2024</w:t>
                  </w:r>
                </w:p>
              </w:tc>
              <w:tc>
                <w:tcPr>
                  <w:tcW w:w="141" w:type="dxa"/>
                  <w:tcBorders>
                    <w:top w:val="single" w:sz="4" w:space="0" w:color="000000"/>
                    <w:left w:val="nil"/>
                    <w:bottom w:val="nil"/>
                    <w:right w:val="nil"/>
                    <w:tl2br w:val="nil"/>
                    <w:tr2bl w:val="nil"/>
                  </w:tcBorders>
                  <w:shd w:val="clear" w:color="auto" w:fill="auto"/>
                  <w:tcMar>
                    <w:left w:w="0" w:type="dxa"/>
                    <w:right w:w="0" w:type="dxa"/>
                  </w:tcMar>
                  <w:vAlign w:val="bottom"/>
                </w:tcPr>
                <w:p w14:paraId="620280A9"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999"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150EBD92"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718B4C46"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999"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07FA0927"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2024</w:t>
                  </w:r>
                </w:p>
              </w:tc>
              <w:tc>
                <w:tcPr>
                  <w:tcW w:w="141" w:type="dxa"/>
                  <w:tcBorders>
                    <w:top w:val="single" w:sz="4" w:space="0" w:color="000000"/>
                    <w:left w:val="nil"/>
                    <w:bottom w:val="nil"/>
                    <w:right w:val="nil"/>
                    <w:tl2br w:val="nil"/>
                    <w:tr2bl w:val="nil"/>
                  </w:tcBorders>
                  <w:shd w:val="clear" w:color="auto" w:fill="auto"/>
                  <w:tcMar>
                    <w:left w:w="0" w:type="dxa"/>
                    <w:right w:w="0" w:type="dxa"/>
                  </w:tcMar>
                  <w:vAlign w:val="bottom"/>
                </w:tcPr>
                <w:p w14:paraId="1E3DCA0D"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999"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437D26FE"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c>
                <w:tcPr>
                  <w:tcW w:w="141" w:type="dxa"/>
                  <w:tcBorders>
                    <w:top w:val="nil"/>
                    <w:left w:val="nil"/>
                    <w:bottom w:val="nil"/>
                    <w:right w:val="nil"/>
                    <w:tl2br w:val="nil"/>
                    <w:tr2bl w:val="nil"/>
                  </w:tcBorders>
                  <w:shd w:val="clear" w:color="auto" w:fill="auto"/>
                  <w:tcMar>
                    <w:left w:w="0" w:type="dxa"/>
                    <w:right w:w="0" w:type="dxa"/>
                  </w:tcMar>
                  <w:vAlign w:val="bottom"/>
                </w:tcPr>
                <w:p w14:paraId="334DC90C"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285" w:type="dxa"/>
                  <w:tcBorders>
                    <w:top w:val="nil"/>
                    <w:left w:val="nil"/>
                    <w:bottom w:val="single" w:sz="4" w:space="0" w:color="000000"/>
                    <w:right w:val="nil"/>
                    <w:tl2br w:val="nil"/>
                    <w:tr2bl w:val="nil"/>
                  </w:tcBorders>
                  <w:shd w:val="clear" w:color="auto" w:fill="auto"/>
                  <w:tcMar>
                    <w:left w:w="43" w:type="dxa"/>
                    <w:right w:w="43" w:type="dxa"/>
                  </w:tcMar>
                  <w:vAlign w:val="bottom"/>
                </w:tcPr>
                <w:p w14:paraId="4A26A4FB"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r>
            <w:tr w:rsidR="007F4C68" w:rsidRPr="007F4C68" w14:paraId="641588B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29" w:type="dxa"/>
                  <w:tcBorders>
                    <w:top w:val="nil"/>
                    <w:left w:val="nil"/>
                    <w:bottom w:val="nil"/>
                    <w:right w:val="nil"/>
                    <w:tl2br w:val="nil"/>
                    <w:tr2bl w:val="nil"/>
                  </w:tcBorders>
                  <w:shd w:val="clear" w:color="auto" w:fill="auto"/>
                  <w:noWrap/>
                  <w:tcMar>
                    <w:left w:w="0" w:type="dxa"/>
                    <w:right w:w="0" w:type="dxa"/>
                  </w:tcMar>
                  <w:vAlign w:val="bottom"/>
                </w:tcPr>
                <w:p w14:paraId="13CE49F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23" w:type="dxa"/>
                  <w:tcBorders>
                    <w:top w:val="nil"/>
                    <w:left w:val="nil"/>
                    <w:bottom w:val="nil"/>
                    <w:right w:val="nil"/>
                    <w:tl2br w:val="nil"/>
                    <w:tr2bl w:val="nil"/>
                  </w:tcBorders>
                  <w:shd w:val="clear" w:color="auto" w:fill="auto"/>
                  <w:noWrap/>
                  <w:tcMar>
                    <w:left w:w="0" w:type="dxa"/>
                    <w:right w:w="0" w:type="dxa"/>
                  </w:tcMar>
                  <w:vAlign w:val="bottom"/>
                </w:tcPr>
                <w:p w14:paraId="6BF96AC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709" w:type="dxa"/>
                  <w:tcBorders>
                    <w:top w:val="nil"/>
                    <w:left w:val="nil"/>
                    <w:bottom w:val="nil"/>
                    <w:right w:val="nil"/>
                    <w:tl2br w:val="nil"/>
                    <w:tr2bl w:val="nil"/>
                  </w:tcBorders>
                  <w:shd w:val="clear" w:color="auto" w:fill="auto"/>
                  <w:noWrap/>
                  <w:tcMar>
                    <w:left w:w="0" w:type="dxa"/>
                    <w:right w:w="0" w:type="dxa"/>
                  </w:tcMar>
                  <w:vAlign w:val="bottom"/>
                </w:tcPr>
                <w:p w14:paraId="5A81C4B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139" w:type="dxa"/>
                  <w:gridSpan w:val="3"/>
                  <w:tcBorders>
                    <w:top w:val="nil"/>
                    <w:left w:val="nil"/>
                    <w:bottom w:val="single" w:sz="4" w:space="0" w:color="000000"/>
                    <w:right w:val="nil"/>
                    <w:tl2br w:val="nil"/>
                    <w:tr2bl w:val="nil"/>
                  </w:tcBorders>
                  <w:shd w:val="clear" w:color="auto" w:fill="auto"/>
                  <w:noWrap/>
                  <w:tcMar>
                    <w:left w:w="43" w:type="dxa"/>
                    <w:right w:w="43" w:type="dxa"/>
                  </w:tcMar>
                  <w:vAlign w:val="bottom"/>
                </w:tcPr>
                <w:p w14:paraId="3F6435FC"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Unaudited</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0277E369"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2139" w:type="dxa"/>
                  <w:gridSpan w:val="3"/>
                  <w:tcBorders>
                    <w:top w:val="nil"/>
                    <w:left w:val="nil"/>
                    <w:bottom w:val="single" w:sz="4" w:space="0" w:color="000000"/>
                    <w:right w:val="nil"/>
                    <w:tl2br w:val="nil"/>
                    <w:tr2bl w:val="nil"/>
                  </w:tcBorders>
                  <w:shd w:val="clear" w:color="auto" w:fill="auto"/>
                  <w:noWrap/>
                  <w:tcMar>
                    <w:left w:w="43" w:type="dxa"/>
                    <w:right w:w="43" w:type="dxa"/>
                  </w:tcMar>
                  <w:vAlign w:val="bottom"/>
                </w:tcPr>
                <w:p w14:paraId="4C5BE4F9"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Unaudited</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7C6BF647" w14:textId="77777777" w:rsidR="007F4C68" w:rsidRPr="007F4C68" w:rsidRDefault="007F4C68" w:rsidP="00A65A6F">
                  <w:pPr>
                    <w:keepNext/>
                    <w:spacing w:before="0" w:after="0"/>
                    <w:jc w:val="left"/>
                    <w:rPr>
                      <w:rFonts w:asciiTheme="majorBidi" w:eastAsia="Ploni ML Medium AAA Medium" w:hAnsiTheme="majorBidi" w:cstheme="majorBidi"/>
                      <w:b/>
                      <w:color w:val="000000"/>
                    </w:rPr>
                  </w:pPr>
                </w:p>
              </w:tc>
              <w:tc>
                <w:tcPr>
                  <w:tcW w:w="1285"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54D4001F"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Audited</w:t>
                  </w:r>
                </w:p>
              </w:tc>
            </w:tr>
            <w:tr w:rsidR="007F4C68" w:rsidRPr="007F4C68" w14:paraId="7F672C1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29" w:type="dxa"/>
                  <w:tcBorders>
                    <w:top w:val="nil"/>
                    <w:left w:val="nil"/>
                    <w:bottom w:val="nil"/>
                    <w:right w:val="nil"/>
                    <w:tl2br w:val="nil"/>
                    <w:tr2bl w:val="nil"/>
                  </w:tcBorders>
                  <w:shd w:val="clear" w:color="auto" w:fill="auto"/>
                  <w:noWrap/>
                  <w:tcMar>
                    <w:left w:w="0" w:type="dxa"/>
                    <w:right w:w="0" w:type="dxa"/>
                  </w:tcMar>
                  <w:vAlign w:val="bottom"/>
                </w:tcPr>
                <w:p w14:paraId="2929C99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23" w:type="dxa"/>
                  <w:tcBorders>
                    <w:top w:val="nil"/>
                    <w:left w:val="nil"/>
                    <w:bottom w:val="nil"/>
                    <w:right w:val="nil"/>
                    <w:tl2br w:val="nil"/>
                    <w:tr2bl w:val="nil"/>
                  </w:tcBorders>
                  <w:shd w:val="clear" w:color="auto" w:fill="auto"/>
                  <w:noWrap/>
                  <w:tcMar>
                    <w:left w:w="0" w:type="dxa"/>
                    <w:right w:w="0" w:type="dxa"/>
                  </w:tcMar>
                  <w:vAlign w:val="bottom"/>
                </w:tcPr>
                <w:p w14:paraId="43267C4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709" w:type="dxa"/>
                  <w:tcBorders>
                    <w:top w:val="nil"/>
                    <w:left w:val="nil"/>
                    <w:bottom w:val="nil"/>
                    <w:right w:val="nil"/>
                    <w:tl2br w:val="nil"/>
                    <w:tr2bl w:val="nil"/>
                  </w:tcBorders>
                  <w:shd w:val="clear" w:color="auto" w:fill="auto"/>
                  <w:noWrap/>
                  <w:tcMar>
                    <w:left w:w="0" w:type="dxa"/>
                    <w:right w:w="0" w:type="dxa"/>
                  </w:tcMar>
                  <w:vAlign w:val="bottom"/>
                </w:tcPr>
                <w:p w14:paraId="367B211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5845" w:type="dxa"/>
                  <w:gridSpan w:val="9"/>
                  <w:tcBorders>
                    <w:top w:val="nil"/>
                    <w:left w:val="nil"/>
                    <w:bottom w:val="single" w:sz="4" w:space="0" w:color="000000"/>
                    <w:right w:val="nil"/>
                    <w:tl2br w:val="nil"/>
                    <w:tr2bl w:val="nil"/>
                  </w:tcBorders>
                  <w:shd w:val="clear" w:color="auto" w:fill="auto"/>
                  <w:noWrap/>
                  <w:tcMar>
                    <w:left w:w="43" w:type="dxa"/>
                    <w:right w:w="43" w:type="dxa"/>
                  </w:tcMar>
                  <w:vAlign w:val="bottom"/>
                </w:tcPr>
                <w:p w14:paraId="2CB03828"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NIS million</w:t>
                  </w:r>
                </w:p>
              </w:tc>
            </w:tr>
            <w:tr w:rsidR="007F4C68" w:rsidRPr="007F4C68" w14:paraId="5B41C0D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29" w:type="dxa"/>
                  <w:tcBorders>
                    <w:top w:val="nil"/>
                    <w:left w:val="nil"/>
                    <w:bottom w:val="nil"/>
                    <w:right w:val="nil"/>
                    <w:tl2br w:val="nil"/>
                    <w:tr2bl w:val="nil"/>
                  </w:tcBorders>
                  <w:shd w:val="clear" w:color="auto" w:fill="auto"/>
                  <w:noWrap/>
                  <w:tcMar>
                    <w:left w:w="0" w:type="dxa"/>
                    <w:right w:w="0" w:type="dxa"/>
                  </w:tcMar>
                  <w:vAlign w:val="bottom"/>
                </w:tcPr>
                <w:p w14:paraId="3413A58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23" w:type="dxa"/>
                  <w:tcBorders>
                    <w:top w:val="nil"/>
                    <w:left w:val="nil"/>
                    <w:bottom w:val="nil"/>
                    <w:right w:val="nil"/>
                    <w:tl2br w:val="nil"/>
                    <w:tr2bl w:val="nil"/>
                  </w:tcBorders>
                  <w:shd w:val="clear" w:color="auto" w:fill="auto"/>
                  <w:noWrap/>
                  <w:tcMar>
                    <w:left w:w="0" w:type="dxa"/>
                    <w:right w:w="0" w:type="dxa"/>
                  </w:tcMar>
                  <w:vAlign w:val="bottom"/>
                </w:tcPr>
                <w:p w14:paraId="70C316C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709" w:type="dxa"/>
                  <w:tcBorders>
                    <w:top w:val="nil"/>
                    <w:left w:val="nil"/>
                    <w:bottom w:val="nil"/>
                    <w:right w:val="nil"/>
                    <w:tl2br w:val="nil"/>
                    <w:tr2bl w:val="nil"/>
                  </w:tcBorders>
                  <w:shd w:val="clear" w:color="auto" w:fill="auto"/>
                  <w:noWrap/>
                  <w:tcMar>
                    <w:left w:w="0" w:type="dxa"/>
                    <w:right w:w="0" w:type="dxa"/>
                  </w:tcMar>
                  <w:vAlign w:val="bottom"/>
                </w:tcPr>
                <w:p w14:paraId="074D69C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DF7B1D"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82EB7C"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91001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BD389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2FCDB7" w14:textId="77777777" w:rsidR="007F4C68" w:rsidRPr="007F4C68" w:rsidRDefault="007F4C68" w:rsidP="00A65A6F">
                  <w:pPr>
                    <w:keepNext/>
                    <w:spacing w:before="0" w:after="0"/>
                    <w:jc w:val="center"/>
                    <w:rPr>
                      <w:rFonts w:asciiTheme="majorBidi" w:eastAsia="Ploni ML Medium AAA Medium" w:hAnsiTheme="majorBidi" w:cstheme="majorBidi"/>
                      <w:b/>
                      <w:color w:val="000000"/>
                      <w:sz w:val="21"/>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F3EAC7" w14:textId="77777777" w:rsidR="007F4C68" w:rsidRPr="007F4C68" w:rsidRDefault="007F4C68" w:rsidP="00A65A6F">
                  <w:pPr>
                    <w:keepNext/>
                    <w:spacing w:before="0" w:after="0"/>
                    <w:jc w:val="center"/>
                    <w:rPr>
                      <w:rFonts w:asciiTheme="majorBidi" w:eastAsia="Ploni ML Medium AAA Medium" w:hAnsiTheme="majorBidi" w:cstheme="majorBidi"/>
                      <w:b/>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82B388" w14:textId="77777777" w:rsidR="007F4C68" w:rsidRPr="007F4C68" w:rsidRDefault="007F4C68" w:rsidP="00A65A6F">
                  <w:pPr>
                    <w:keepNext/>
                    <w:spacing w:before="0" w:after="0"/>
                    <w:jc w:val="center"/>
                    <w:rPr>
                      <w:rFonts w:asciiTheme="majorBidi" w:eastAsia="Ploni ML Medium AAA Medium" w:hAnsiTheme="majorBidi" w:cstheme="majorBidi"/>
                      <w:b/>
                      <w:color w:val="000000"/>
                      <w:sz w:val="21"/>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2E16B7" w14:textId="77777777" w:rsidR="007F4C68" w:rsidRPr="007F4C68" w:rsidRDefault="007F4C68" w:rsidP="00A65A6F">
                  <w:pPr>
                    <w:keepNext/>
                    <w:spacing w:before="0" w:after="0"/>
                    <w:jc w:val="center"/>
                    <w:rPr>
                      <w:rFonts w:asciiTheme="majorBidi" w:eastAsia="Ploni ML Medium AAA Medium" w:hAnsiTheme="majorBidi" w:cstheme="majorBidi"/>
                      <w:b/>
                      <w:color w:val="000000"/>
                      <w:sz w:val="21"/>
                    </w:rPr>
                  </w:pPr>
                </w:p>
              </w:tc>
              <w:tc>
                <w:tcPr>
                  <w:tcW w:w="12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2A27B3" w14:textId="77777777" w:rsidR="007F4C68" w:rsidRPr="007F4C68" w:rsidRDefault="007F4C68" w:rsidP="00A65A6F">
                  <w:pPr>
                    <w:keepNext/>
                    <w:spacing w:before="0" w:after="0"/>
                    <w:jc w:val="center"/>
                    <w:rPr>
                      <w:rFonts w:asciiTheme="majorBidi" w:eastAsia="Ploni ML Medium AAA Medium" w:hAnsiTheme="majorBidi" w:cstheme="majorBidi"/>
                      <w:b/>
                      <w:color w:val="000000"/>
                      <w:sz w:val="21"/>
                    </w:rPr>
                  </w:pPr>
                </w:p>
              </w:tc>
            </w:tr>
            <w:tr w:rsidR="007F4C68" w:rsidRPr="007F4C68" w14:paraId="316F0AC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361" w:type="dxa"/>
                  <w:gridSpan w:val="3"/>
                  <w:tcBorders>
                    <w:top w:val="nil"/>
                    <w:left w:val="nil"/>
                    <w:bottom w:val="nil"/>
                    <w:right w:val="nil"/>
                    <w:tl2br w:val="nil"/>
                    <w:tr2bl w:val="nil"/>
                  </w:tcBorders>
                  <w:shd w:val="clear" w:color="auto" w:fill="auto"/>
                  <w:noWrap/>
                  <w:tcMar>
                    <w:left w:w="43" w:type="dxa"/>
                    <w:right w:w="43" w:type="dxa"/>
                  </w:tcMar>
                  <w:vAlign w:val="bottom"/>
                </w:tcPr>
                <w:p w14:paraId="0490B907"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Net profit (loss) attributed to the Company</w:t>
                  </w:r>
                </w:p>
              </w:tc>
              <w:tc>
                <w:tcPr>
                  <w:tcW w:w="9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F16F3B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252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E91B4A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6CD96A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(512)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819993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09190D8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329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128056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76302D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C7129E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8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C61726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(1,203)</w:t>
                  </w:r>
                </w:p>
              </w:tc>
            </w:tr>
            <w:tr w:rsidR="007F4C68" w:rsidRPr="007F4C68" w14:paraId="4771F4C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29" w:type="dxa"/>
                  <w:tcBorders>
                    <w:top w:val="nil"/>
                    <w:left w:val="nil"/>
                    <w:bottom w:val="nil"/>
                    <w:right w:val="nil"/>
                    <w:tl2br w:val="nil"/>
                    <w:tr2bl w:val="nil"/>
                  </w:tcBorders>
                  <w:shd w:val="clear" w:color="auto" w:fill="auto"/>
                  <w:noWrap/>
                  <w:tcMar>
                    <w:left w:w="0" w:type="dxa"/>
                    <w:right w:w="0" w:type="dxa"/>
                  </w:tcMar>
                  <w:vAlign w:val="bottom"/>
                </w:tcPr>
                <w:p w14:paraId="0BFD259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23" w:type="dxa"/>
                  <w:tcBorders>
                    <w:top w:val="nil"/>
                    <w:left w:val="nil"/>
                    <w:bottom w:val="nil"/>
                    <w:right w:val="nil"/>
                    <w:tl2br w:val="nil"/>
                    <w:tr2bl w:val="nil"/>
                  </w:tcBorders>
                  <w:shd w:val="clear" w:color="auto" w:fill="auto"/>
                  <w:noWrap/>
                  <w:tcMar>
                    <w:left w:w="0" w:type="dxa"/>
                    <w:right w:w="0" w:type="dxa"/>
                  </w:tcMar>
                  <w:vAlign w:val="bottom"/>
                </w:tcPr>
                <w:p w14:paraId="099825F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709" w:type="dxa"/>
                  <w:tcBorders>
                    <w:top w:val="nil"/>
                    <w:left w:val="nil"/>
                    <w:bottom w:val="nil"/>
                    <w:right w:val="nil"/>
                    <w:tl2br w:val="nil"/>
                    <w:tr2bl w:val="nil"/>
                  </w:tcBorders>
                  <w:shd w:val="clear" w:color="auto" w:fill="auto"/>
                  <w:noWrap/>
                  <w:tcMar>
                    <w:left w:w="0" w:type="dxa"/>
                    <w:right w:w="0" w:type="dxa"/>
                  </w:tcMar>
                  <w:vAlign w:val="bottom"/>
                </w:tcPr>
                <w:p w14:paraId="2CF638B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CEAD49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7E9A3D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93EDE3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BE0F5B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040789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45E979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BEA3CD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42C0A4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8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892EBE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07482D7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361" w:type="dxa"/>
                  <w:gridSpan w:val="3"/>
                  <w:tcBorders>
                    <w:top w:val="nil"/>
                    <w:left w:val="nil"/>
                    <w:bottom w:val="nil"/>
                    <w:right w:val="nil"/>
                    <w:tl2br w:val="nil"/>
                    <w:tr2bl w:val="nil"/>
                  </w:tcBorders>
                  <w:shd w:val="clear" w:color="auto" w:fill="auto"/>
                  <w:tcMar>
                    <w:left w:w="43" w:type="dxa"/>
                    <w:right w:w="43" w:type="dxa"/>
                  </w:tcMar>
                  <w:vAlign w:val="bottom"/>
                </w:tcPr>
                <w:p w14:paraId="78993DDA" w14:textId="64BC2908" w:rsidR="007F4C68" w:rsidRPr="007F4C68" w:rsidRDefault="007F4C68" w:rsidP="006C4351">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Other comprehensive income (loss) attributed to the Company (net of tax effect):</w:t>
                  </w: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29E6D38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tcMar>
                    <w:left w:w="0" w:type="dxa"/>
                    <w:right w:w="135" w:type="dxa"/>
                  </w:tcMar>
                  <w:vAlign w:val="bottom"/>
                </w:tcPr>
                <w:p w14:paraId="174CA05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71B0882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tcMar>
                    <w:left w:w="0" w:type="dxa"/>
                    <w:right w:w="135" w:type="dxa"/>
                  </w:tcMar>
                  <w:vAlign w:val="bottom"/>
                </w:tcPr>
                <w:p w14:paraId="1C63B90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38BEF7D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13613C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62A2512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810090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85" w:type="dxa"/>
                  <w:tcBorders>
                    <w:top w:val="nil"/>
                    <w:left w:val="nil"/>
                    <w:bottom w:val="nil"/>
                    <w:right w:val="nil"/>
                    <w:tl2br w:val="nil"/>
                    <w:tr2bl w:val="nil"/>
                  </w:tcBorders>
                  <w:shd w:val="clear" w:color="auto" w:fill="auto"/>
                  <w:noWrap/>
                  <w:tcMar>
                    <w:left w:w="0" w:type="dxa"/>
                    <w:right w:w="135" w:type="dxa"/>
                  </w:tcMar>
                  <w:vAlign w:val="bottom"/>
                </w:tcPr>
                <w:p w14:paraId="6A38274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1D2E907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29" w:type="dxa"/>
                  <w:tcBorders>
                    <w:top w:val="nil"/>
                    <w:left w:val="nil"/>
                    <w:bottom w:val="nil"/>
                    <w:right w:val="nil"/>
                    <w:tl2br w:val="nil"/>
                    <w:tr2bl w:val="nil"/>
                  </w:tcBorders>
                  <w:shd w:val="clear" w:color="auto" w:fill="auto"/>
                  <w:noWrap/>
                  <w:tcMar>
                    <w:left w:w="0" w:type="dxa"/>
                    <w:right w:w="0" w:type="dxa"/>
                  </w:tcMar>
                  <w:vAlign w:val="bottom"/>
                </w:tcPr>
                <w:p w14:paraId="77059B3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23" w:type="dxa"/>
                  <w:tcBorders>
                    <w:top w:val="nil"/>
                    <w:left w:val="nil"/>
                    <w:bottom w:val="nil"/>
                    <w:right w:val="nil"/>
                    <w:tl2br w:val="nil"/>
                    <w:tr2bl w:val="nil"/>
                  </w:tcBorders>
                  <w:shd w:val="clear" w:color="auto" w:fill="auto"/>
                  <w:noWrap/>
                  <w:tcMar>
                    <w:left w:w="0" w:type="dxa"/>
                    <w:right w:w="0" w:type="dxa"/>
                  </w:tcMar>
                  <w:vAlign w:val="bottom"/>
                </w:tcPr>
                <w:p w14:paraId="2D20EE37"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709" w:type="dxa"/>
                  <w:tcBorders>
                    <w:top w:val="nil"/>
                    <w:left w:val="nil"/>
                    <w:bottom w:val="nil"/>
                    <w:right w:val="nil"/>
                    <w:tl2br w:val="nil"/>
                    <w:tr2bl w:val="nil"/>
                  </w:tcBorders>
                  <w:shd w:val="clear" w:color="auto" w:fill="auto"/>
                  <w:noWrap/>
                  <w:tcMar>
                    <w:left w:w="0" w:type="dxa"/>
                    <w:right w:w="0" w:type="dxa"/>
                  </w:tcMar>
                  <w:vAlign w:val="bottom"/>
                </w:tcPr>
                <w:p w14:paraId="635F8E6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63E781E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3703FE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444F925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BAD501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02E68FA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22282F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6108050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BB56AE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85" w:type="dxa"/>
                  <w:tcBorders>
                    <w:top w:val="nil"/>
                    <w:left w:val="nil"/>
                    <w:bottom w:val="nil"/>
                    <w:right w:val="nil"/>
                    <w:tl2br w:val="nil"/>
                    <w:tr2bl w:val="nil"/>
                  </w:tcBorders>
                  <w:shd w:val="clear" w:color="auto" w:fill="auto"/>
                  <w:noWrap/>
                  <w:tcMar>
                    <w:left w:w="0" w:type="dxa"/>
                    <w:right w:w="135" w:type="dxa"/>
                  </w:tcMar>
                  <w:vAlign w:val="bottom"/>
                </w:tcPr>
                <w:p w14:paraId="49D2205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6D80A4A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29" w:type="dxa"/>
                  <w:tcBorders>
                    <w:top w:val="nil"/>
                    <w:left w:val="nil"/>
                    <w:bottom w:val="nil"/>
                    <w:right w:val="nil"/>
                    <w:tl2br w:val="nil"/>
                    <w:tr2bl w:val="nil"/>
                  </w:tcBorders>
                  <w:shd w:val="clear" w:color="auto" w:fill="auto"/>
                  <w:noWrap/>
                  <w:tcMar>
                    <w:left w:w="0" w:type="dxa"/>
                    <w:right w:w="0" w:type="dxa"/>
                  </w:tcMar>
                  <w:vAlign w:val="bottom"/>
                </w:tcPr>
                <w:p w14:paraId="1E68817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23" w:type="dxa"/>
                  <w:tcBorders>
                    <w:top w:val="nil"/>
                    <w:left w:val="nil"/>
                    <w:bottom w:val="nil"/>
                    <w:right w:val="nil"/>
                    <w:tl2br w:val="nil"/>
                    <w:tr2bl w:val="nil"/>
                  </w:tcBorders>
                  <w:shd w:val="clear" w:color="auto" w:fill="auto"/>
                  <w:noWrap/>
                  <w:tcMar>
                    <w:left w:w="0" w:type="dxa"/>
                    <w:right w:w="0" w:type="dxa"/>
                  </w:tcMar>
                  <w:vAlign w:val="bottom"/>
                </w:tcPr>
                <w:p w14:paraId="2A3C7FF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709" w:type="dxa"/>
                  <w:tcBorders>
                    <w:top w:val="nil"/>
                    <w:left w:val="nil"/>
                    <w:bottom w:val="nil"/>
                    <w:right w:val="nil"/>
                    <w:tl2br w:val="nil"/>
                    <w:tr2bl w:val="nil"/>
                  </w:tcBorders>
                  <w:shd w:val="clear" w:color="auto" w:fill="auto"/>
                  <w:noWrap/>
                  <w:tcMar>
                    <w:left w:w="0" w:type="dxa"/>
                    <w:right w:w="0" w:type="dxa"/>
                  </w:tcMar>
                  <w:vAlign w:val="bottom"/>
                </w:tcPr>
                <w:p w14:paraId="6E05DB4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71B9331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8EACBF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129F498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3D56E0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2DE9F6A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3A839C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67BDBB0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4BD8BD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85" w:type="dxa"/>
                  <w:tcBorders>
                    <w:top w:val="nil"/>
                    <w:left w:val="nil"/>
                    <w:bottom w:val="nil"/>
                    <w:right w:val="nil"/>
                    <w:tl2br w:val="nil"/>
                    <w:tr2bl w:val="nil"/>
                  </w:tcBorders>
                  <w:shd w:val="clear" w:color="auto" w:fill="auto"/>
                  <w:noWrap/>
                  <w:tcMar>
                    <w:left w:w="0" w:type="dxa"/>
                    <w:right w:w="135" w:type="dxa"/>
                  </w:tcMar>
                  <w:vAlign w:val="bottom"/>
                </w:tcPr>
                <w:p w14:paraId="26AA475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7D84F4D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360" w:type="dxa"/>
                  <w:gridSpan w:val="4"/>
                  <w:tcBorders>
                    <w:top w:val="nil"/>
                    <w:left w:val="nil"/>
                    <w:bottom w:val="nil"/>
                    <w:right w:val="nil"/>
                    <w:tl2br w:val="nil"/>
                    <w:tr2bl w:val="nil"/>
                  </w:tcBorders>
                  <w:shd w:val="clear" w:color="auto" w:fill="auto"/>
                  <w:tcMar>
                    <w:left w:w="43" w:type="dxa"/>
                    <w:right w:w="43" w:type="dxa"/>
                  </w:tcMar>
                  <w:vAlign w:val="bottom"/>
                </w:tcPr>
                <w:p w14:paraId="7B39B41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Amounts classified or reclassified to profit or loss</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FBFE31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2F782E3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090EE3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431044D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22EE70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3C6173A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19E701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285" w:type="dxa"/>
                  <w:tcBorders>
                    <w:top w:val="nil"/>
                    <w:left w:val="nil"/>
                    <w:bottom w:val="nil"/>
                    <w:right w:val="nil"/>
                    <w:tl2br w:val="nil"/>
                    <w:tr2bl w:val="nil"/>
                  </w:tcBorders>
                  <w:shd w:val="clear" w:color="auto" w:fill="auto"/>
                  <w:noWrap/>
                  <w:tcMar>
                    <w:left w:w="0" w:type="dxa"/>
                    <w:right w:w="135" w:type="dxa"/>
                  </w:tcMar>
                  <w:vAlign w:val="bottom"/>
                </w:tcPr>
                <w:p w14:paraId="363DD79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r>
            <w:tr w:rsidR="007F4C68" w:rsidRPr="007F4C68" w14:paraId="4DEC0BA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29" w:type="dxa"/>
                  <w:tcBorders>
                    <w:top w:val="nil"/>
                    <w:left w:val="nil"/>
                    <w:bottom w:val="nil"/>
                    <w:right w:val="nil"/>
                    <w:tl2br w:val="nil"/>
                    <w:tr2bl w:val="nil"/>
                  </w:tcBorders>
                  <w:shd w:val="clear" w:color="auto" w:fill="auto"/>
                  <w:noWrap/>
                  <w:tcMar>
                    <w:left w:w="0" w:type="dxa"/>
                    <w:right w:w="0" w:type="dxa"/>
                  </w:tcMar>
                  <w:vAlign w:val="bottom"/>
                </w:tcPr>
                <w:p w14:paraId="70B2468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23" w:type="dxa"/>
                  <w:tcBorders>
                    <w:top w:val="nil"/>
                    <w:left w:val="nil"/>
                    <w:bottom w:val="nil"/>
                    <w:right w:val="nil"/>
                    <w:tl2br w:val="nil"/>
                    <w:tr2bl w:val="nil"/>
                  </w:tcBorders>
                  <w:shd w:val="clear" w:color="auto" w:fill="auto"/>
                  <w:noWrap/>
                  <w:tcMar>
                    <w:left w:w="0" w:type="dxa"/>
                    <w:right w:w="0" w:type="dxa"/>
                  </w:tcMar>
                  <w:vAlign w:val="bottom"/>
                </w:tcPr>
                <w:p w14:paraId="02499D1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3709" w:type="dxa"/>
                  <w:tcBorders>
                    <w:top w:val="nil"/>
                    <w:left w:val="nil"/>
                    <w:bottom w:val="nil"/>
                    <w:right w:val="nil"/>
                    <w:tl2br w:val="nil"/>
                    <w:tr2bl w:val="nil"/>
                  </w:tcBorders>
                  <w:shd w:val="clear" w:color="auto" w:fill="auto"/>
                  <w:noWrap/>
                  <w:tcMar>
                    <w:left w:w="0" w:type="dxa"/>
                    <w:right w:w="0" w:type="dxa"/>
                  </w:tcMar>
                  <w:vAlign w:val="bottom"/>
                </w:tcPr>
                <w:p w14:paraId="5D1B42C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79DECA6D"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308B68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304F277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7AAED8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23665AD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8B6951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0" w:type="dxa"/>
                    <w:right w:w="135" w:type="dxa"/>
                  </w:tcMar>
                  <w:vAlign w:val="bottom"/>
                </w:tcPr>
                <w:p w14:paraId="7F82375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19125D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285" w:type="dxa"/>
                  <w:tcBorders>
                    <w:top w:val="nil"/>
                    <w:left w:val="nil"/>
                    <w:bottom w:val="nil"/>
                    <w:right w:val="nil"/>
                    <w:tl2br w:val="nil"/>
                    <w:tr2bl w:val="nil"/>
                  </w:tcBorders>
                  <w:shd w:val="clear" w:color="auto" w:fill="auto"/>
                  <w:noWrap/>
                  <w:tcMar>
                    <w:left w:w="0" w:type="dxa"/>
                    <w:right w:w="135" w:type="dxa"/>
                  </w:tcMar>
                  <w:vAlign w:val="bottom"/>
                </w:tcPr>
                <w:p w14:paraId="7864CBD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r>
            <w:tr w:rsidR="007F4C68" w:rsidRPr="007F4C68" w14:paraId="19B0BD9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9"/>
              </w:trPr>
              <w:tc>
                <w:tcPr>
                  <w:tcW w:w="4361" w:type="dxa"/>
                  <w:gridSpan w:val="3"/>
                  <w:tcBorders>
                    <w:top w:val="nil"/>
                    <w:left w:val="nil"/>
                    <w:bottom w:val="nil"/>
                    <w:right w:val="nil"/>
                    <w:tl2br w:val="nil"/>
                    <w:tr2bl w:val="nil"/>
                  </w:tcBorders>
                  <w:shd w:val="clear" w:color="auto" w:fill="auto"/>
                  <w:noWrap/>
                  <w:tcMar>
                    <w:left w:w="43" w:type="dxa"/>
                    <w:right w:w="43" w:type="dxa"/>
                  </w:tcMar>
                  <w:vAlign w:val="bottom"/>
                </w:tcPr>
                <w:p w14:paraId="73881A3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Adjustments for conversion of financial statements of foreign operations </w:t>
                  </w:r>
                </w:p>
              </w:tc>
              <w:tc>
                <w:tcPr>
                  <w:tcW w:w="999" w:type="dxa"/>
                  <w:tcBorders>
                    <w:top w:val="nil"/>
                    <w:left w:val="nil"/>
                    <w:bottom w:val="nil"/>
                    <w:right w:val="nil"/>
                    <w:tl2br w:val="nil"/>
                    <w:tr2bl w:val="nil"/>
                  </w:tcBorders>
                  <w:shd w:val="clear" w:color="auto" w:fill="auto"/>
                  <w:noWrap/>
                  <w:tcMar>
                    <w:left w:w="43" w:type="dxa"/>
                    <w:right w:w="178" w:type="dxa"/>
                  </w:tcMar>
                  <w:vAlign w:val="bottom"/>
                </w:tcPr>
                <w:p w14:paraId="4763EA8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F284E5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43" w:type="dxa"/>
                    <w:right w:w="178" w:type="dxa"/>
                  </w:tcMar>
                  <w:vAlign w:val="bottom"/>
                </w:tcPr>
                <w:p w14:paraId="285387D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78F7AE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43" w:type="dxa"/>
                    <w:right w:w="178" w:type="dxa"/>
                  </w:tcMar>
                  <w:vAlign w:val="bottom"/>
                </w:tcPr>
                <w:p w14:paraId="466ADF6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D09A3C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nil"/>
                    <w:right w:val="nil"/>
                    <w:tl2br w:val="nil"/>
                    <w:tr2bl w:val="nil"/>
                  </w:tcBorders>
                  <w:shd w:val="clear" w:color="auto" w:fill="auto"/>
                  <w:noWrap/>
                  <w:tcMar>
                    <w:left w:w="43" w:type="dxa"/>
                    <w:right w:w="178" w:type="dxa"/>
                  </w:tcMar>
                  <w:vAlign w:val="bottom"/>
                </w:tcPr>
                <w:p w14:paraId="45DCBA9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FEF46F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85" w:type="dxa"/>
                  <w:tcBorders>
                    <w:top w:val="nil"/>
                    <w:left w:val="nil"/>
                    <w:bottom w:val="nil"/>
                    <w:right w:val="nil"/>
                    <w:tl2br w:val="nil"/>
                    <w:tr2bl w:val="nil"/>
                  </w:tcBorders>
                  <w:shd w:val="clear" w:color="auto" w:fill="auto"/>
                  <w:noWrap/>
                  <w:tcMar>
                    <w:left w:w="43" w:type="dxa"/>
                    <w:right w:w="178" w:type="dxa"/>
                  </w:tcMar>
                  <w:vAlign w:val="bottom"/>
                </w:tcPr>
                <w:p w14:paraId="598335B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38</w:t>
                  </w:r>
                </w:p>
              </w:tc>
            </w:tr>
            <w:tr w:rsidR="007F4C68" w:rsidRPr="007F4C68" w14:paraId="284EF1E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361" w:type="dxa"/>
                  <w:gridSpan w:val="3"/>
                  <w:tcBorders>
                    <w:top w:val="nil"/>
                    <w:left w:val="nil"/>
                    <w:bottom w:val="nil"/>
                    <w:right w:val="nil"/>
                    <w:tl2br w:val="nil"/>
                    <w:tr2bl w:val="nil"/>
                  </w:tcBorders>
                  <w:shd w:val="clear" w:color="auto" w:fill="auto"/>
                  <w:noWrap/>
                  <w:tcMar>
                    <w:left w:w="0" w:type="dxa"/>
                    <w:right w:w="0" w:type="dxa"/>
                  </w:tcMar>
                  <w:vAlign w:val="bottom"/>
                </w:tcPr>
                <w:p w14:paraId="2C6548D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4A7CF1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4C0C30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205DDC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61AAC4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84F2EF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0C90B5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BC544D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9EE374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8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2CB9CE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73D0357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0"/>
              </w:trPr>
              <w:tc>
                <w:tcPr>
                  <w:tcW w:w="4361" w:type="dxa"/>
                  <w:gridSpan w:val="3"/>
                  <w:tcBorders>
                    <w:top w:val="nil"/>
                    <w:left w:val="nil"/>
                    <w:bottom w:val="nil"/>
                    <w:right w:val="nil"/>
                    <w:tl2br w:val="nil"/>
                    <w:tr2bl w:val="nil"/>
                  </w:tcBorders>
                  <w:shd w:val="clear" w:color="auto" w:fill="auto"/>
                  <w:noWrap/>
                  <w:tcMar>
                    <w:left w:w="43" w:type="dxa"/>
                    <w:right w:w="43" w:type="dxa"/>
                  </w:tcMar>
                  <w:vAlign w:val="bottom"/>
                </w:tcPr>
                <w:p w14:paraId="77A4112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Other comprehensive income (loss) attributed to the Company</w:t>
                  </w:r>
                </w:p>
              </w:tc>
              <w:tc>
                <w:tcPr>
                  <w:tcW w:w="9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C32C8E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352278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1C419C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B1D9AC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9C7493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D51828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B0A297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FE4EC8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8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C52E96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38</w:t>
                  </w:r>
                </w:p>
              </w:tc>
            </w:tr>
            <w:tr w:rsidR="007F4C68" w:rsidRPr="007F4C68" w14:paraId="0BE942F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361" w:type="dxa"/>
                  <w:gridSpan w:val="3"/>
                  <w:tcBorders>
                    <w:top w:val="nil"/>
                    <w:left w:val="nil"/>
                    <w:bottom w:val="nil"/>
                    <w:right w:val="nil"/>
                    <w:tl2br w:val="nil"/>
                    <w:tr2bl w:val="nil"/>
                  </w:tcBorders>
                  <w:shd w:val="clear" w:color="auto" w:fill="auto"/>
                  <w:noWrap/>
                  <w:tcMar>
                    <w:left w:w="0" w:type="dxa"/>
                    <w:right w:w="0" w:type="dxa"/>
                  </w:tcMar>
                  <w:vAlign w:val="bottom"/>
                </w:tcPr>
                <w:p w14:paraId="15A0AA9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FBC525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6AEDED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DA8C4A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E8C80D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F36EFC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99A5A7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18CB2A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DADEE5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8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49DFC6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199C746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9"/>
              </w:trPr>
              <w:tc>
                <w:tcPr>
                  <w:tcW w:w="4361" w:type="dxa"/>
                  <w:gridSpan w:val="3"/>
                  <w:tcBorders>
                    <w:top w:val="nil"/>
                    <w:left w:val="nil"/>
                    <w:bottom w:val="nil"/>
                    <w:right w:val="nil"/>
                    <w:tl2br w:val="nil"/>
                    <w:tr2bl w:val="nil"/>
                  </w:tcBorders>
                  <w:shd w:val="clear" w:color="auto" w:fill="auto"/>
                  <w:noWrap/>
                  <w:tcMar>
                    <w:left w:w="43" w:type="dxa"/>
                    <w:right w:w="43" w:type="dxa"/>
                  </w:tcMar>
                  <w:vAlign w:val="bottom"/>
                </w:tcPr>
                <w:p w14:paraId="0EBA595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Other comprehensive income (loss) attributed to the subsidiaries</w:t>
                  </w:r>
                </w:p>
              </w:tc>
              <w:tc>
                <w:tcPr>
                  <w:tcW w:w="9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E0147A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(94)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2259EB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8479BC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680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E307A2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4CA5DD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27DF13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49CBAF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365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BBCFDE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8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C6569E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500</w:t>
                  </w:r>
                </w:p>
              </w:tc>
            </w:tr>
            <w:tr w:rsidR="007F4C68" w:rsidRPr="007F4C68" w14:paraId="5A987A1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361" w:type="dxa"/>
                  <w:gridSpan w:val="3"/>
                  <w:tcBorders>
                    <w:top w:val="nil"/>
                    <w:left w:val="nil"/>
                    <w:bottom w:val="nil"/>
                    <w:right w:val="nil"/>
                    <w:tl2br w:val="nil"/>
                    <w:tr2bl w:val="nil"/>
                  </w:tcBorders>
                  <w:shd w:val="clear" w:color="auto" w:fill="auto"/>
                  <w:noWrap/>
                  <w:tcMar>
                    <w:left w:w="0" w:type="dxa"/>
                    <w:right w:w="0" w:type="dxa"/>
                  </w:tcMar>
                  <w:vAlign w:val="bottom"/>
                </w:tcPr>
                <w:p w14:paraId="222935D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203E82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AECFE1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0DCE33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504AE0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F9563F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127D1E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FACF52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9455EF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8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557F68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0006ED9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0"/>
              </w:trPr>
              <w:tc>
                <w:tcPr>
                  <w:tcW w:w="4361" w:type="dxa"/>
                  <w:gridSpan w:val="3"/>
                  <w:tcBorders>
                    <w:top w:val="nil"/>
                    <w:left w:val="nil"/>
                    <w:bottom w:val="nil"/>
                    <w:right w:val="nil"/>
                    <w:tl2br w:val="nil"/>
                    <w:tr2bl w:val="nil"/>
                  </w:tcBorders>
                  <w:shd w:val="clear" w:color="auto" w:fill="auto"/>
                  <w:noWrap/>
                  <w:tcMar>
                    <w:left w:w="43" w:type="dxa"/>
                    <w:right w:w="43" w:type="dxa"/>
                  </w:tcMar>
                  <w:vAlign w:val="bottom"/>
                </w:tcPr>
                <w:p w14:paraId="2691C72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Total other comprehensive income (loss) attributed   to the Company</w:t>
                  </w:r>
                </w:p>
              </w:tc>
              <w:tc>
                <w:tcPr>
                  <w:tcW w:w="9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191555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(85)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F82E8D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C2AF62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690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73196E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477BF6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0F6294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E9A93B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314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B217DD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85"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EE4867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538</w:t>
                  </w:r>
                </w:p>
              </w:tc>
            </w:tr>
            <w:tr w:rsidR="007F4C68" w:rsidRPr="007F4C68" w14:paraId="2B3D0C4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29" w:type="dxa"/>
                  <w:tcBorders>
                    <w:top w:val="nil"/>
                    <w:left w:val="nil"/>
                    <w:bottom w:val="nil"/>
                    <w:right w:val="nil"/>
                    <w:tl2br w:val="nil"/>
                    <w:tr2bl w:val="nil"/>
                  </w:tcBorders>
                  <w:shd w:val="clear" w:color="auto" w:fill="auto"/>
                  <w:noWrap/>
                  <w:tcMar>
                    <w:left w:w="0" w:type="dxa"/>
                    <w:right w:w="0" w:type="dxa"/>
                  </w:tcMar>
                  <w:vAlign w:val="bottom"/>
                </w:tcPr>
                <w:p w14:paraId="24D50DA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23" w:type="dxa"/>
                  <w:tcBorders>
                    <w:top w:val="nil"/>
                    <w:left w:val="nil"/>
                    <w:bottom w:val="nil"/>
                    <w:right w:val="nil"/>
                    <w:tl2br w:val="nil"/>
                    <w:tr2bl w:val="nil"/>
                  </w:tcBorders>
                  <w:shd w:val="clear" w:color="auto" w:fill="auto"/>
                  <w:noWrap/>
                  <w:tcMar>
                    <w:left w:w="0" w:type="dxa"/>
                    <w:right w:w="0" w:type="dxa"/>
                  </w:tcMar>
                  <w:vAlign w:val="bottom"/>
                </w:tcPr>
                <w:p w14:paraId="1C796CB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709" w:type="dxa"/>
                  <w:tcBorders>
                    <w:top w:val="nil"/>
                    <w:left w:val="nil"/>
                    <w:bottom w:val="nil"/>
                    <w:right w:val="nil"/>
                    <w:tl2br w:val="nil"/>
                    <w:tr2bl w:val="nil"/>
                  </w:tcBorders>
                  <w:shd w:val="clear" w:color="auto" w:fill="auto"/>
                  <w:noWrap/>
                  <w:tcMar>
                    <w:left w:w="0" w:type="dxa"/>
                    <w:right w:w="0" w:type="dxa"/>
                  </w:tcMar>
                  <w:vAlign w:val="bottom"/>
                </w:tcPr>
                <w:p w14:paraId="794BFCD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330DBC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46CBA1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A2ABE0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4C8A73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0C414A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D58B6B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F673E5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6D042B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8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E9D150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2418CEE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5"/>
              </w:trPr>
              <w:tc>
                <w:tcPr>
                  <w:tcW w:w="4361" w:type="dxa"/>
                  <w:gridSpan w:val="3"/>
                  <w:tcBorders>
                    <w:top w:val="nil"/>
                    <w:left w:val="nil"/>
                    <w:bottom w:val="nil"/>
                    <w:right w:val="nil"/>
                    <w:tl2br w:val="nil"/>
                    <w:tr2bl w:val="nil"/>
                  </w:tcBorders>
                  <w:shd w:val="clear" w:color="auto" w:fill="auto"/>
                  <w:noWrap/>
                  <w:tcMar>
                    <w:left w:w="43" w:type="dxa"/>
                    <w:right w:w="43" w:type="dxa"/>
                  </w:tcMar>
                  <w:vAlign w:val="bottom"/>
                </w:tcPr>
                <w:p w14:paraId="600DE6D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Total comprehensive income (loss) attributed to the Company</w:t>
                  </w:r>
                </w:p>
              </w:tc>
              <w:tc>
                <w:tcPr>
                  <w:tcW w:w="999"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105DFCD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167</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0BA383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030BB44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178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310E6C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6A717E5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333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F07F93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0FF07C4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311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7DBE28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85"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698EBDE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(665)</w:t>
                  </w:r>
                </w:p>
              </w:tc>
            </w:tr>
            <w:tr w:rsidR="007F4C68" w:rsidRPr="007F4C68" w14:paraId="2149D98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29" w:type="dxa"/>
                  <w:tcBorders>
                    <w:top w:val="nil"/>
                    <w:left w:val="nil"/>
                    <w:bottom w:val="nil"/>
                    <w:right w:val="nil"/>
                    <w:tl2br w:val="nil"/>
                    <w:tr2bl w:val="nil"/>
                  </w:tcBorders>
                  <w:shd w:val="clear" w:color="auto" w:fill="auto"/>
                  <w:noWrap/>
                  <w:tcMar>
                    <w:left w:w="0" w:type="dxa"/>
                    <w:right w:w="0" w:type="dxa"/>
                  </w:tcMar>
                  <w:vAlign w:val="bottom"/>
                </w:tcPr>
                <w:p w14:paraId="66C5D79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23" w:type="dxa"/>
                  <w:tcBorders>
                    <w:top w:val="nil"/>
                    <w:left w:val="nil"/>
                    <w:bottom w:val="nil"/>
                    <w:right w:val="nil"/>
                    <w:tl2br w:val="nil"/>
                    <w:tr2bl w:val="nil"/>
                  </w:tcBorders>
                  <w:shd w:val="clear" w:color="auto" w:fill="auto"/>
                  <w:noWrap/>
                  <w:tcMar>
                    <w:left w:w="0" w:type="dxa"/>
                    <w:right w:w="0" w:type="dxa"/>
                  </w:tcMar>
                  <w:vAlign w:val="bottom"/>
                </w:tcPr>
                <w:p w14:paraId="4EECC91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709" w:type="dxa"/>
                  <w:tcBorders>
                    <w:top w:val="nil"/>
                    <w:left w:val="nil"/>
                    <w:bottom w:val="nil"/>
                    <w:right w:val="nil"/>
                    <w:tl2br w:val="nil"/>
                    <w:tr2bl w:val="nil"/>
                  </w:tcBorders>
                  <w:shd w:val="clear" w:color="auto" w:fill="auto"/>
                  <w:noWrap/>
                  <w:tcMar>
                    <w:left w:w="0" w:type="dxa"/>
                    <w:right w:w="0" w:type="dxa"/>
                  </w:tcMar>
                  <w:vAlign w:val="bottom"/>
                </w:tcPr>
                <w:p w14:paraId="6CEB869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29840A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45F4234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1F9220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0D9AF68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999"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CEF80C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5B2C9BA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999"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95B259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18BDCAE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28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41CD5F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6545DD6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6"/>
              </w:trPr>
              <w:tc>
                <w:tcPr>
                  <w:tcW w:w="10206" w:type="dxa"/>
                  <w:gridSpan w:val="12"/>
                  <w:tcBorders>
                    <w:top w:val="nil"/>
                    <w:left w:val="nil"/>
                    <w:bottom w:val="nil"/>
                    <w:right w:val="nil"/>
                    <w:tl2br w:val="nil"/>
                    <w:tr2bl w:val="nil"/>
                  </w:tcBorders>
                  <w:shd w:val="clear" w:color="auto" w:fill="auto"/>
                  <w:noWrap/>
                  <w:tcMar>
                    <w:left w:w="43" w:type="dxa"/>
                    <w:right w:w="43" w:type="dxa"/>
                  </w:tcMar>
                  <w:vAlign w:val="bottom"/>
                </w:tcPr>
                <w:p w14:paraId="292AAD44"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r w:rsidRPr="007F4C68">
                    <w:rPr>
                      <w:rFonts w:asciiTheme="majorBidi" w:hAnsiTheme="majorBidi" w:cstheme="majorBidi"/>
                      <w:color w:val="000000"/>
                    </w:rPr>
                    <w:t>The accompanying additional information is an integral part of the financial information and of the separate financial information.</w:t>
                  </w:r>
                </w:p>
              </w:tc>
            </w:tr>
          </w:tbl>
          <w:p w14:paraId="444B67C6" w14:textId="77777777" w:rsidR="007F4C68" w:rsidRPr="007F4C68" w:rsidRDefault="007F4C68" w:rsidP="00A65A6F">
            <w:pPr>
              <w:rPr>
                <w:rFonts w:asciiTheme="majorBidi" w:hAnsiTheme="majorBidi" w:cstheme="majorBidi"/>
              </w:rPr>
            </w:pPr>
          </w:p>
        </w:tc>
      </w:tr>
    </w:tbl>
    <w:p w14:paraId="6B6E94B0" w14:textId="77777777" w:rsidR="007F4C68" w:rsidRPr="007F4C68" w:rsidRDefault="007F4C68" w:rsidP="007F4C68">
      <w:pPr>
        <w:spacing w:after="200"/>
        <w:rPr>
          <w:rFonts w:asciiTheme="majorBidi" w:hAnsiTheme="majorBidi" w:cstheme="majorBidi"/>
          <w:vanish/>
          <w:sz w:val="21"/>
          <w:szCs w:val="21"/>
        </w:rPr>
        <w:sectPr w:rsidR="007F4C68" w:rsidRPr="007F4C68" w:rsidSect="007F4C68">
          <w:headerReference w:type="even" r:id="rId83"/>
          <w:headerReference w:type="default" r:id="rId84"/>
          <w:footerReference w:type="even" r:id="rId85"/>
          <w:footerReference w:type="default" r:id="rId86"/>
          <w:headerReference w:type="first" r:id="rId87"/>
          <w:footerReference w:type="first" r:id="rId88"/>
          <w:footnotePr>
            <w:numRestart w:val="eachPage"/>
          </w:footnotePr>
          <w:type w:val="continuous"/>
          <w:pgSz w:w="11906" w:h="16838"/>
          <w:pgMar w:top="1418" w:right="992" w:bottom="1134" w:left="992" w:header="567" w:footer="567" w:gutter="0"/>
          <w:pgBorders>
            <w:top w:val="nil"/>
            <w:left w:val="nil"/>
            <w:bottom w:val="nil"/>
            <w:right w:val="nil"/>
          </w:pgBorders>
          <w:cols w:space="720"/>
          <w:rtlGutter/>
          <w:docGrid w:linePitch="360"/>
        </w:sectPr>
      </w:pPr>
    </w:p>
    <w:p w14:paraId="0C4B03ED" w14:textId="77777777" w:rsidR="007F4C68" w:rsidRPr="007F4C68" w:rsidRDefault="007F4C68" w:rsidP="007F4C68">
      <w:pPr>
        <w:pageBreakBefore/>
        <w:contextualSpacing/>
        <w:rPr>
          <w:rFonts w:asciiTheme="majorBidi" w:hAnsiTheme="majorBidi" w:cstheme="majorBidi"/>
          <w:vanish/>
          <w:sz w:val="21"/>
          <w:szCs w:val="21"/>
        </w:rPr>
      </w:pPr>
      <w:bookmarkStart w:id="191" w:name="RG_MARKER_56649"/>
      <w:bookmarkStart w:id="192" w:name="RG_MARKER_56597"/>
      <w:bookmarkEnd w:id="191"/>
      <w:bookmarkEnd w:id="19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7F4C68" w:rsidRPr="007F4C68" w14:paraId="775C7681" w14:textId="77777777" w:rsidTr="00A65A6F">
        <w:trPr>
          <w:cantSplit/>
        </w:trPr>
        <w:tc>
          <w:tcPr>
            <w:tcW w:w="5000" w:type="pct"/>
          </w:tcPr>
          <w:tbl>
            <w:tblPr>
              <w:tblStyle w:val="CDMRange1"/>
              <w:tblW w:w="10206" w:type="dxa"/>
              <w:tblLook w:val="0600" w:firstRow="0" w:lastRow="0" w:firstColumn="0" w:lastColumn="0" w:noHBand="1" w:noVBand="1"/>
              <w:tblCaption w:val="Print_Area"/>
            </w:tblPr>
            <w:tblGrid>
              <w:gridCol w:w="569"/>
              <w:gridCol w:w="3403"/>
              <w:gridCol w:w="1011"/>
              <w:gridCol w:w="155"/>
              <w:gridCol w:w="1012"/>
              <w:gridCol w:w="156"/>
              <w:gridCol w:w="1012"/>
              <w:gridCol w:w="156"/>
              <w:gridCol w:w="1012"/>
              <w:gridCol w:w="156"/>
              <w:gridCol w:w="1280"/>
            </w:tblGrid>
            <w:tr w:rsidR="007F4C68" w:rsidRPr="007F4C68" w14:paraId="41BCC992" w14:textId="77777777" w:rsidTr="00A65A6F">
              <w:trPr>
                <w:cantSplit/>
                <w:trHeight w:val="300"/>
              </w:trPr>
              <w:tc>
                <w:tcPr>
                  <w:tcW w:w="581" w:type="dxa"/>
                  <w:tcBorders>
                    <w:top w:val="nil"/>
                    <w:left w:val="nil"/>
                    <w:bottom w:val="nil"/>
                    <w:right w:val="nil"/>
                    <w:tl2br w:val="nil"/>
                    <w:tr2bl w:val="nil"/>
                  </w:tcBorders>
                  <w:shd w:val="clear" w:color="auto" w:fill="auto"/>
                  <w:noWrap/>
                  <w:tcMar>
                    <w:left w:w="0" w:type="dxa"/>
                    <w:right w:w="0" w:type="dxa"/>
                  </w:tcMar>
                  <w:vAlign w:val="bottom"/>
                </w:tcPr>
                <w:p w14:paraId="34E2427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579" w:type="dxa"/>
                  <w:tcBorders>
                    <w:top w:val="nil"/>
                    <w:left w:val="nil"/>
                    <w:bottom w:val="nil"/>
                    <w:right w:val="nil"/>
                    <w:tl2br w:val="nil"/>
                    <w:tr2bl w:val="nil"/>
                  </w:tcBorders>
                  <w:shd w:val="clear" w:color="auto" w:fill="auto"/>
                  <w:noWrap/>
                  <w:tcMar>
                    <w:left w:w="0" w:type="dxa"/>
                    <w:right w:w="0" w:type="dxa"/>
                  </w:tcMar>
                  <w:vAlign w:val="bottom"/>
                </w:tcPr>
                <w:p w14:paraId="671B840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39" w:type="dxa"/>
                  <w:tcBorders>
                    <w:top w:val="nil"/>
                    <w:left w:val="nil"/>
                    <w:bottom w:val="nil"/>
                    <w:right w:val="nil"/>
                    <w:tl2br w:val="nil"/>
                    <w:tr2bl w:val="nil"/>
                  </w:tcBorders>
                  <w:shd w:val="clear" w:color="auto" w:fill="auto"/>
                  <w:tcMar>
                    <w:left w:w="0" w:type="dxa"/>
                    <w:right w:w="0" w:type="dxa"/>
                  </w:tcMar>
                  <w:vAlign w:val="bottom"/>
                </w:tcPr>
                <w:p w14:paraId="25A4C302"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40" w:type="dxa"/>
                  <w:tcBorders>
                    <w:top w:val="nil"/>
                    <w:left w:val="nil"/>
                    <w:bottom w:val="nil"/>
                    <w:right w:val="nil"/>
                    <w:tl2br w:val="nil"/>
                    <w:tr2bl w:val="nil"/>
                  </w:tcBorders>
                  <w:shd w:val="clear" w:color="auto" w:fill="auto"/>
                  <w:tcMar>
                    <w:left w:w="0" w:type="dxa"/>
                    <w:right w:w="0" w:type="dxa"/>
                  </w:tcMar>
                  <w:vAlign w:val="bottom"/>
                </w:tcPr>
                <w:p w14:paraId="3CD9DBA0"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040" w:type="dxa"/>
                  <w:tcBorders>
                    <w:top w:val="nil"/>
                    <w:left w:val="nil"/>
                    <w:bottom w:val="nil"/>
                    <w:right w:val="nil"/>
                    <w:tl2br w:val="nil"/>
                    <w:tr2bl w:val="nil"/>
                  </w:tcBorders>
                  <w:shd w:val="clear" w:color="auto" w:fill="auto"/>
                  <w:tcMar>
                    <w:left w:w="0" w:type="dxa"/>
                    <w:right w:w="0" w:type="dxa"/>
                  </w:tcMar>
                  <w:vAlign w:val="bottom"/>
                </w:tcPr>
                <w:p w14:paraId="0CCB4FF0"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41" w:type="dxa"/>
                  <w:tcBorders>
                    <w:top w:val="nil"/>
                    <w:left w:val="nil"/>
                    <w:bottom w:val="nil"/>
                    <w:right w:val="nil"/>
                    <w:tl2br w:val="nil"/>
                    <w:tr2bl w:val="nil"/>
                  </w:tcBorders>
                  <w:shd w:val="clear" w:color="auto" w:fill="auto"/>
                  <w:tcMar>
                    <w:left w:w="0" w:type="dxa"/>
                    <w:right w:w="0" w:type="dxa"/>
                  </w:tcMar>
                  <w:vAlign w:val="bottom"/>
                </w:tcPr>
                <w:p w14:paraId="6EC65040"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040" w:type="dxa"/>
                  <w:tcBorders>
                    <w:top w:val="nil"/>
                    <w:left w:val="nil"/>
                    <w:bottom w:val="nil"/>
                    <w:right w:val="nil"/>
                    <w:tl2br w:val="nil"/>
                    <w:tr2bl w:val="nil"/>
                  </w:tcBorders>
                  <w:shd w:val="clear" w:color="auto" w:fill="auto"/>
                  <w:tcMar>
                    <w:left w:w="0" w:type="dxa"/>
                    <w:right w:w="0" w:type="dxa"/>
                  </w:tcMar>
                  <w:vAlign w:val="bottom"/>
                </w:tcPr>
                <w:p w14:paraId="49018B94"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41" w:type="dxa"/>
                  <w:tcBorders>
                    <w:top w:val="nil"/>
                    <w:left w:val="nil"/>
                    <w:bottom w:val="nil"/>
                    <w:right w:val="nil"/>
                    <w:tl2br w:val="nil"/>
                    <w:tr2bl w:val="nil"/>
                  </w:tcBorders>
                  <w:shd w:val="clear" w:color="auto" w:fill="auto"/>
                  <w:tcMar>
                    <w:left w:w="0" w:type="dxa"/>
                    <w:right w:w="0" w:type="dxa"/>
                  </w:tcMar>
                  <w:vAlign w:val="bottom"/>
                </w:tcPr>
                <w:p w14:paraId="5B548EFF"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040" w:type="dxa"/>
                  <w:tcBorders>
                    <w:top w:val="nil"/>
                    <w:left w:val="nil"/>
                    <w:bottom w:val="nil"/>
                    <w:right w:val="nil"/>
                    <w:tl2br w:val="nil"/>
                    <w:tr2bl w:val="nil"/>
                  </w:tcBorders>
                  <w:shd w:val="clear" w:color="auto" w:fill="auto"/>
                  <w:tcMar>
                    <w:left w:w="0" w:type="dxa"/>
                    <w:right w:w="0" w:type="dxa"/>
                  </w:tcMar>
                  <w:vAlign w:val="bottom"/>
                </w:tcPr>
                <w:p w14:paraId="55FEAB7F"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41" w:type="dxa"/>
                  <w:tcBorders>
                    <w:top w:val="nil"/>
                    <w:left w:val="nil"/>
                    <w:bottom w:val="nil"/>
                    <w:right w:val="nil"/>
                    <w:tl2br w:val="nil"/>
                    <w:tr2bl w:val="nil"/>
                  </w:tcBorders>
                  <w:shd w:val="clear" w:color="auto" w:fill="auto"/>
                  <w:tcMar>
                    <w:left w:w="0" w:type="dxa"/>
                    <w:right w:w="0" w:type="dxa"/>
                  </w:tcMar>
                  <w:vAlign w:val="bottom"/>
                </w:tcPr>
                <w:p w14:paraId="2605FF54"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324" w:type="dxa"/>
                  <w:vMerge w:val="restart"/>
                  <w:tcBorders>
                    <w:top w:val="nil"/>
                    <w:left w:val="nil"/>
                    <w:bottom w:val="nil"/>
                    <w:right w:val="nil"/>
                    <w:tl2br w:val="nil"/>
                    <w:tr2bl w:val="nil"/>
                  </w:tcBorders>
                  <w:shd w:val="clear" w:color="auto" w:fill="auto"/>
                  <w:tcMar>
                    <w:left w:w="43" w:type="dxa"/>
                    <w:right w:w="43" w:type="dxa"/>
                  </w:tcMar>
                  <w:vAlign w:val="bottom"/>
                </w:tcPr>
                <w:p w14:paraId="4F210B56"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Year ended December 31</w:t>
                  </w:r>
                </w:p>
              </w:tc>
            </w:tr>
            <w:tr w:rsidR="007F4C68" w:rsidRPr="007F4C68" w14:paraId="530962F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81" w:type="dxa"/>
                  <w:tcBorders>
                    <w:top w:val="nil"/>
                    <w:left w:val="nil"/>
                    <w:bottom w:val="nil"/>
                    <w:right w:val="nil"/>
                    <w:tl2br w:val="nil"/>
                    <w:tr2bl w:val="nil"/>
                  </w:tcBorders>
                  <w:shd w:val="clear" w:color="auto" w:fill="auto"/>
                  <w:noWrap/>
                  <w:tcMar>
                    <w:left w:w="0" w:type="dxa"/>
                    <w:right w:w="0" w:type="dxa"/>
                  </w:tcMar>
                  <w:vAlign w:val="bottom"/>
                </w:tcPr>
                <w:p w14:paraId="028DAC07"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579" w:type="dxa"/>
                  <w:tcBorders>
                    <w:top w:val="nil"/>
                    <w:left w:val="nil"/>
                    <w:bottom w:val="nil"/>
                    <w:right w:val="nil"/>
                    <w:tl2br w:val="nil"/>
                    <w:tr2bl w:val="nil"/>
                  </w:tcBorders>
                  <w:shd w:val="clear" w:color="auto" w:fill="auto"/>
                  <w:noWrap/>
                  <w:tcMar>
                    <w:left w:w="0" w:type="dxa"/>
                    <w:right w:w="0" w:type="dxa"/>
                  </w:tcMar>
                  <w:vAlign w:val="bottom"/>
                </w:tcPr>
                <w:p w14:paraId="100D2EA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219"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64C4B482"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 xml:space="preserve">Six months ended </w:t>
                  </w:r>
                </w:p>
                <w:p w14:paraId="694DD443"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June 30</w:t>
                  </w:r>
                </w:p>
              </w:tc>
              <w:tc>
                <w:tcPr>
                  <w:tcW w:w="141" w:type="dxa"/>
                  <w:tcBorders>
                    <w:top w:val="nil"/>
                    <w:left w:val="nil"/>
                    <w:bottom w:val="nil"/>
                    <w:right w:val="nil"/>
                    <w:tl2br w:val="nil"/>
                    <w:tr2bl w:val="nil"/>
                  </w:tcBorders>
                  <w:shd w:val="clear" w:color="auto" w:fill="auto"/>
                  <w:tcMar>
                    <w:left w:w="0" w:type="dxa"/>
                    <w:right w:w="0" w:type="dxa"/>
                  </w:tcMar>
                  <w:vAlign w:val="bottom"/>
                </w:tcPr>
                <w:p w14:paraId="69D503E6" w14:textId="77777777" w:rsidR="007F4C68" w:rsidRPr="007F4C68" w:rsidRDefault="007F4C68" w:rsidP="00A65A6F">
                  <w:pPr>
                    <w:keepNext/>
                    <w:spacing w:before="0" w:after="0"/>
                    <w:jc w:val="left"/>
                    <w:rPr>
                      <w:rFonts w:asciiTheme="majorBidi" w:eastAsia="Ploni ML Medium AAA Medium" w:hAnsiTheme="majorBidi" w:cstheme="majorBidi"/>
                      <w:b/>
                      <w:color w:val="000000"/>
                    </w:rPr>
                  </w:pPr>
                </w:p>
              </w:tc>
              <w:tc>
                <w:tcPr>
                  <w:tcW w:w="2221"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2C038E89"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 xml:space="preserve">Three months ended </w:t>
                  </w:r>
                </w:p>
                <w:p w14:paraId="1F7FDA8A"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June 30</w:t>
                  </w:r>
                </w:p>
              </w:tc>
              <w:tc>
                <w:tcPr>
                  <w:tcW w:w="141" w:type="dxa"/>
                  <w:tcBorders>
                    <w:top w:val="nil"/>
                    <w:left w:val="nil"/>
                    <w:bottom w:val="nil"/>
                    <w:right w:val="nil"/>
                    <w:tl2br w:val="nil"/>
                    <w:tr2bl w:val="nil"/>
                  </w:tcBorders>
                  <w:shd w:val="clear" w:color="auto" w:fill="auto"/>
                  <w:tcMar>
                    <w:left w:w="0" w:type="dxa"/>
                    <w:right w:w="0" w:type="dxa"/>
                  </w:tcMar>
                  <w:vAlign w:val="bottom"/>
                </w:tcPr>
                <w:p w14:paraId="06EF9F87"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324" w:type="dxa"/>
                  <w:vMerge/>
                  <w:tcBorders>
                    <w:top w:val="nil"/>
                    <w:left w:val="nil"/>
                    <w:bottom w:val="nil"/>
                    <w:right w:val="nil"/>
                    <w:tl2br w:val="nil"/>
                    <w:tr2bl w:val="nil"/>
                  </w:tcBorders>
                  <w:shd w:val="clear" w:color="auto" w:fill="auto"/>
                  <w:tcMar>
                    <w:left w:w="0" w:type="dxa"/>
                    <w:right w:w="0" w:type="dxa"/>
                  </w:tcMar>
                  <w:vAlign w:val="bottom"/>
                </w:tcPr>
                <w:p w14:paraId="31C7A4C8"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r>
            <w:tr w:rsidR="007F4C68" w:rsidRPr="007F4C68" w14:paraId="3A177F1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81" w:type="dxa"/>
                  <w:tcBorders>
                    <w:top w:val="nil"/>
                    <w:left w:val="nil"/>
                    <w:bottom w:val="nil"/>
                    <w:right w:val="nil"/>
                    <w:tl2br w:val="nil"/>
                    <w:tr2bl w:val="nil"/>
                  </w:tcBorders>
                  <w:shd w:val="clear" w:color="auto" w:fill="auto"/>
                  <w:noWrap/>
                  <w:tcMar>
                    <w:left w:w="0" w:type="dxa"/>
                    <w:right w:w="0" w:type="dxa"/>
                  </w:tcMar>
                  <w:vAlign w:val="bottom"/>
                </w:tcPr>
                <w:p w14:paraId="2A26CDE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579" w:type="dxa"/>
                  <w:tcBorders>
                    <w:top w:val="nil"/>
                    <w:left w:val="nil"/>
                    <w:bottom w:val="nil"/>
                    <w:right w:val="nil"/>
                    <w:tl2br w:val="nil"/>
                    <w:tr2bl w:val="nil"/>
                  </w:tcBorders>
                  <w:shd w:val="clear" w:color="auto" w:fill="auto"/>
                  <w:noWrap/>
                  <w:tcMar>
                    <w:left w:w="0" w:type="dxa"/>
                    <w:right w:w="0" w:type="dxa"/>
                  </w:tcMar>
                  <w:vAlign w:val="bottom"/>
                </w:tcPr>
                <w:p w14:paraId="2DB558B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39"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2119BA8E"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2024</w:t>
                  </w:r>
                </w:p>
              </w:tc>
              <w:tc>
                <w:tcPr>
                  <w:tcW w:w="140" w:type="dxa"/>
                  <w:tcBorders>
                    <w:top w:val="single" w:sz="4" w:space="0" w:color="000000"/>
                    <w:left w:val="nil"/>
                    <w:bottom w:val="nil"/>
                    <w:right w:val="nil"/>
                    <w:tl2br w:val="nil"/>
                    <w:tr2bl w:val="nil"/>
                  </w:tcBorders>
                  <w:shd w:val="clear" w:color="auto" w:fill="auto"/>
                  <w:tcMar>
                    <w:left w:w="0" w:type="dxa"/>
                    <w:right w:w="0" w:type="dxa"/>
                  </w:tcMar>
                  <w:vAlign w:val="bottom"/>
                </w:tcPr>
                <w:p w14:paraId="73168B09"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04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42E0D3FA"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c>
                <w:tcPr>
                  <w:tcW w:w="141" w:type="dxa"/>
                  <w:tcBorders>
                    <w:top w:val="nil"/>
                    <w:left w:val="nil"/>
                    <w:bottom w:val="nil"/>
                    <w:right w:val="nil"/>
                    <w:tl2br w:val="nil"/>
                    <w:tr2bl w:val="nil"/>
                  </w:tcBorders>
                  <w:shd w:val="clear" w:color="auto" w:fill="auto"/>
                  <w:tcMar>
                    <w:left w:w="0" w:type="dxa"/>
                    <w:right w:w="0" w:type="dxa"/>
                  </w:tcMar>
                  <w:vAlign w:val="bottom"/>
                </w:tcPr>
                <w:p w14:paraId="4630F377"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04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5EF8E74F"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2024</w:t>
                  </w:r>
                </w:p>
              </w:tc>
              <w:tc>
                <w:tcPr>
                  <w:tcW w:w="141" w:type="dxa"/>
                  <w:tcBorders>
                    <w:top w:val="single" w:sz="4" w:space="0" w:color="000000"/>
                    <w:left w:val="nil"/>
                    <w:bottom w:val="nil"/>
                    <w:right w:val="nil"/>
                    <w:tl2br w:val="nil"/>
                    <w:tr2bl w:val="nil"/>
                  </w:tcBorders>
                  <w:shd w:val="clear" w:color="auto" w:fill="auto"/>
                  <w:tcMar>
                    <w:left w:w="0" w:type="dxa"/>
                    <w:right w:w="0" w:type="dxa"/>
                  </w:tcMar>
                  <w:vAlign w:val="bottom"/>
                </w:tcPr>
                <w:p w14:paraId="0DCE9BB1"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04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4A378E8C"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c>
                <w:tcPr>
                  <w:tcW w:w="141" w:type="dxa"/>
                  <w:tcBorders>
                    <w:top w:val="nil"/>
                    <w:left w:val="nil"/>
                    <w:bottom w:val="nil"/>
                    <w:right w:val="nil"/>
                    <w:tl2br w:val="nil"/>
                    <w:tr2bl w:val="nil"/>
                  </w:tcBorders>
                  <w:shd w:val="clear" w:color="auto" w:fill="auto"/>
                  <w:tcMar>
                    <w:left w:w="0" w:type="dxa"/>
                    <w:right w:w="0" w:type="dxa"/>
                  </w:tcMar>
                  <w:vAlign w:val="bottom"/>
                </w:tcPr>
                <w:p w14:paraId="50646202"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324" w:type="dxa"/>
                  <w:tcBorders>
                    <w:top w:val="nil"/>
                    <w:left w:val="nil"/>
                    <w:bottom w:val="single" w:sz="4" w:space="0" w:color="000000"/>
                    <w:right w:val="nil"/>
                    <w:tl2br w:val="nil"/>
                    <w:tr2bl w:val="nil"/>
                  </w:tcBorders>
                  <w:shd w:val="clear" w:color="auto" w:fill="auto"/>
                  <w:tcMar>
                    <w:left w:w="43" w:type="dxa"/>
                    <w:right w:w="43" w:type="dxa"/>
                  </w:tcMar>
                  <w:vAlign w:val="bottom"/>
                </w:tcPr>
                <w:p w14:paraId="3610B5B4"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r>
            <w:tr w:rsidR="007F4C68" w:rsidRPr="007F4C68" w14:paraId="3321827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81" w:type="dxa"/>
                  <w:tcBorders>
                    <w:top w:val="nil"/>
                    <w:left w:val="nil"/>
                    <w:bottom w:val="nil"/>
                    <w:right w:val="nil"/>
                    <w:tl2br w:val="nil"/>
                    <w:tr2bl w:val="nil"/>
                  </w:tcBorders>
                  <w:shd w:val="clear" w:color="auto" w:fill="auto"/>
                  <w:noWrap/>
                  <w:tcMar>
                    <w:left w:w="0" w:type="dxa"/>
                    <w:right w:w="0" w:type="dxa"/>
                  </w:tcMar>
                  <w:vAlign w:val="bottom"/>
                </w:tcPr>
                <w:p w14:paraId="3273D19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579" w:type="dxa"/>
                  <w:tcBorders>
                    <w:top w:val="nil"/>
                    <w:left w:val="nil"/>
                    <w:bottom w:val="nil"/>
                    <w:right w:val="nil"/>
                    <w:tl2br w:val="nil"/>
                    <w:tr2bl w:val="nil"/>
                  </w:tcBorders>
                  <w:shd w:val="clear" w:color="auto" w:fill="auto"/>
                  <w:noWrap/>
                  <w:tcMar>
                    <w:left w:w="0" w:type="dxa"/>
                    <w:right w:w="0" w:type="dxa"/>
                  </w:tcMar>
                  <w:vAlign w:val="bottom"/>
                </w:tcPr>
                <w:p w14:paraId="203BD90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219" w:type="dxa"/>
                  <w:gridSpan w:val="3"/>
                  <w:tcBorders>
                    <w:top w:val="nil"/>
                    <w:left w:val="nil"/>
                    <w:bottom w:val="single" w:sz="4" w:space="0" w:color="000000"/>
                    <w:right w:val="nil"/>
                    <w:tl2br w:val="nil"/>
                    <w:tr2bl w:val="nil"/>
                  </w:tcBorders>
                  <w:shd w:val="clear" w:color="auto" w:fill="auto"/>
                  <w:noWrap/>
                  <w:tcMar>
                    <w:left w:w="43" w:type="dxa"/>
                    <w:right w:w="43" w:type="dxa"/>
                  </w:tcMar>
                  <w:vAlign w:val="bottom"/>
                </w:tcPr>
                <w:p w14:paraId="3301DF93"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Unaudited</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69EAD1CF" w14:textId="77777777" w:rsidR="007F4C68" w:rsidRPr="007F4C68" w:rsidRDefault="007F4C68" w:rsidP="00A65A6F">
                  <w:pPr>
                    <w:keepNext/>
                    <w:spacing w:before="0" w:after="0"/>
                    <w:jc w:val="left"/>
                    <w:rPr>
                      <w:rFonts w:asciiTheme="majorBidi" w:eastAsia="Ploni ML Medium AAA Medium" w:hAnsiTheme="majorBidi" w:cstheme="majorBidi"/>
                      <w:b/>
                      <w:color w:val="000000"/>
                    </w:rPr>
                  </w:pPr>
                </w:p>
              </w:tc>
              <w:tc>
                <w:tcPr>
                  <w:tcW w:w="2221" w:type="dxa"/>
                  <w:gridSpan w:val="3"/>
                  <w:tcBorders>
                    <w:top w:val="nil"/>
                    <w:left w:val="nil"/>
                    <w:bottom w:val="single" w:sz="4" w:space="0" w:color="000000"/>
                    <w:right w:val="nil"/>
                    <w:tl2br w:val="nil"/>
                    <w:tr2bl w:val="nil"/>
                  </w:tcBorders>
                  <w:shd w:val="clear" w:color="auto" w:fill="auto"/>
                  <w:noWrap/>
                  <w:tcMar>
                    <w:left w:w="43" w:type="dxa"/>
                    <w:right w:w="43" w:type="dxa"/>
                  </w:tcMar>
                  <w:vAlign w:val="bottom"/>
                </w:tcPr>
                <w:p w14:paraId="707FD002"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Unaudited</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725BC673"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324"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45D90F01"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Audited</w:t>
                  </w:r>
                </w:p>
              </w:tc>
            </w:tr>
            <w:tr w:rsidR="007F4C68" w:rsidRPr="007F4C68" w14:paraId="7CA8E76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581" w:type="dxa"/>
                  <w:tcBorders>
                    <w:top w:val="nil"/>
                    <w:left w:val="nil"/>
                    <w:bottom w:val="nil"/>
                    <w:right w:val="nil"/>
                    <w:tl2br w:val="nil"/>
                    <w:tr2bl w:val="nil"/>
                  </w:tcBorders>
                  <w:shd w:val="clear" w:color="auto" w:fill="auto"/>
                  <w:noWrap/>
                  <w:tcMar>
                    <w:left w:w="0" w:type="dxa"/>
                    <w:right w:w="0" w:type="dxa"/>
                  </w:tcMar>
                  <w:vAlign w:val="bottom"/>
                </w:tcPr>
                <w:p w14:paraId="2797C92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579" w:type="dxa"/>
                  <w:tcBorders>
                    <w:top w:val="nil"/>
                    <w:left w:val="nil"/>
                    <w:bottom w:val="nil"/>
                    <w:right w:val="nil"/>
                    <w:tl2br w:val="nil"/>
                    <w:tr2bl w:val="nil"/>
                  </w:tcBorders>
                  <w:shd w:val="clear" w:color="auto" w:fill="auto"/>
                  <w:noWrap/>
                  <w:tcMar>
                    <w:left w:w="0" w:type="dxa"/>
                    <w:right w:w="0" w:type="dxa"/>
                  </w:tcMar>
                  <w:vAlign w:val="bottom"/>
                </w:tcPr>
                <w:p w14:paraId="050DC667"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6046" w:type="dxa"/>
                  <w:gridSpan w:val="9"/>
                  <w:tcBorders>
                    <w:top w:val="nil"/>
                    <w:left w:val="nil"/>
                    <w:bottom w:val="single" w:sz="4" w:space="0" w:color="000000"/>
                    <w:right w:val="nil"/>
                    <w:tl2br w:val="nil"/>
                    <w:tr2bl w:val="nil"/>
                  </w:tcBorders>
                  <w:shd w:val="clear" w:color="auto" w:fill="auto"/>
                  <w:noWrap/>
                  <w:tcMar>
                    <w:left w:w="43" w:type="dxa"/>
                    <w:right w:w="43" w:type="dxa"/>
                  </w:tcMar>
                  <w:vAlign w:val="bottom"/>
                </w:tcPr>
                <w:p w14:paraId="7C8104FA"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NIS million</w:t>
                  </w:r>
                </w:p>
              </w:tc>
            </w:tr>
            <w:tr w:rsidR="007F4C68" w:rsidRPr="007F4C68" w14:paraId="4F148A7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76C31D2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 xml:space="preserve">Cash flows from operating activities of the Company: </w:t>
                  </w:r>
                </w:p>
              </w:tc>
              <w:tc>
                <w:tcPr>
                  <w:tcW w:w="1039"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4187C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02C2D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F8D0D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70F78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D43EE6"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7DBD04"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10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C93CE3"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31A2AA"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1324"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B2A945"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r>
            <w:tr w:rsidR="007F4C68" w:rsidRPr="007F4C68" w14:paraId="14AA1F8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620FEABD"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Net profit (loss) attributed to the Company</w:t>
                  </w:r>
                </w:p>
              </w:tc>
              <w:tc>
                <w:tcPr>
                  <w:tcW w:w="103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7AD3EC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252</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6C4D7A1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35251A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(512)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813204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0C9141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329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D146BD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37A7E9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D56112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9DD2A3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(1,203)</w:t>
                  </w:r>
                </w:p>
              </w:tc>
            </w:tr>
            <w:tr w:rsidR="007F4C68" w:rsidRPr="007F4C68" w14:paraId="2E37B60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0" w:type="dxa"/>
                    <w:right w:w="0" w:type="dxa"/>
                  </w:tcMar>
                  <w:vAlign w:val="bottom"/>
                </w:tcPr>
                <w:p w14:paraId="5D8969A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03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BA7B23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6B6CD3C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90647F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104EA7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4A38F2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1B6ABC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7E97D8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381D51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6D9023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562FB49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2A4FED0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Adjustments for presentation of statement of cash flows from the Company's ongoing operations:</w:t>
                  </w:r>
                </w:p>
              </w:tc>
              <w:tc>
                <w:tcPr>
                  <w:tcW w:w="1039" w:type="dxa"/>
                  <w:tcBorders>
                    <w:top w:val="nil"/>
                    <w:left w:val="nil"/>
                    <w:bottom w:val="nil"/>
                    <w:right w:val="nil"/>
                    <w:tl2br w:val="nil"/>
                    <w:tr2bl w:val="nil"/>
                  </w:tcBorders>
                  <w:shd w:val="clear" w:color="auto" w:fill="auto"/>
                  <w:noWrap/>
                  <w:tcMar>
                    <w:left w:w="0" w:type="dxa"/>
                    <w:right w:w="135" w:type="dxa"/>
                  </w:tcMar>
                  <w:vAlign w:val="bottom"/>
                </w:tcPr>
                <w:p w14:paraId="574543B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1743AE5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1A83A71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7AE817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0CA87C3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6B2B56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00E625A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840685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0" w:type="dxa"/>
                    <w:right w:w="135" w:type="dxa"/>
                  </w:tcMar>
                  <w:vAlign w:val="bottom"/>
                </w:tcPr>
                <w:p w14:paraId="79EEB8A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2E7F75A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7F3061D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rPr>
                    <w:t xml:space="preserve">   </w:t>
                  </w:r>
                </w:p>
              </w:tc>
              <w:tc>
                <w:tcPr>
                  <w:tcW w:w="1039" w:type="dxa"/>
                  <w:tcBorders>
                    <w:top w:val="nil"/>
                    <w:left w:val="nil"/>
                    <w:bottom w:val="nil"/>
                    <w:right w:val="nil"/>
                    <w:tl2br w:val="nil"/>
                    <w:tr2bl w:val="nil"/>
                  </w:tcBorders>
                  <w:shd w:val="clear" w:color="auto" w:fill="auto"/>
                  <w:noWrap/>
                  <w:tcMar>
                    <w:left w:w="0" w:type="dxa"/>
                    <w:right w:w="135" w:type="dxa"/>
                  </w:tcMar>
                  <w:vAlign w:val="bottom"/>
                </w:tcPr>
                <w:p w14:paraId="7E25820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7FF9AD4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2879E7F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7C5DBB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2C8A7FD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856B00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10AB9F0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2FFFED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0" w:type="dxa"/>
                    <w:right w:w="135" w:type="dxa"/>
                  </w:tcMar>
                  <w:vAlign w:val="bottom"/>
                </w:tcPr>
                <w:p w14:paraId="51E08C9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2224AEE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6AD20D0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Adjustments to profit and loss items of the Company:</w:t>
                  </w:r>
                </w:p>
              </w:tc>
              <w:tc>
                <w:tcPr>
                  <w:tcW w:w="1039" w:type="dxa"/>
                  <w:tcBorders>
                    <w:top w:val="nil"/>
                    <w:left w:val="nil"/>
                    <w:bottom w:val="nil"/>
                    <w:right w:val="nil"/>
                    <w:tl2br w:val="nil"/>
                    <w:tr2bl w:val="nil"/>
                  </w:tcBorders>
                  <w:shd w:val="clear" w:color="auto" w:fill="auto"/>
                  <w:noWrap/>
                  <w:tcMar>
                    <w:left w:w="0" w:type="dxa"/>
                    <w:right w:w="135" w:type="dxa"/>
                  </w:tcMar>
                  <w:vAlign w:val="bottom"/>
                </w:tcPr>
                <w:p w14:paraId="174A41E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16CDE5C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73F3B32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72C555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2AD33F7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53706B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2B0A24D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F348EC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0" w:type="dxa"/>
                    <w:right w:w="135" w:type="dxa"/>
                  </w:tcMar>
                  <w:vAlign w:val="bottom"/>
                </w:tcPr>
                <w:p w14:paraId="5E55F1A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09465A7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745754F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Depreciation</w:t>
                  </w:r>
                </w:p>
              </w:tc>
              <w:tc>
                <w:tcPr>
                  <w:tcW w:w="1039" w:type="dxa"/>
                  <w:tcBorders>
                    <w:top w:val="nil"/>
                    <w:left w:val="nil"/>
                    <w:bottom w:val="nil"/>
                    <w:right w:val="nil"/>
                    <w:tl2br w:val="nil"/>
                    <w:tr2bl w:val="nil"/>
                  </w:tcBorders>
                  <w:shd w:val="clear" w:color="auto" w:fill="auto"/>
                  <w:noWrap/>
                  <w:tcMar>
                    <w:left w:w="43" w:type="dxa"/>
                    <w:right w:w="178" w:type="dxa"/>
                  </w:tcMar>
                  <w:vAlign w:val="bottom"/>
                </w:tcPr>
                <w:p w14:paraId="55649C7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0FD4704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3E534B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B23CB7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5741413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D6EA7A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9237E8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1B8C8A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28F63B1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w:t>
                  </w:r>
                </w:p>
              </w:tc>
            </w:tr>
            <w:tr w:rsidR="007F4C68" w:rsidRPr="007F4C68" w14:paraId="7045137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6B0A82E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Financing expenses, net</w:t>
                  </w:r>
                </w:p>
              </w:tc>
              <w:tc>
                <w:tcPr>
                  <w:tcW w:w="1039" w:type="dxa"/>
                  <w:tcBorders>
                    <w:top w:val="nil"/>
                    <w:left w:val="nil"/>
                    <w:bottom w:val="nil"/>
                    <w:right w:val="nil"/>
                    <w:tl2br w:val="nil"/>
                    <w:tr2bl w:val="nil"/>
                  </w:tcBorders>
                  <w:shd w:val="clear" w:color="auto" w:fill="auto"/>
                  <w:noWrap/>
                  <w:tcMar>
                    <w:left w:w="43" w:type="dxa"/>
                    <w:right w:w="178" w:type="dxa"/>
                  </w:tcMar>
                  <w:vAlign w:val="bottom"/>
                </w:tcPr>
                <w:p w14:paraId="0D4C4CF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267</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4331FF3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7019C0F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443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70DB77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5443954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152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FC2070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195642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202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B2FEB4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68611A9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770</w:t>
                  </w:r>
                </w:p>
              </w:tc>
            </w:tr>
            <w:tr w:rsidR="007F4C68" w:rsidRPr="007F4C68" w14:paraId="67E1CB1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2509114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Impairment (appreciation) in investment property and investment property under development, net </w:t>
                  </w:r>
                </w:p>
                <w:p w14:paraId="67E7ADAC"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039" w:type="dxa"/>
                  <w:tcBorders>
                    <w:top w:val="nil"/>
                    <w:left w:val="nil"/>
                    <w:bottom w:val="nil"/>
                    <w:right w:val="nil"/>
                    <w:tl2br w:val="nil"/>
                    <w:tr2bl w:val="nil"/>
                  </w:tcBorders>
                  <w:shd w:val="clear" w:color="auto" w:fill="auto"/>
                  <w:noWrap/>
                  <w:tcMar>
                    <w:left w:w="43" w:type="dxa"/>
                    <w:right w:w="178" w:type="dxa"/>
                  </w:tcMar>
                  <w:vAlign w:val="bottom"/>
                </w:tcPr>
                <w:p w14:paraId="3DFE8F2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(54)</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69C5B13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02B743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E169D3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449A90D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(61)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8B348C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0FB7E0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B1F22C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1485B0F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137</w:t>
                  </w:r>
                </w:p>
              </w:tc>
            </w:tr>
            <w:tr w:rsidR="007F4C68" w:rsidRPr="007F4C68" w14:paraId="499CB10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5C3829E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Loss (income) with respect to consolidated subsidiaries, net</w:t>
                  </w:r>
                </w:p>
              </w:tc>
              <w:tc>
                <w:tcPr>
                  <w:tcW w:w="1039" w:type="dxa"/>
                  <w:tcBorders>
                    <w:top w:val="nil"/>
                    <w:left w:val="nil"/>
                    <w:bottom w:val="nil"/>
                    <w:right w:val="nil"/>
                    <w:tl2br w:val="nil"/>
                    <w:tr2bl w:val="nil"/>
                  </w:tcBorders>
                  <w:shd w:val="clear" w:color="auto" w:fill="auto"/>
                  <w:noWrap/>
                  <w:tcMar>
                    <w:left w:w="43" w:type="dxa"/>
                    <w:right w:w="178" w:type="dxa"/>
                  </w:tcMar>
                  <w:vAlign w:val="bottom"/>
                </w:tcPr>
                <w:p w14:paraId="71ABB3B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(382)</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631A73E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08DD720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149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26B91B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3C0FA6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(376)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D53501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0034097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(135)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75C4AA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5AAA12B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360</w:t>
                  </w:r>
                </w:p>
              </w:tc>
            </w:tr>
            <w:tr w:rsidR="007F4C68" w:rsidRPr="007F4C68" w14:paraId="3474328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1B3F218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Cost of share-based payment</w:t>
                  </w:r>
                </w:p>
              </w:tc>
              <w:tc>
                <w:tcPr>
                  <w:tcW w:w="1039" w:type="dxa"/>
                  <w:tcBorders>
                    <w:top w:val="nil"/>
                    <w:left w:val="nil"/>
                    <w:bottom w:val="nil"/>
                    <w:right w:val="nil"/>
                    <w:tl2br w:val="nil"/>
                    <w:tr2bl w:val="nil"/>
                  </w:tcBorders>
                  <w:shd w:val="clear" w:color="auto" w:fill="auto"/>
                  <w:noWrap/>
                  <w:tcMar>
                    <w:left w:w="43" w:type="dxa"/>
                    <w:right w:w="178" w:type="dxa"/>
                  </w:tcMar>
                  <w:vAlign w:val="bottom"/>
                </w:tcPr>
                <w:p w14:paraId="5FF5C0F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71F8687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1CBB76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F47CA1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0211F8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1C4A22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F8E10B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823B58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7CF7408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w:t>
                  </w:r>
                </w:p>
              </w:tc>
            </w:tr>
            <w:tr w:rsidR="007F4C68" w:rsidRPr="007F4C68" w14:paraId="2EA12F8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68C2F54D"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Taxes on income (tax benefit)</w:t>
                  </w:r>
                </w:p>
              </w:tc>
              <w:tc>
                <w:tcPr>
                  <w:tcW w:w="103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A4974C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9</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0F1195B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0A85EE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64D6ED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3A27E1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BCCB4A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73AC17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41C831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4DDDE2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79</w:t>
                  </w:r>
                </w:p>
              </w:tc>
            </w:tr>
            <w:tr w:rsidR="007F4C68" w:rsidRPr="007F4C68" w14:paraId="7C9D03E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0" w:type="dxa"/>
                    <w:right w:w="0" w:type="dxa"/>
                  </w:tcMar>
                  <w:vAlign w:val="bottom"/>
                </w:tcPr>
                <w:p w14:paraId="78A8227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39"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653EBDF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(158)</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330B8AD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5CDB5F6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588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6E8F7A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12724CD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(281)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5FB89C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5DE1B32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6A2651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F0CE43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1,350</w:t>
                  </w:r>
                </w:p>
              </w:tc>
            </w:tr>
            <w:tr w:rsidR="007F4C68" w:rsidRPr="007F4C68" w14:paraId="3F25F50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2EAB858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Changes in the Company's asset and liability items:</w:t>
                  </w:r>
                </w:p>
              </w:tc>
              <w:tc>
                <w:tcPr>
                  <w:tcW w:w="103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52EEA0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73D5FCA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34A0C7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ACC6EC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FC2511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CAC900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31E45B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B6664C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234657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05F38FB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2E35E31D"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Decrease (increase) in trade receivables and other receivables </w:t>
                  </w:r>
                </w:p>
                <w:p w14:paraId="645693A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039" w:type="dxa"/>
                  <w:tcBorders>
                    <w:top w:val="nil"/>
                    <w:left w:val="nil"/>
                    <w:bottom w:val="nil"/>
                    <w:right w:val="nil"/>
                    <w:tl2br w:val="nil"/>
                    <w:tr2bl w:val="nil"/>
                  </w:tcBorders>
                  <w:shd w:val="clear" w:color="auto" w:fill="auto"/>
                  <w:noWrap/>
                  <w:tcMar>
                    <w:left w:w="43" w:type="dxa"/>
                    <w:right w:w="178" w:type="dxa"/>
                  </w:tcMar>
                  <w:vAlign w:val="bottom"/>
                </w:tcPr>
                <w:p w14:paraId="686AFF0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76</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6BC774F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5DDEAFA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(41)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3063D3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16737C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70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FD2B99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2276EF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DD9A72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41EEEC7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(43)</w:t>
                  </w:r>
                </w:p>
              </w:tc>
            </w:tr>
            <w:tr w:rsidR="007F4C68" w:rsidRPr="007F4C68" w14:paraId="61D8B70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6BDE2A1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Decrease in trade and other payables </w:t>
                  </w:r>
                </w:p>
                <w:p w14:paraId="450090F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03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1C51B0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(16)</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41AAE59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4358F1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5C0488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CAAC8E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EE9C3F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090FE59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(153)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1E7022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649A20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w:t>
                  </w:r>
                </w:p>
              </w:tc>
            </w:tr>
            <w:tr w:rsidR="007F4C68" w:rsidRPr="007F4C68" w14:paraId="7CA09EE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0" w:type="dxa"/>
                    <w:right w:w="0" w:type="dxa"/>
                  </w:tcMar>
                  <w:vAlign w:val="bottom"/>
                </w:tcPr>
                <w:p w14:paraId="51F3AB37"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39"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BFC44F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60</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67EF2F8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5DFECF1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(49)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35B940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3B4A8EE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65852B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756ADFF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(185)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01E251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3F82165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(44)</w:t>
                  </w:r>
                </w:p>
              </w:tc>
            </w:tr>
            <w:tr w:rsidR="007F4C68" w:rsidRPr="007F4C68" w14:paraId="1747DED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38FE3D06" w14:textId="21B8F3C5"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Changes in assets and liabilities items: Decrease (</w:t>
                  </w:r>
                  <w:r w:rsidR="006C4351" w:rsidRPr="007F4C68">
                    <w:rPr>
                      <w:rFonts w:asciiTheme="majorBidi" w:hAnsiTheme="majorBidi" w:cstheme="majorBidi"/>
                      <w:color w:val="000000"/>
                      <w:sz w:val="21"/>
                      <w:u w:val="single"/>
                    </w:rPr>
                    <w:t>Increase) in</w:t>
                  </w:r>
                  <w:r w:rsidRPr="007F4C68">
                    <w:rPr>
                      <w:rFonts w:asciiTheme="majorBidi" w:hAnsiTheme="majorBidi" w:cstheme="majorBidi"/>
                      <w:color w:val="000000"/>
                      <w:sz w:val="21"/>
                      <w:u w:val="single"/>
                    </w:rPr>
                    <w:t xml:space="preserve"> other accounts receivable</w:t>
                  </w:r>
                </w:p>
              </w:tc>
              <w:tc>
                <w:tcPr>
                  <w:tcW w:w="103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C77CEF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6B4AE37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30640D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1F2AA3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578AA3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127D11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F8CF43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D809BF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9EB69D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2A4956F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3B3C4BAC"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Interest paid</w:t>
                  </w:r>
                </w:p>
              </w:tc>
              <w:tc>
                <w:tcPr>
                  <w:tcW w:w="1039" w:type="dxa"/>
                  <w:tcBorders>
                    <w:top w:val="nil"/>
                    <w:left w:val="nil"/>
                    <w:bottom w:val="nil"/>
                    <w:right w:val="nil"/>
                    <w:tl2br w:val="nil"/>
                    <w:tr2bl w:val="nil"/>
                  </w:tcBorders>
                  <w:shd w:val="clear" w:color="auto" w:fill="auto"/>
                  <w:noWrap/>
                  <w:tcMar>
                    <w:left w:w="43" w:type="dxa"/>
                    <w:right w:w="178" w:type="dxa"/>
                  </w:tcMar>
                  <w:vAlign w:val="bottom"/>
                </w:tcPr>
                <w:p w14:paraId="132FEB7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(215)</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3068EFE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44C72E5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(169)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849311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AEC503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(159)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6CEFFA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7E33E05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(109)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73389D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7F3B8AD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(472)</w:t>
                  </w:r>
                </w:p>
              </w:tc>
            </w:tr>
            <w:tr w:rsidR="007F4C68" w:rsidRPr="007F4C68" w14:paraId="5A2F8DA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5A9ABA1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Interest received from subsidiaries, net</w:t>
                  </w:r>
                </w:p>
              </w:tc>
              <w:tc>
                <w:tcPr>
                  <w:tcW w:w="1039" w:type="dxa"/>
                  <w:tcBorders>
                    <w:top w:val="nil"/>
                    <w:left w:val="nil"/>
                    <w:bottom w:val="nil"/>
                    <w:right w:val="nil"/>
                    <w:tl2br w:val="nil"/>
                    <w:tr2bl w:val="nil"/>
                  </w:tcBorders>
                  <w:shd w:val="clear" w:color="auto" w:fill="auto"/>
                  <w:noWrap/>
                  <w:tcMar>
                    <w:left w:w="43" w:type="dxa"/>
                    <w:right w:w="178" w:type="dxa"/>
                  </w:tcMar>
                  <w:vAlign w:val="bottom"/>
                </w:tcPr>
                <w:p w14:paraId="7CE2F00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135</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29203D2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54D6C29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DF3978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50A231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0F0F08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7648A70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C3CFA5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2A5D591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58</w:t>
                  </w:r>
                </w:p>
              </w:tc>
            </w:tr>
            <w:tr w:rsidR="007F4C68" w:rsidRPr="007F4C68" w14:paraId="6A1F8DC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6D598E9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Taxes paid</w:t>
                  </w:r>
                </w:p>
              </w:tc>
              <w:tc>
                <w:tcPr>
                  <w:tcW w:w="1039" w:type="dxa"/>
                  <w:tcBorders>
                    <w:top w:val="nil"/>
                    <w:left w:val="nil"/>
                    <w:bottom w:val="nil"/>
                    <w:right w:val="nil"/>
                    <w:tl2br w:val="nil"/>
                    <w:tr2bl w:val="nil"/>
                  </w:tcBorders>
                  <w:shd w:val="clear" w:color="auto" w:fill="auto"/>
                  <w:noWrap/>
                  <w:tcMar>
                    <w:left w:w="43" w:type="dxa"/>
                    <w:right w:w="178" w:type="dxa"/>
                  </w:tcMar>
                  <w:vAlign w:val="bottom"/>
                </w:tcPr>
                <w:p w14:paraId="1FC011A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(82)</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2672ACA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856733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78EB1B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48447DD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(24)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69B879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7AD0BA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4A4420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0C851FB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r>
            <w:tr w:rsidR="007F4C68" w:rsidRPr="007F4C68" w14:paraId="37442EE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578E9EEC"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Dividend received from subsidiaries</w:t>
                  </w:r>
                </w:p>
              </w:tc>
              <w:tc>
                <w:tcPr>
                  <w:tcW w:w="103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573B43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33</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12D4FB0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0FAEB74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CB9C4B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DBC2A2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17</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6A9B7D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7FE8A3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B0A765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B69DCB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102</w:t>
                  </w:r>
                </w:p>
              </w:tc>
            </w:tr>
            <w:tr w:rsidR="007F4C68" w:rsidRPr="007F4C68" w14:paraId="070148B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0" w:type="dxa"/>
                    <w:right w:w="0" w:type="dxa"/>
                  </w:tcMar>
                  <w:vAlign w:val="bottom"/>
                </w:tcPr>
                <w:p w14:paraId="4DC8C53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39"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2A4197C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(129)</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3168A93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1730DA2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(74)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82EF4D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4C72FB8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(128)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228185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73AF1E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(69)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B5F60E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1515F91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(312)</w:t>
                  </w:r>
                </w:p>
              </w:tc>
            </w:tr>
            <w:tr w:rsidR="007F4C68" w:rsidRPr="007F4C68" w14:paraId="790AA66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0" w:type="dxa"/>
                    <w:right w:w="0" w:type="dxa"/>
                  </w:tcMar>
                  <w:vAlign w:val="bottom"/>
                </w:tcPr>
                <w:p w14:paraId="574F3CC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039"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5DC06F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35034B8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A755D2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38446B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49A8DC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83D482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20609F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CB8FDA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FE6EC7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02575F4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60" w:type="dxa"/>
                  <w:gridSpan w:val="2"/>
                  <w:tcBorders>
                    <w:top w:val="nil"/>
                    <w:left w:val="nil"/>
                    <w:bottom w:val="nil"/>
                    <w:right w:val="nil"/>
                    <w:tl2br w:val="nil"/>
                    <w:tr2bl w:val="nil"/>
                  </w:tcBorders>
                  <w:shd w:val="clear" w:color="auto" w:fill="auto"/>
                  <w:tcMar>
                    <w:left w:w="43" w:type="dxa"/>
                    <w:right w:w="43" w:type="dxa"/>
                  </w:tcMar>
                  <w:vAlign w:val="bottom"/>
                </w:tcPr>
                <w:p w14:paraId="289EFCC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Net cash from (used for) the Company's ongoing operations </w:t>
                  </w:r>
                </w:p>
                <w:p w14:paraId="7654818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039"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2FB434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25</w:t>
                  </w:r>
                </w:p>
              </w:tc>
              <w:tc>
                <w:tcPr>
                  <w:tcW w:w="140" w:type="dxa"/>
                  <w:tcBorders>
                    <w:top w:val="nil"/>
                    <w:left w:val="nil"/>
                    <w:bottom w:val="nil"/>
                    <w:right w:val="nil"/>
                    <w:tl2br w:val="nil"/>
                    <w:tr2bl w:val="nil"/>
                  </w:tcBorders>
                  <w:shd w:val="clear" w:color="auto" w:fill="auto"/>
                  <w:noWrap/>
                  <w:tcMar>
                    <w:left w:w="0" w:type="dxa"/>
                    <w:right w:w="135" w:type="dxa"/>
                  </w:tcMar>
                  <w:vAlign w:val="bottom"/>
                </w:tcPr>
                <w:p w14:paraId="1C51169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DDBAAB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(47)</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F3119D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9B9A54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(68)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206498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6402E8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(218)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746443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DB2E06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(209)</w:t>
                  </w:r>
                </w:p>
              </w:tc>
            </w:tr>
            <w:tr w:rsidR="007F4C68" w:rsidRPr="007F4C68" w14:paraId="1E8B457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160" w:type="dxa"/>
                  <w:gridSpan w:val="2"/>
                  <w:tcBorders>
                    <w:top w:val="nil"/>
                    <w:left w:val="nil"/>
                    <w:bottom w:val="nil"/>
                    <w:right w:val="nil"/>
                    <w:tl2br w:val="nil"/>
                    <w:tr2bl w:val="nil"/>
                  </w:tcBorders>
                  <w:shd w:val="clear" w:color="auto" w:fill="auto"/>
                  <w:noWrap/>
                  <w:tcMar>
                    <w:left w:w="0" w:type="dxa"/>
                    <w:right w:w="0" w:type="dxa"/>
                  </w:tcMar>
                  <w:vAlign w:val="bottom"/>
                </w:tcPr>
                <w:p w14:paraId="6CEFFA4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039"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D61E99D"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40" w:type="dxa"/>
                  <w:tcBorders>
                    <w:top w:val="nil"/>
                    <w:left w:val="nil"/>
                    <w:bottom w:val="nil"/>
                    <w:right w:val="nil"/>
                    <w:tl2br w:val="nil"/>
                    <w:tr2bl w:val="nil"/>
                  </w:tcBorders>
                  <w:shd w:val="clear" w:color="auto" w:fill="auto"/>
                  <w:noWrap/>
                  <w:tcMar>
                    <w:left w:w="0" w:type="dxa"/>
                    <w:right w:w="0" w:type="dxa"/>
                  </w:tcMar>
                  <w:vAlign w:val="bottom"/>
                </w:tcPr>
                <w:p w14:paraId="404BF8D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960A8D"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401F90C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01D5B2"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5F6FD85E"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10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CC6BA8"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1D4B003F"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1324"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554029"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r>
            <w:tr w:rsidR="007F4C68" w:rsidRPr="007F4C68" w14:paraId="404BE16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4"/>
              </w:trPr>
              <w:tc>
                <w:tcPr>
                  <w:tcW w:w="8741" w:type="dxa"/>
                  <w:gridSpan w:val="9"/>
                  <w:tcBorders>
                    <w:top w:val="nil"/>
                    <w:left w:val="nil"/>
                    <w:bottom w:val="nil"/>
                    <w:right w:val="nil"/>
                    <w:tl2br w:val="nil"/>
                    <w:tr2bl w:val="nil"/>
                  </w:tcBorders>
                  <w:shd w:val="clear" w:color="auto" w:fill="auto"/>
                  <w:noWrap/>
                  <w:tcMar>
                    <w:left w:w="43" w:type="dxa"/>
                    <w:right w:w="43" w:type="dxa"/>
                  </w:tcMar>
                  <w:vAlign w:val="bottom"/>
                </w:tcPr>
                <w:p w14:paraId="5FF53854"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r w:rsidRPr="007F4C68">
                    <w:rPr>
                      <w:rFonts w:asciiTheme="majorBidi" w:hAnsiTheme="majorBidi" w:cstheme="majorBidi"/>
                      <w:color w:val="000000"/>
                    </w:rPr>
                    <w:t>The accompanying additional information is an integral part of the financial information and of the separate financial information.</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5D7ED4A4"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0" w:type="dxa"/>
                    <w:right w:w="0" w:type="dxa"/>
                  </w:tcMar>
                  <w:vAlign w:val="bottom"/>
                </w:tcPr>
                <w:p w14:paraId="65B08785" w14:textId="77777777" w:rsidR="007F4C68" w:rsidRPr="007F4C68" w:rsidRDefault="007F4C68" w:rsidP="00A65A6F">
                  <w:pPr>
                    <w:keepNext/>
                    <w:spacing w:before="0" w:after="0"/>
                    <w:jc w:val="center"/>
                    <w:rPr>
                      <w:rFonts w:asciiTheme="majorBidi" w:eastAsia="Ploni ML Medium AAA Medium" w:hAnsiTheme="majorBidi" w:cstheme="majorBidi"/>
                      <w:color w:val="000000"/>
                      <w:sz w:val="21"/>
                    </w:rPr>
                  </w:pPr>
                </w:p>
              </w:tc>
            </w:tr>
          </w:tbl>
          <w:p w14:paraId="3A129EA2" w14:textId="77777777" w:rsidR="007F4C68" w:rsidRPr="007F4C68" w:rsidRDefault="007F4C68" w:rsidP="00A65A6F">
            <w:pPr>
              <w:rPr>
                <w:rFonts w:asciiTheme="majorBidi" w:hAnsiTheme="majorBidi" w:cstheme="majorBidi"/>
              </w:rPr>
            </w:pPr>
          </w:p>
        </w:tc>
      </w:tr>
    </w:tbl>
    <w:p w14:paraId="313B21E9" w14:textId="77777777" w:rsidR="007F4C68" w:rsidRPr="007F4C68" w:rsidRDefault="007F4C68" w:rsidP="007F4C68">
      <w:pPr>
        <w:contextualSpacing/>
        <w:rPr>
          <w:rFonts w:asciiTheme="majorBidi" w:hAnsiTheme="majorBidi" w:cstheme="majorBidi"/>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7F4C68" w:rsidRPr="007F4C68" w14:paraId="384D8466" w14:textId="77777777" w:rsidTr="00A65A6F">
        <w:trPr>
          <w:cantSplit/>
        </w:trPr>
        <w:tc>
          <w:tcPr>
            <w:tcW w:w="5000" w:type="pct"/>
          </w:tcPr>
          <w:tbl>
            <w:tblPr>
              <w:tblStyle w:val="CDMRange2"/>
              <w:tblW w:w="10206" w:type="dxa"/>
              <w:tblLook w:val="0600" w:firstRow="0" w:lastRow="0" w:firstColumn="0" w:lastColumn="0" w:noHBand="1" w:noVBand="1"/>
              <w:tblCaption w:val="Print_Area"/>
            </w:tblPr>
            <w:tblGrid>
              <w:gridCol w:w="479"/>
              <w:gridCol w:w="3495"/>
              <w:gridCol w:w="1011"/>
              <w:gridCol w:w="156"/>
              <w:gridCol w:w="1011"/>
              <w:gridCol w:w="156"/>
              <w:gridCol w:w="1011"/>
              <w:gridCol w:w="156"/>
              <w:gridCol w:w="1011"/>
              <w:gridCol w:w="156"/>
              <w:gridCol w:w="1280"/>
            </w:tblGrid>
            <w:tr w:rsidR="007F4C68" w:rsidRPr="007F4C68" w14:paraId="2EAA455B" w14:textId="77777777" w:rsidTr="00A65A6F">
              <w:trPr>
                <w:cantSplit/>
                <w:trHeight w:val="300"/>
              </w:trPr>
              <w:tc>
                <w:tcPr>
                  <w:tcW w:w="485" w:type="dxa"/>
                  <w:tcBorders>
                    <w:top w:val="nil"/>
                    <w:left w:val="nil"/>
                    <w:bottom w:val="nil"/>
                    <w:right w:val="nil"/>
                    <w:tl2br w:val="nil"/>
                    <w:tr2bl w:val="nil"/>
                  </w:tcBorders>
                  <w:shd w:val="clear" w:color="auto" w:fill="auto"/>
                  <w:noWrap/>
                  <w:tcMar>
                    <w:left w:w="0" w:type="dxa"/>
                    <w:right w:w="0" w:type="dxa"/>
                  </w:tcMar>
                  <w:vAlign w:val="bottom"/>
                </w:tcPr>
                <w:p w14:paraId="4490A29D"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3" w:type="dxa"/>
                  <w:tcBorders>
                    <w:top w:val="nil"/>
                    <w:left w:val="nil"/>
                    <w:bottom w:val="nil"/>
                    <w:right w:val="nil"/>
                    <w:tl2br w:val="nil"/>
                    <w:tr2bl w:val="nil"/>
                  </w:tcBorders>
                  <w:shd w:val="clear" w:color="auto" w:fill="auto"/>
                  <w:noWrap/>
                  <w:tcMar>
                    <w:left w:w="0" w:type="dxa"/>
                    <w:right w:w="0" w:type="dxa"/>
                  </w:tcMar>
                  <w:vAlign w:val="bottom"/>
                </w:tcPr>
                <w:p w14:paraId="7BBB38F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tcMar>
                    <w:left w:w="0" w:type="dxa"/>
                    <w:right w:w="0" w:type="dxa"/>
                  </w:tcMar>
                  <w:vAlign w:val="bottom"/>
                </w:tcPr>
                <w:p w14:paraId="58869847" w14:textId="77777777" w:rsidR="007F4C68" w:rsidRPr="007F4C68" w:rsidRDefault="007F4C68" w:rsidP="00A65A6F">
                  <w:pPr>
                    <w:keepNext/>
                    <w:spacing w:before="0" w:after="0"/>
                    <w:jc w:val="center"/>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tcMar>
                    <w:left w:w="0" w:type="dxa"/>
                    <w:right w:w="0" w:type="dxa"/>
                  </w:tcMar>
                  <w:vAlign w:val="bottom"/>
                </w:tcPr>
                <w:p w14:paraId="3E8CCF8F" w14:textId="77777777" w:rsidR="007F4C68" w:rsidRPr="007F4C68" w:rsidRDefault="007F4C68" w:rsidP="00A65A6F">
                  <w:pPr>
                    <w:keepNext/>
                    <w:spacing w:before="0" w:after="0"/>
                    <w:jc w:val="center"/>
                    <w:rPr>
                      <w:rFonts w:asciiTheme="majorBidi" w:eastAsia="Ploni ML Medium AAA Medium" w:hAnsiTheme="majorBidi" w:cstheme="majorBidi"/>
                      <w:color w:val="000000"/>
                    </w:rPr>
                  </w:pPr>
                </w:p>
              </w:tc>
              <w:tc>
                <w:tcPr>
                  <w:tcW w:w="1040" w:type="dxa"/>
                  <w:tcBorders>
                    <w:top w:val="nil"/>
                    <w:left w:val="nil"/>
                    <w:bottom w:val="nil"/>
                    <w:right w:val="nil"/>
                    <w:tl2br w:val="nil"/>
                    <w:tr2bl w:val="nil"/>
                  </w:tcBorders>
                  <w:shd w:val="clear" w:color="auto" w:fill="auto"/>
                  <w:tcMar>
                    <w:left w:w="0" w:type="dxa"/>
                    <w:right w:w="0" w:type="dxa"/>
                  </w:tcMar>
                  <w:vAlign w:val="bottom"/>
                </w:tcPr>
                <w:p w14:paraId="3B036CC7" w14:textId="77777777" w:rsidR="007F4C68" w:rsidRPr="007F4C68" w:rsidRDefault="007F4C68" w:rsidP="00A65A6F">
                  <w:pPr>
                    <w:keepNext/>
                    <w:spacing w:before="0" w:after="0"/>
                    <w:jc w:val="center"/>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0D70E13E"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1040" w:type="dxa"/>
                  <w:tcBorders>
                    <w:top w:val="nil"/>
                    <w:left w:val="nil"/>
                    <w:bottom w:val="nil"/>
                    <w:right w:val="nil"/>
                    <w:tl2br w:val="nil"/>
                    <w:tr2bl w:val="nil"/>
                  </w:tcBorders>
                  <w:shd w:val="clear" w:color="auto" w:fill="auto"/>
                  <w:tcMar>
                    <w:left w:w="0" w:type="dxa"/>
                    <w:right w:w="0" w:type="dxa"/>
                  </w:tcMar>
                  <w:vAlign w:val="bottom"/>
                </w:tcPr>
                <w:p w14:paraId="3E7DBDEC" w14:textId="77777777" w:rsidR="007F4C68" w:rsidRPr="007F4C68" w:rsidRDefault="007F4C68" w:rsidP="00A65A6F">
                  <w:pPr>
                    <w:keepNext/>
                    <w:spacing w:before="0" w:after="0"/>
                    <w:jc w:val="center"/>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tcMar>
                    <w:left w:w="0" w:type="dxa"/>
                    <w:right w:w="0" w:type="dxa"/>
                  </w:tcMar>
                  <w:vAlign w:val="bottom"/>
                </w:tcPr>
                <w:p w14:paraId="78EBDBA0" w14:textId="77777777" w:rsidR="007F4C68" w:rsidRPr="007F4C68" w:rsidRDefault="007F4C68" w:rsidP="00A65A6F">
                  <w:pPr>
                    <w:keepNext/>
                    <w:spacing w:before="0" w:after="0"/>
                    <w:jc w:val="center"/>
                    <w:rPr>
                      <w:rFonts w:asciiTheme="majorBidi" w:eastAsia="Ploni ML Medium AAA Medium" w:hAnsiTheme="majorBidi" w:cstheme="majorBidi"/>
                      <w:color w:val="000000"/>
                    </w:rPr>
                  </w:pPr>
                </w:p>
              </w:tc>
              <w:tc>
                <w:tcPr>
                  <w:tcW w:w="1040" w:type="dxa"/>
                  <w:tcBorders>
                    <w:top w:val="nil"/>
                    <w:left w:val="nil"/>
                    <w:bottom w:val="nil"/>
                    <w:right w:val="nil"/>
                    <w:tl2br w:val="nil"/>
                    <w:tr2bl w:val="nil"/>
                  </w:tcBorders>
                  <w:shd w:val="clear" w:color="auto" w:fill="auto"/>
                  <w:tcMar>
                    <w:left w:w="0" w:type="dxa"/>
                    <w:right w:w="0" w:type="dxa"/>
                  </w:tcMar>
                  <w:vAlign w:val="bottom"/>
                </w:tcPr>
                <w:p w14:paraId="0B55819D" w14:textId="77777777" w:rsidR="007F4C68" w:rsidRPr="007F4C68" w:rsidRDefault="007F4C68" w:rsidP="00A65A6F">
                  <w:pPr>
                    <w:keepNext/>
                    <w:spacing w:before="0" w:after="0"/>
                    <w:jc w:val="center"/>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tcMar>
                    <w:left w:w="0" w:type="dxa"/>
                    <w:right w:w="0" w:type="dxa"/>
                  </w:tcMar>
                  <w:vAlign w:val="bottom"/>
                </w:tcPr>
                <w:p w14:paraId="6A5A1A81" w14:textId="77777777" w:rsidR="007F4C68" w:rsidRPr="007F4C68" w:rsidRDefault="007F4C68" w:rsidP="00A65A6F">
                  <w:pPr>
                    <w:keepNext/>
                    <w:spacing w:before="0" w:after="0"/>
                    <w:jc w:val="center"/>
                    <w:rPr>
                      <w:rFonts w:asciiTheme="majorBidi" w:eastAsia="Ploni ML Medium AAA Medium" w:hAnsiTheme="majorBidi" w:cstheme="majorBidi"/>
                      <w:color w:val="000000"/>
                    </w:rPr>
                  </w:pPr>
                </w:p>
              </w:tc>
              <w:tc>
                <w:tcPr>
                  <w:tcW w:w="1324" w:type="dxa"/>
                  <w:vMerge w:val="restart"/>
                  <w:tcBorders>
                    <w:top w:val="nil"/>
                    <w:left w:val="nil"/>
                    <w:bottom w:val="nil"/>
                    <w:right w:val="nil"/>
                    <w:tl2br w:val="nil"/>
                    <w:tr2bl w:val="nil"/>
                  </w:tcBorders>
                  <w:shd w:val="clear" w:color="auto" w:fill="auto"/>
                  <w:tcMar>
                    <w:left w:w="43" w:type="dxa"/>
                    <w:right w:w="43" w:type="dxa"/>
                  </w:tcMar>
                  <w:vAlign w:val="bottom"/>
                </w:tcPr>
                <w:p w14:paraId="1DB7C917"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Year ended December 31</w:t>
                  </w:r>
                </w:p>
              </w:tc>
            </w:tr>
            <w:tr w:rsidR="007F4C68" w:rsidRPr="007F4C68" w14:paraId="6D901F5F"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85" w:type="dxa"/>
                  <w:tcBorders>
                    <w:top w:val="nil"/>
                    <w:left w:val="nil"/>
                    <w:bottom w:val="nil"/>
                    <w:right w:val="nil"/>
                    <w:tl2br w:val="nil"/>
                    <w:tr2bl w:val="nil"/>
                  </w:tcBorders>
                  <w:shd w:val="clear" w:color="auto" w:fill="auto"/>
                  <w:noWrap/>
                  <w:tcMar>
                    <w:left w:w="0" w:type="dxa"/>
                    <w:right w:w="0" w:type="dxa"/>
                  </w:tcMar>
                  <w:vAlign w:val="bottom"/>
                </w:tcPr>
                <w:p w14:paraId="5533914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3" w:type="dxa"/>
                  <w:tcBorders>
                    <w:top w:val="nil"/>
                    <w:left w:val="nil"/>
                    <w:bottom w:val="nil"/>
                    <w:right w:val="nil"/>
                    <w:tl2br w:val="nil"/>
                    <w:tr2bl w:val="nil"/>
                  </w:tcBorders>
                  <w:shd w:val="clear" w:color="auto" w:fill="auto"/>
                  <w:noWrap/>
                  <w:tcMar>
                    <w:left w:w="0" w:type="dxa"/>
                    <w:right w:w="0" w:type="dxa"/>
                  </w:tcMar>
                  <w:vAlign w:val="bottom"/>
                </w:tcPr>
                <w:p w14:paraId="3658DC6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221"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0A0C618B"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 xml:space="preserve">Six months ended </w:t>
                  </w:r>
                </w:p>
                <w:p w14:paraId="1806CA38"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June 30</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57888D13"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2221"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2C98FDBA"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 xml:space="preserve">Three months ended </w:t>
                  </w:r>
                </w:p>
                <w:p w14:paraId="044A8AA9"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June 30</w:t>
                  </w:r>
                </w:p>
              </w:tc>
              <w:tc>
                <w:tcPr>
                  <w:tcW w:w="141" w:type="dxa"/>
                  <w:tcBorders>
                    <w:top w:val="nil"/>
                    <w:left w:val="nil"/>
                    <w:bottom w:val="nil"/>
                    <w:right w:val="nil"/>
                    <w:tl2br w:val="nil"/>
                    <w:tr2bl w:val="nil"/>
                  </w:tcBorders>
                  <w:shd w:val="clear" w:color="auto" w:fill="auto"/>
                  <w:tcMar>
                    <w:left w:w="0" w:type="dxa"/>
                    <w:right w:w="0" w:type="dxa"/>
                  </w:tcMar>
                  <w:vAlign w:val="bottom"/>
                </w:tcPr>
                <w:p w14:paraId="3AB630D0" w14:textId="77777777" w:rsidR="007F4C68" w:rsidRPr="007F4C68" w:rsidRDefault="007F4C68" w:rsidP="00A65A6F">
                  <w:pPr>
                    <w:keepNext/>
                    <w:spacing w:before="0" w:after="0"/>
                    <w:jc w:val="center"/>
                    <w:rPr>
                      <w:rFonts w:asciiTheme="majorBidi" w:eastAsia="Ploni ML Medium AAA Medium" w:hAnsiTheme="majorBidi" w:cstheme="majorBidi"/>
                      <w:color w:val="000000"/>
                    </w:rPr>
                  </w:pPr>
                </w:p>
              </w:tc>
              <w:tc>
                <w:tcPr>
                  <w:tcW w:w="1324" w:type="dxa"/>
                  <w:vMerge/>
                  <w:tcBorders>
                    <w:top w:val="nil"/>
                    <w:left w:val="nil"/>
                    <w:bottom w:val="nil"/>
                    <w:right w:val="nil"/>
                    <w:tl2br w:val="nil"/>
                    <w:tr2bl w:val="nil"/>
                  </w:tcBorders>
                  <w:shd w:val="clear" w:color="auto" w:fill="auto"/>
                  <w:tcMar>
                    <w:left w:w="0" w:type="dxa"/>
                    <w:right w:w="0" w:type="dxa"/>
                  </w:tcMar>
                  <w:vAlign w:val="bottom"/>
                </w:tcPr>
                <w:p w14:paraId="7A7B76F9"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r>
            <w:tr w:rsidR="007F4C68" w:rsidRPr="007F4C68" w14:paraId="5D1893A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85" w:type="dxa"/>
                  <w:tcBorders>
                    <w:top w:val="nil"/>
                    <w:left w:val="nil"/>
                    <w:bottom w:val="nil"/>
                    <w:right w:val="nil"/>
                    <w:tl2br w:val="nil"/>
                    <w:tr2bl w:val="nil"/>
                  </w:tcBorders>
                  <w:shd w:val="clear" w:color="auto" w:fill="auto"/>
                  <w:noWrap/>
                  <w:tcMar>
                    <w:left w:w="0" w:type="dxa"/>
                    <w:right w:w="0" w:type="dxa"/>
                  </w:tcMar>
                  <w:vAlign w:val="bottom"/>
                </w:tcPr>
                <w:p w14:paraId="4D10758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3" w:type="dxa"/>
                  <w:tcBorders>
                    <w:top w:val="nil"/>
                    <w:left w:val="nil"/>
                    <w:bottom w:val="nil"/>
                    <w:right w:val="nil"/>
                    <w:tl2br w:val="nil"/>
                    <w:tr2bl w:val="nil"/>
                  </w:tcBorders>
                  <w:shd w:val="clear" w:color="auto" w:fill="auto"/>
                  <w:noWrap/>
                  <w:tcMar>
                    <w:left w:w="0" w:type="dxa"/>
                    <w:right w:w="0" w:type="dxa"/>
                  </w:tcMar>
                  <w:vAlign w:val="bottom"/>
                </w:tcPr>
                <w:p w14:paraId="0B7972D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4D368D4C"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2024</w:t>
                  </w:r>
                </w:p>
              </w:tc>
              <w:tc>
                <w:tcPr>
                  <w:tcW w:w="141" w:type="dxa"/>
                  <w:tcBorders>
                    <w:top w:val="single" w:sz="4" w:space="0" w:color="000000"/>
                    <w:left w:val="nil"/>
                    <w:bottom w:val="nil"/>
                    <w:right w:val="nil"/>
                    <w:tl2br w:val="nil"/>
                    <w:tr2bl w:val="nil"/>
                  </w:tcBorders>
                  <w:shd w:val="clear" w:color="auto" w:fill="auto"/>
                  <w:tcMar>
                    <w:left w:w="0" w:type="dxa"/>
                    <w:right w:w="0" w:type="dxa"/>
                  </w:tcMar>
                  <w:vAlign w:val="bottom"/>
                </w:tcPr>
                <w:p w14:paraId="40D7807D"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04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26691A1F"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291BE184"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104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2DA75F05"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2024</w:t>
                  </w:r>
                </w:p>
              </w:tc>
              <w:tc>
                <w:tcPr>
                  <w:tcW w:w="141" w:type="dxa"/>
                  <w:tcBorders>
                    <w:top w:val="single" w:sz="4" w:space="0" w:color="000000"/>
                    <w:left w:val="nil"/>
                    <w:bottom w:val="nil"/>
                    <w:right w:val="nil"/>
                    <w:tl2br w:val="nil"/>
                    <w:tr2bl w:val="nil"/>
                  </w:tcBorders>
                  <w:shd w:val="clear" w:color="auto" w:fill="auto"/>
                  <w:tcMar>
                    <w:left w:w="0" w:type="dxa"/>
                    <w:right w:w="0" w:type="dxa"/>
                  </w:tcMar>
                  <w:vAlign w:val="bottom"/>
                </w:tcPr>
                <w:p w14:paraId="08F50309"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04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3A8216EF"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c>
                <w:tcPr>
                  <w:tcW w:w="141" w:type="dxa"/>
                  <w:tcBorders>
                    <w:top w:val="nil"/>
                    <w:left w:val="nil"/>
                    <w:bottom w:val="nil"/>
                    <w:right w:val="nil"/>
                    <w:tl2br w:val="nil"/>
                    <w:tr2bl w:val="nil"/>
                  </w:tcBorders>
                  <w:shd w:val="clear" w:color="auto" w:fill="auto"/>
                  <w:tcMar>
                    <w:left w:w="0" w:type="dxa"/>
                    <w:right w:w="0" w:type="dxa"/>
                  </w:tcMar>
                  <w:vAlign w:val="bottom"/>
                </w:tcPr>
                <w:p w14:paraId="2BB69E2D"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324" w:type="dxa"/>
                  <w:tcBorders>
                    <w:top w:val="nil"/>
                    <w:left w:val="nil"/>
                    <w:bottom w:val="single" w:sz="4" w:space="0" w:color="000000"/>
                    <w:right w:val="nil"/>
                    <w:tl2br w:val="nil"/>
                    <w:tr2bl w:val="nil"/>
                  </w:tcBorders>
                  <w:shd w:val="clear" w:color="auto" w:fill="auto"/>
                  <w:tcMar>
                    <w:left w:w="43" w:type="dxa"/>
                    <w:right w:w="43" w:type="dxa"/>
                  </w:tcMar>
                  <w:vAlign w:val="bottom"/>
                </w:tcPr>
                <w:p w14:paraId="17DEE58A"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r>
            <w:tr w:rsidR="007F4C68" w:rsidRPr="007F4C68" w14:paraId="678329D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85" w:type="dxa"/>
                  <w:tcBorders>
                    <w:top w:val="nil"/>
                    <w:left w:val="nil"/>
                    <w:bottom w:val="nil"/>
                    <w:right w:val="nil"/>
                    <w:tl2br w:val="nil"/>
                    <w:tr2bl w:val="nil"/>
                  </w:tcBorders>
                  <w:shd w:val="clear" w:color="auto" w:fill="auto"/>
                  <w:noWrap/>
                  <w:tcMar>
                    <w:left w:w="0" w:type="dxa"/>
                    <w:right w:w="0" w:type="dxa"/>
                  </w:tcMar>
                  <w:vAlign w:val="bottom"/>
                </w:tcPr>
                <w:p w14:paraId="12E57A8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3" w:type="dxa"/>
                  <w:tcBorders>
                    <w:top w:val="nil"/>
                    <w:left w:val="nil"/>
                    <w:bottom w:val="nil"/>
                    <w:right w:val="nil"/>
                    <w:tl2br w:val="nil"/>
                    <w:tr2bl w:val="nil"/>
                  </w:tcBorders>
                  <w:shd w:val="clear" w:color="auto" w:fill="auto"/>
                  <w:noWrap/>
                  <w:tcMar>
                    <w:left w:w="0" w:type="dxa"/>
                    <w:right w:w="0" w:type="dxa"/>
                  </w:tcMar>
                  <w:vAlign w:val="bottom"/>
                </w:tcPr>
                <w:p w14:paraId="089A9FD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221"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2EF25B7D"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Unaudited</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22AC8B3A"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2221"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5065E81E"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Unaudited</w:t>
                  </w:r>
                </w:p>
              </w:tc>
              <w:tc>
                <w:tcPr>
                  <w:tcW w:w="141" w:type="dxa"/>
                  <w:tcBorders>
                    <w:top w:val="nil"/>
                    <w:left w:val="nil"/>
                    <w:bottom w:val="nil"/>
                    <w:right w:val="nil"/>
                    <w:tl2br w:val="nil"/>
                    <w:tr2bl w:val="nil"/>
                  </w:tcBorders>
                  <w:shd w:val="clear" w:color="auto" w:fill="auto"/>
                  <w:tcMar>
                    <w:left w:w="0" w:type="dxa"/>
                    <w:right w:w="0" w:type="dxa"/>
                  </w:tcMar>
                  <w:vAlign w:val="bottom"/>
                </w:tcPr>
                <w:p w14:paraId="70869BA4" w14:textId="77777777" w:rsidR="007F4C68" w:rsidRPr="007F4C68" w:rsidRDefault="007F4C68" w:rsidP="00A65A6F">
                  <w:pPr>
                    <w:keepNext/>
                    <w:spacing w:before="0" w:after="0"/>
                    <w:jc w:val="left"/>
                    <w:rPr>
                      <w:rFonts w:asciiTheme="majorBidi" w:eastAsia="Ploni ML Medium AAA Medium" w:hAnsiTheme="majorBidi" w:cstheme="majorBidi"/>
                      <w:b/>
                      <w:color w:val="000000"/>
                    </w:rPr>
                  </w:pPr>
                </w:p>
              </w:tc>
              <w:tc>
                <w:tcPr>
                  <w:tcW w:w="1324"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770DCD20"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Audited</w:t>
                  </w:r>
                </w:p>
              </w:tc>
            </w:tr>
            <w:tr w:rsidR="007F4C68" w:rsidRPr="007F4C68" w14:paraId="08CE3F3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85" w:type="dxa"/>
                  <w:tcBorders>
                    <w:top w:val="nil"/>
                    <w:left w:val="nil"/>
                    <w:bottom w:val="nil"/>
                    <w:right w:val="nil"/>
                    <w:tl2br w:val="nil"/>
                    <w:tr2bl w:val="nil"/>
                  </w:tcBorders>
                  <w:shd w:val="clear" w:color="auto" w:fill="auto"/>
                  <w:noWrap/>
                  <w:tcMar>
                    <w:left w:w="0" w:type="dxa"/>
                    <w:right w:w="0" w:type="dxa"/>
                  </w:tcMar>
                  <w:vAlign w:val="bottom"/>
                </w:tcPr>
                <w:p w14:paraId="2DE9795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3" w:type="dxa"/>
                  <w:tcBorders>
                    <w:top w:val="nil"/>
                    <w:left w:val="nil"/>
                    <w:bottom w:val="nil"/>
                    <w:right w:val="nil"/>
                    <w:tl2br w:val="nil"/>
                    <w:tr2bl w:val="nil"/>
                  </w:tcBorders>
                  <w:shd w:val="clear" w:color="auto" w:fill="auto"/>
                  <w:noWrap/>
                  <w:tcMar>
                    <w:left w:w="0" w:type="dxa"/>
                    <w:right w:w="0" w:type="dxa"/>
                  </w:tcMar>
                  <w:vAlign w:val="bottom"/>
                </w:tcPr>
                <w:p w14:paraId="70E0128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6048" w:type="dxa"/>
                  <w:gridSpan w:val="9"/>
                  <w:tcBorders>
                    <w:top w:val="nil"/>
                    <w:left w:val="nil"/>
                    <w:bottom w:val="single" w:sz="4" w:space="0" w:color="000000"/>
                    <w:right w:val="nil"/>
                    <w:tl2br w:val="nil"/>
                    <w:tr2bl w:val="nil"/>
                  </w:tcBorders>
                  <w:shd w:val="clear" w:color="auto" w:fill="auto"/>
                  <w:tcMar>
                    <w:left w:w="43" w:type="dxa"/>
                    <w:right w:w="43" w:type="dxa"/>
                  </w:tcMar>
                  <w:vAlign w:val="bottom"/>
                </w:tcPr>
                <w:p w14:paraId="5F34D4A2"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NIS million</w:t>
                  </w:r>
                </w:p>
              </w:tc>
            </w:tr>
            <w:tr w:rsidR="007F4C68" w:rsidRPr="007F4C68" w14:paraId="03F20EC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6B5BFE3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 xml:space="preserve">Cash flows from investment activities of the Company: </w:t>
                  </w:r>
                </w:p>
              </w:tc>
              <w:tc>
                <w:tcPr>
                  <w:tcW w:w="10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33762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4822E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702AB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22D7A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B7747C"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FCA4F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50A0F7"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3C27C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324"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CDF30C"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r>
            <w:tr w:rsidR="007F4C68" w:rsidRPr="007F4C68" w14:paraId="55C4E7D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782D555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Investment in property, plant and equipment and other assets</w:t>
                  </w: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7E2F9FC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4127A7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53F16FA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055A25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204134A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08CBC5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322108E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85F567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3C8502B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w:t>
                  </w:r>
                </w:p>
              </w:tc>
            </w:tr>
            <w:tr w:rsidR="007F4C68" w:rsidRPr="007F4C68" w14:paraId="0147EE4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7DFFDF8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Acquisition, construction, and development of investment property</w:t>
                  </w: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5C2F1A8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618A66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4AB4613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(399)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5030DE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138CE8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B57DDB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54E0C88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E7A059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3A343E5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(502)</w:t>
                  </w:r>
                </w:p>
              </w:tc>
            </w:tr>
            <w:tr w:rsidR="007F4C68" w:rsidRPr="007F4C68" w14:paraId="48B8C49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3F8C60B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Proceeds from the sale of investment property net of tax paid</w:t>
                  </w: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07667D2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1DB58F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56EFFC5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152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FB0EAA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5125FC7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953B3E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5B2A829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8E169A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4A9ECA0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154</w:t>
                  </w:r>
                </w:p>
              </w:tc>
            </w:tr>
            <w:tr w:rsidR="007F4C68" w:rsidRPr="007F4C68" w14:paraId="046BF0C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735A6CC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Disposal of investments in subsidiaries, net</w:t>
                  </w: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F0B262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9C3210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DD5C27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495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C91EAF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44EF749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157EE6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56134A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D2D47E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5D2C37F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901</w:t>
                  </w:r>
                </w:p>
              </w:tc>
            </w:tr>
            <w:tr w:rsidR="007F4C68" w:rsidRPr="007F4C68" w14:paraId="1EC29C9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3C00A0F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Receipt (provision) of loans from subsidiaries, net</w:t>
                  </w: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7F2AFC3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(159)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F19B7F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08B2982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(168)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683F6D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4FA0AA4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(181)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1B17DB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7131F04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192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3DD046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70FFC20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25</w:t>
                  </w:r>
                </w:p>
              </w:tc>
            </w:tr>
            <w:tr w:rsidR="007F4C68" w:rsidRPr="007F4C68" w14:paraId="03E7048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2AFE535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Proceeds from sale of financial assets, net</w:t>
                  </w: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9D07F4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EAEDF7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5BFC60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91BCBC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A66ADE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02B1BE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0D9B58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B168CC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5B23B51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51</w:t>
                  </w:r>
                </w:p>
              </w:tc>
            </w:tr>
            <w:tr w:rsidR="007F4C68" w:rsidRPr="007F4C68" w14:paraId="496B388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50A497D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Net cash from (used for) the Company's investment operations </w:t>
                  </w: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5561D7D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(259)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5A1360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34A39BB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111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399932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35AEE03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(204)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0DC556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6FC6205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171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ED2CEF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1859D5C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628</w:t>
                  </w:r>
                </w:p>
              </w:tc>
            </w:tr>
            <w:tr w:rsidR="007F4C68" w:rsidRPr="007F4C68" w14:paraId="13DEC9F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0" w:type="dxa"/>
                    <w:right w:w="0" w:type="dxa"/>
                  </w:tcMar>
                  <w:vAlign w:val="bottom"/>
                </w:tcPr>
                <w:p w14:paraId="3163F82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333754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82672A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609D01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181685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C8B8A0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039D9A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366073C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D45658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A55425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113EA28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64F6D1B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 xml:space="preserve">Cash flows from the Company's financing activities </w:t>
                  </w: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6BD809C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9FD2A1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60453AD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AEEBBD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13AA203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0A2E5C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0454D5B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59679B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0" w:type="dxa"/>
                    <w:right w:w="135" w:type="dxa"/>
                  </w:tcMar>
                  <w:vAlign w:val="bottom"/>
                </w:tcPr>
                <w:p w14:paraId="38C8FA7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3EE12E7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2AED8DA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Cash flows from financing activities of the Company:</w:t>
                  </w: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765F0DA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79B103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52CACEE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150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970261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E73418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6A7040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052952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B2FCDE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53FA281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150</w:t>
                  </w:r>
                </w:p>
              </w:tc>
            </w:tr>
            <w:tr w:rsidR="007F4C68" w:rsidRPr="007F4C68" w14:paraId="1D25FB33"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5FC117F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Issue of shares (less issue expenses)</w:t>
                  </w: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0DC2806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9C3F4E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D97692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4AA0D8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AD6DB5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FA8D7B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B687C4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27529E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33D568E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r>
            <w:tr w:rsidR="007F4C68" w:rsidRPr="007F4C68" w14:paraId="5DB6EB1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55229D7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Acquisition of treasury shares</w:t>
                  </w: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2C005C3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4DF60D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2893A37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2F2503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4FC14D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5B935A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D4D346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5E0CF6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0C8176C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r>
            <w:tr w:rsidR="007F4C68" w:rsidRPr="007F4C68" w14:paraId="2E13B8D0"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4D65A4AD"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Dividend paid to Company shareholders </w:t>
                  </w: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4F6B5A1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46BE4A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A2F61F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6CCFF6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216F6D6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AC612B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2BC7E23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E3D867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095C1EB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(53)</w:t>
                  </w:r>
                </w:p>
              </w:tc>
            </w:tr>
            <w:tr w:rsidR="007F4C68" w:rsidRPr="007F4C68" w14:paraId="0998871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45A5C4F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Issue of debentures and convertible debentures </w:t>
                  </w: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0382744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1,226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EB2956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419E48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0603E7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74A5DD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822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AFFA4F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5C67EAE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9AC481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015734F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611</w:t>
                  </w:r>
                </w:p>
              </w:tc>
            </w:tr>
            <w:tr w:rsidR="007F4C68" w:rsidRPr="007F4C68" w14:paraId="6E3521C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3B82FAC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Early payment and redemption of debentures</w:t>
                  </w: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2ADCB5C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(768)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037262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0EBEA3B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(503)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29B9AB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668A51C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(568)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36FA16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4C8F8DB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(426)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A3B654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13A9A53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(1,171)</w:t>
                  </w:r>
                </w:p>
              </w:tc>
            </w:tr>
            <w:tr w:rsidR="007F4C68" w:rsidRPr="007F4C68" w14:paraId="3B0523F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075E8CFE" w14:textId="058BA571"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Receipt (repayment) of short-term </w:t>
                  </w:r>
                  <w:r w:rsidR="006C4351">
                    <w:rPr>
                      <w:rFonts w:asciiTheme="majorBidi" w:hAnsiTheme="majorBidi" w:cstheme="majorBidi"/>
                      <w:color w:val="000000"/>
                      <w:sz w:val="21"/>
                    </w:rPr>
                    <w:t>credit facilities</w:t>
                  </w:r>
                  <w:r w:rsidRPr="007F4C68">
                    <w:rPr>
                      <w:rFonts w:asciiTheme="majorBidi" w:hAnsiTheme="majorBidi" w:cstheme="majorBidi"/>
                      <w:color w:val="000000"/>
                      <w:sz w:val="21"/>
                    </w:rPr>
                    <w:t xml:space="preserve"> of credit from banks, net </w:t>
                  </w:r>
                </w:p>
                <w:p w14:paraId="5153A5B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10A501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(599)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3AED1E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74B66A9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(102)</w:t>
                  </w:r>
                </w:p>
              </w:tc>
              <w:tc>
                <w:tcPr>
                  <w:tcW w:w="141" w:type="dxa"/>
                  <w:tcBorders>
                    <w:top w:val="nil"/>
                    <w:left w:val="nil"/>
                    <w:bottom w:val="nil"/>
                    <w:right w:val="nil"/>
                    <w:tl2br w:val="nil"/>
                    <w:tr2bl w:val="nil"/>
                  </w:tcBorders>
                  <w:shd w:val="clear" w:color="auto" w:fill="auto"/>
                  <w:tcMar>
                    <w:left w:w="0" w:type="dxa"/>
                    <w:right w:w="135" w:type="dxa"/>
                  </w:tcMar>
                  <w:vAlign w:val="bottom"/>
                </w:tcPr>
                <w:p w14:paraId="152347F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058CC25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(361)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4088E3A"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5744FBE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478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C805C3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335E12D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(397)</w:t>
                  </w:r>
                </w:p>
              </w:tc>
            </w:tr>
            <w:tr w:rsidR="007F4C68" w:rsidRPr="007F4C68" w14:paraId="2CBB464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4F4253A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Repayment of long-term loans</w:t>
                  </w: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3E8F6CE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(251)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F52C2B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4504178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9069ED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E082B9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(239)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A7D345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704EE54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DBF64B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5287545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(115)</w:t>
                  </w:r>
                </w:p>
              </w:tc>
            </w:tr>
            <w:tr w:rsidR="007F4C68" w:rsidRPr="007F4C68" w14:paraId="054D521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2782EB6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Receipt of long-term loans</w:t>
                  </w: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48CB1D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650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48E870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ADDF04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369</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F58A9F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77E3E0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650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11E7AB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955C49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A63010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32AA01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444</w:t>
                  </w:r>
                </w:p>
              </w:tc>
            </w:tr>
            <w:tr w:rsidR="007F4C68" w:rsidRPr="007F4C68" w14:paraId="7961A22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02527F1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Net cash from (used for) the Company's financing operations </w:t>
                  </w: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31E172B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248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0F996A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7215E89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(197)</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D89248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214C0F8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294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DFBE9B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4441ABC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667E83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7B43F6D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(531)</w:t>
                  </w:r>
                </w:p>
              </w:tc>
            </w:tr>
            <w:tr w:rsidR="007F4C68" w:rsidRPr="007F4C68" w14:paraId="0D334C1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4"/>
              </w:trPr>
              <w:tc>
                <w:tcPr>
                  <w:tcW w:w="4158" w:type="dxa"/>
                  <w:gridSpan w:val="2"/>
                  <w:tcBorders>
                    <w:top w:val="nil"/>
                    <w:left w:val="nil"/>
                    <w:bottom w:val="nil"/>
                    <w:right w:val="nil"/>
                    <w:tl2br w:val="nil"/>
                    <w:tr2bl w:val="nil"/>
                  </w:tcBorders>
                  <w:shd w:val="clear" w:color="auto" w:fill="auto"/>
                  <w:tcMar>
                    <w:left w:w="0" w:type="dxa"/>
                    <w:right w:w="0" w:type="dxa"/>
                  </w:tcMar>
                  <w:vAlign w:val="bottom"/>
                </w:tcPr>
                <w:p w14:paraId="3196520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ED51E9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102ACF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5EB1749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8D292E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15BA41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3B36C0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5437E8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959561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34946F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3D16C9A4"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03F9EAB7"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Exchange differences for cash balance and cash equivalents </w:t>
                  </w: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25AE2D5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60E720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338F69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B59EC3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13C77AC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6BF0A9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43" w:type="dxa"/>
                    <w:right w:w="178" w:type="dxa"/>
                  </w:tcMar>
                  <w:vAlign w:val="bottom"/>
                </w:tcPr>
                <w:p w14:paraId="4A0680A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6823DD0"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43" w:type="dxa"/>
                    <w:right w:w="178" w:type="dxa"/>
                  </w:tcMar>
                  <w:vAlign w:val="bottom"/>
                </w:tcPr>
                <w:p w14:paraId="7D8A48C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(32)</w:t>
                  </w:r>
                </w:p>
              </w:tc>
            </w:tr>
            <w:tr w:rsidR="007F4C68" w:rsidRPr="007F4C68" w14:paraId="1283818A"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
              </w:trPr>
              <w:tc>
                <w:tcPr>
                  <w:tcW w:w="4158" w:type="dxa"/>
                  <w:gridSpan w:val="2"/>
                  <w:tcBorders>
                    <w:top w:val="nil"/>
                    <w:left w:val="nil"/>
                    <w:bottom w:val="nil"/>
                    <w:right w:val="nil"/>
                    <w:tl2br w:val="nil"/>
                    <w:tr2bl w:val="nil"/>
                  </w:tcBorders>
                  <w:shd w:val="clear" w:color="auto" w:fill="auto"/>
                  <w:tcMar>
                    <w:left w:w="0" w:type="dxa"/>
                    <w:right w:w="0" w:type="dxa"/>
                  </w:tcMar>
                  <w:vAlign w:val="bottom"/>
                </w:tcPr>
                <w:p w14:paraId="2E42803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483D2CB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DEA7DC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57E7B4F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F1790F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76208CD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9C8414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nil"/>
                    <w:right w:val="nil"/>
                    <w:tl2br w:val="nil"/>
                    <w:tr2bl w:val="nil"/>
                  </w:tcBorders>
                  <w:shd w:val="clear" w:color="auto" w:fill="auto"/>
                  <w:noWrap/>
                  <w:tcMar>
                    <w:left w:w="0" w:type="dxa"/>
                    <w:right w:w="135" w:type="dxa"/>
                  </w:tcMar>
                  <w:vAlign w:val="bottom"/>
                </w:tcPr>
                <w:p w14:paraId="727C9ED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1E6E02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nil"/>
                    <w:right w:val="nil"/>
                    <w:tl2br w:val="nil"/>
                    <w:tr2bl w:val="nil"/>
                  </w:tcBorders>
                  <w:shd w:val="clear" w:color="auto" w:fill="auto"/>
                  <w:noWrap/>
                  <w:tcMar>
                    <w:left w:w="0" w:type="dxa"/>
                    <w:right w:w="135" w:type="dxa"/>
                  </w:tcMar>
                  <w:vAlign w:val="bottom"/>
                </w:tcPr>
                <w:p w14:paraId="0132BCD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r>
            <w:tr w:rsidR="007F4C68" w:rsidRPr="007F4C68" w14:paraId="7EA7278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5A0D412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Increase (decrease) in cash and cash equivalents</w:t>
                  </w: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49897F7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8</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AEB2DC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6B4709D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(145)</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F50ACC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501594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FCB1D2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E2B81F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(62)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626D90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3B60764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(144)</w:t>
                  </w:r>
                </w:p>
              </w:tc>
            </w:tr>
            <w:tr w:rsidR="007F4C68" w:rsidRPr="007F4C68" w14:paraId="44A4BAC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6DA3A7A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Cash and cash equivalents at the beginning of the period</w:t>
                  </w: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3A6299A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152</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3ACED6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4C1DB8C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296</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B45A0A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2930E6A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144</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40D998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28C738A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213</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DD5B82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single" w:sz="4" w:space="0" w:color="000000"/>
                    <w:left w:val="nil"/>
                    <w:bottom w:val="single" w:sz="4" w:space="0" w:color="000000"/>
                    <w:right w:val="nil"/>
                    <w:tl2br w:val="nil"/>
                    <w:tr2bl w:val="nil"/>
                  </w:tcBorders>
                  <w:shd w:val="clear" w:color="auto" w:fill="auto"/>
                  <w:noWrap/>
                  <w:tcMar>
                    <w:left w:w="43" w:type="dxa"/>
                    <w:right w:w="178" w:type="dxa"/>
                  </w:tcMar>
                  <w:vAlign w:val="bottom"/>
                </w:tcPr>
                <w:p w14:paraId="0B07C88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296</w:t>
                  </w:r>
                </w:p>
              </w:tc>
            </w:tr>
            <w:tr w:rsidR="007F4C68" w:rsidRPr="007F4C68" w14:paraId="79C4AA3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8" w:type="dxa"/>
                  <w:gridSpan w:val="2"/>
                  <w:tcBorders>
                    <w:top w:val="nil"/>
                    <w:left w:val="nil"/>
                    <w:bottom w:val="nil"/>
                    <w:right w:val="nil"/>
                    <w:tl2br w:val="nil"/>
                    <w:tr2bl w:val="nil"/>
                  </w:tcBorders>
                  <w:shd w:val="clear" w:color="auto" w:fill="auto"/>
                  <w:tcMar>
                    <w:left w:w="43" w:type="dxa"/>
                    <w:right w:w="43" w:type="dxa"/>
                  </w:tcMar>
                  <w:vAlign w:val="bottom"/>
                </w:tcPr>
                <w:p w14:paraId="7E9E7F6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Cash and cash equivalents at the end of the period</w:t>
                  </w:r>
                </w:p>
              </w:tc>
              <w:tc>
                <w:tcPr>
                  <w:tcW w:w="104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218A1F62"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160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AE2B669"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767CC2B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151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B47E2B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u w:val="single"/>
                    </w:rPr>
                  </w:pPr>
                </w:p>
              </w:tc>
              <w:tc>
                <w:tcPr>
                  <w:tcW w:w="104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7FD26644"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160</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5AA375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2E19C92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151</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E4731D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324"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7C4EE56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152</w:t>
                  </w:r>
                </w:p>
              </w:tc>
            </w:tr>
            <w:tr w:rsidR="007F4C68" w:rsidRPr="007F4C68" w14:paraId="083E018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8"/>
              </w:trPr>
              <w:tc>
                <w:tcPr>
                  <w:tcW w:w="4158" w:type="dxa"/>
                  <w:gridSpan w:val="2"/>
                  <w:tcBorders>
                    <w:top w:val="nil"/>
                    <w:left w:val="nil"/>
                    <w:bottom w:val="nil"/>
                    <w:right w:val="nil"/>
                    <w:tl2br w:val="nil"/>
                    <w:tr2bl w:val="nil"/>
                  </w:tcBorders>
                  <w:shd w:val="clear" w:color="auto" w:fill="auto"/>
                  <w:tcMar>
                    <w:left w:w="0" w:type="dxa"/>
                    <w:right w:w="0" w:type="dxa"/>
                  </w:tcMar>
                  <w:vAlign w:val="bottom"/>
                </w:tcPr>
                <w:p w14:paraId="08C3DAFA" w14:textId="77777777" w:rsidR="007F4C68" w:rsidRPr="007F4C68" w:rsidRDefault="007F4C68" w:rsidP="00A65A6F">
                  <w:pPr>
                    <w:keepNext/>
                    <w:spacing w:before="0" w:after="0"/>
                    <w:jc w:val="left"/>
                    <w:rPr>
                      <w:rFonts w:asciiTheme="majorBidi" w:eastAsia="Ploni ML Medium AAA Medium" w:hAnsiTheme="majorBidi" w:cstheme="majorBidi"/>
                      <w:color w:val="000000"/>
                      <w:u w:val="single"/>
                    </w:rPr>
                  </w:pPr>
                </w:p>
              </w:tc>
              <w:tc>
                <w:tcPr>
                  <w:tcW w:w="104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5CB46330" w14:textId="77777777" w:rsidR="007F4C68" w:rsidRPr="007F4C68" w:rsidRDefault="007F4C68" w:rsidP="00A65A6F">
                  <w:pPr>
                    <w:keepNext/>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0F4E1563" w14:textId="77777777" w:rsidR="007F4C68" w:rsidRPr="007F4C68" w:rsidRDefault="007F4C68" w:rsidP="00A65A6F">
                  <w:pPr>
                    <w:keepNext/>
                    <w:spacing w:before="0" w:after="0"/>
                    <w:jc w:val="right"/>
                    <w:rPr>
                      <w:rFonts w:asciiTheme="majorBidi" w:eastAsia="Ploni ML Medium AAA Medium" w:hAnsiTheme="majorBidi" w:cstheme="majorBidi"/>
                      <w:color w:val="000000"/>
                    </w:rPr>
                  </w:pPr>
                </w:p>
              </w:tc>
              <w:tc>
                <w:tcPr>
                  <w:tcW w:w="104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41972E7D" w14:textId="77777777" w:rsidR="007F4C68" w:rsidRPr="007F4C68" w:rsidRDefault="007F4C68" w:rsidP="00A65A6F">
                  <w:pPr>
                    <w:keepNext/>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5FDF3BBD" w14:textId="77777777" w:rsidR="007F4C68" w:rsidRPr="007F4C68" w:rsidRDefault="007F4C68" w:rsidP="00A65A6F">
                  <w:pPr>
                    <w:keepNext/>
                    <w:spacing w:before="0" w:after="0"/>
                    <w:jc w:val="right"/>
                    <w:rPr>
                      <w:rFonts w:asciiTheme="majorBidi" w:eastAsia="Ploni ML Medium AAA Medium" w:hAnsiTheme="majorBidi" w:cstheme="majorBidi"/>
                      <w:color w:val="000000"/>
                      <w:u w:val="single"/>
                    </w:rPr>
                  </w:pPr>
                </w:p>
              </w:tc>
              <w:tc>
                <w:tcPr>
                  <w:tcW w:w="104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1203A2B2" w14:textId="77777777" w:rsidR="007F4C68" w:rsidRPr="007F4C68" w:rsidRDefault="007F4C68" w:rsidP="00A65A6F">
                  <w:pPr>
                    <w:keepNext/>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308542C2" w14:textId="77777777" w:rsidR="007F4C68" w:rsidRPr="007F4C68" w:rsidRDefault="007F4C68" w:rsidP="00A65A6F">
                  <w:pPr>
                    <w:keepNext/>
                    <w:spacing w:before="0" w:after="0"/>
                    <w:jc w:val="right"/>
                    <w:rPr>
                      <w:rFonts w:asciiTheme="majorBidi" w:eastAsia="Ploni ML Medium AAA Medium" w:hAnsiTheme="majorBidi" w:cstheme="majorBidi"/>
                      <w:color w:val="000000"/>
                    </w:rPr>
                  </w:pPr>
                </w:p>
              </w:tc>
              <w:tc>
                <w:tcPr>
                  <w:tcW w:w="1040"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035ED9E2" w14:textId="77777777" w:rsidR="007F4C68" w:rsidRPr="007F4C68" w:rsidRDefault="007F4C68" w:rsidP="00A65A6F">
                  <w:pPr>
                    <w:keepNext/>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8D95890" w14:textId="77777777" w:rsidR="007F4C68" w:rsidRPr="007F4C68" w:rsidRDefault="007F4C68" w:rsidP="00A65A6F">
                  <w:pPr>
                    <w:keepNext/>
                    <w:spacing w:before="0" w:after="0"/>
                    <w:jc w:val="right"/>
                    <w:rPr>
                      <w:rFonts w:asciiTheme="majorBidi" w:eastAsia="Ploni ML Medium AAA Medium" w:hAnsiTheme="majorBidi" w:cstheme="majorBidi"/>
                      <w:color w:val="000000"/>
                    </w:rPr>
                  </w:pPr>
                </w:p>
              </w:tc>
              <w:tc>
                <w:tcPr>
                  <w:tcW w:w="1324" w:type="dxa"/>
                  <w:tcBorders>
                    <w:top w:val="double" w:sz="6" w:space="0" w:color="000000"/>
                    <w:left w:val="nil"/>
                    <w:bottom w:val="nil"/>
                    <w:right w:val="nil"/>
                    <w:tl2br w:val="nil"/>
                    <w:tr2bl w:val="nil"/>
                  </w:tcBorders>
                  <w:shd w:val="clear" w:color="auto" w:fill="auto"/>
                  <w:noWrap/>
                  <w:tcMar>
                    <w:left w:w="0" w:type="dxa"/>
                    <w:right w:w="135" w:type="dxa"/>
                  </w:tcMar>
                  <w:vAlign w:val="bottom"/>
                </w:tcPr>
                <w:p w14:paraId="7527859E" w14:textId="77777777" w:rsidR="007F4C68" w:rsidRPr="007F4C68" w:rsidRDefault="007F4C68" w:rsidP="00A65A6F">
                  <w:pPr>
                    <w:keepNext/>
                    <w:spacing w:before="0" w:after="0"/>
                    <w:jc w:val="right"/>
                    <w:rPr>
                      <w:rFonts w:asciiTheme="majorBidi" w:eastAsia="Ploni ML Medium AAA Medium" w:hAnsiTheme="majorBidi" w:cstheme="majorBidi"/>
                      <w:color w:val="000000"/>
                    </w:rPr>
                  </w:pPr>
                </w:p>
              </w:tc>
            </w:tr>
            <w:tr w:rsidR="007F4C68" w:rsidRPr="007F4C68" w14:paraId="65BA903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8"/>
              </w:trPr>
              <w:tc>
                <w:tcPr>
                  <w:tcW w:w="485" w:type="dxa"/>
                  <w:tcBorders>
                    <w:top w:val="nil"/>
                    <w:left w:val="nil"/>
                    <w:bottom w:val="nil"/>
                    <w:right w:val="nil"/>
                    <w:tl2br w:val="nil"/>
                    <w:tr2bl w:val="nil"/>
                  </w:tcBorders>
                  <w:shd w:val="clear" w:color="auto" w:fill="auto"/>
                  <w:noWrap/>
                  <w:tcMar>
                    <w:left w:w="43" w:type="dxa"/>
                    <w:right w:w="43" w:type="dxa"/>
                  </w:tcMar>
                  <w:vAlign w:val="bottom"/>
                </w:tcPr>
                <w:p w14:paraId="4DCD46B9"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r w:rsidRPr="007F4C68">
                    <w:rPr>
                      <w:rFonts w:asciiTheme="majorBidi" w:hAnsiTheme="majorBidi" w:cstheme="majorBidi"/>
                      <w:color w:val="000000"/>
                    </w:rPr>
                    <w:t>*)</w:t>
                  </w:r>
                </w:p>
              </w:tc>
              <w:tc>
                <w:tcPr>
                  <w:tcW w:w="8397" w:type="dxa"/>
                  <w:gridSpan w:val="9"/>
                  <w:tcBorders>
                    <w:top w:val="nil"/>
                    <w:left w:val="nil"/>
                    <w:bottom w:val="nil"/>
                    <w:right w:val="nil"/>
                    <w:tl2br w:val="nil"/>
                    <w:tr2bl w:val="nil"/>
                  </w:tcBorders>
                  <w:shd w:val="clear" w:color="auto" w:fill="auto"/>
                  <w:noWrap/>
                  <w:tcMar>
                    <w:left w:w="43" w:type="dxa"/>
                    <w:right w:w="43" w:type="dxa"/>
                  </w:tcMar>
                  <w:vAlign w:val="bottom"/>
                </w:tcPr>
                <w:p w14:paraId="571F0744"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r w:rsidRPr="007F4C68">
                    <w:rPr>
                      <w:rFonts w:asciiTheme="majorBidi" w:hAnsiTheme="majorBidi" w:cstheme="majorBidi"/>
                      <w:color w:val="000000"/>
                    </w:rPr>
                    <w:t>Represents an amount of less than NIS 1 million</w:t>
                  </w:r>
                </w:p>
              </w:tc>
              <w:tc>
                <w:tcPr>
                  <w:tcW w:w="1324" w:type="dxa"/>
                  <w:tcBorders>
                    <w:top w:val="nil"/>
                    <w:left w:val="nil"/>
                    <w:bottom w:val="nil"/>
                    <w:right w:val="nil"/>
                    <w:tl2br w:val="nil"/>
                    <w:tr2bl w:val="nil"/>
                  </w:tcBorders>
                  <w:shd w:val="clear" w:color="auto" w:fill="auto"/>
                  <w:noWrap/>
                  <w:tcMar>
                    <w:left w:w="0" w:type="dxa"/>
                    <w:right w:w="0" w:type="dxa"/>
                  </w:tcMar>
                  <w:vAlign w:val="bottom"/>
                </w:tcPr>
                <w:p w14:paraId="5C66904C"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r>
            <w:tr w:rsidR="007F4C68" w:rsidRPr="007F4C68" w14:paraId="75BCED85"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3"/>
              </w:trPr>
              <w:tc>
                <w:tcPr>
                  <w:tcW w:w="485" w:type="dxa"/>
                  <w:tcBorders>
                    <w:top w:val="nil"/>
                    <w:left w:val="nil"/>
                    <w:bottom w:val="nil"/>
                    <w:right w:val="nil"/>
                    <w:tl2br w:val="nil"/>
                    <w:tr2bl w:val="nil"/>
                  </w:tcBorders>
                  <w:shd w:val="clear" w:color="auto" w:fill="auto"/>
                  <w:noWrap/>
                  <w:tcMar>
                    <w:left w:w="0" w:type="dxa"/>
                    <w:right w:w="0" w:type="dxa"/>
                  </w:tcMar>
                  <w:vAlign w:val="bottom"/>
                </w:tcPr>
                <w:p w14:paraId="413BA1AA" w14:textId="77777777" w:rsidR="007F4C68" w:rsidRPr="007F4C68" w:rsidRDefault="007F4C68" w:rsidP="00A65A6F">
                  <w:pPr>
                    <w:keepNext/>
                    <w:spacing w:before="0" w:after="0"/>
                    <w:jc w:val="right"/>
                    <w:rPr>
                      <w:rFonts w:asciiTheme="majorBidi" w:eastAsia="Ploni ML Medium AAA Medium" w:hAnsiTheme="majorBidi" w:cstheme="majorBidi"/>
                      <w:color w:val="000000"/>
                    </w:rPr>
                  </w:pPr>
                </w:p>
              </w:tc>
              <w:tc>
                <w:tcPr>
                  <w:tcW w:w="3673" w:type="dxa"/>
                  <w:tcBorders>
                    <w:top w:val="nil"/>
                    <w:left w:val="nil"/>
                    <w:bottom w:val="nil"/>
                    <w:right w:val="nil"/>
                    <w:tl2br w:val="nil"/>
                    <w:tr2bl w:val="nil"/>
                  </w:tcBorders>
                  <w:shd w:val="clear" w:color="auto" w:fill="auto"/>
                  <w:noWrap/>
                  <w:tcMar>
                    <w:left w:w="0" w:type="dxa"/>
                    <w:right w:w="0" w:type="dxa"/>
                  </w:tcMar>
                  <w:vAlign w:val="bottom"/>
                </w:tcPr>
                <w:p w14:paraId="27B5D120" w14:textId="77777777" w:rsidR="007F4C68" w:rsidRPr="007F4C68" w:rsidRDefault="007F4C68" w:rsidP="00A65A6F">
                  <w:pPr>
                    <w:keepNext/>
                    <w:spacing w:before="0" w:after="0"/>
                    <w:jc w:val="right"/>
                    <w:rPr>
                      <w:rFonts w:asciiTheme="majorBidi" w:eastAsia="Ploni ML Medium AAA Medium" w:hAnsiTheme="majorBidi" w:cstheme="majorBidi"/>
                      <w:color w:val="000000"/>
                    </w:rPr>
                  </w:pPr>
                </w:p>
              </w:tc>
              <w:tc>
                <w:tcPr>
                  <w:tcW w:w="1040" w:type="dxa"/>
                  <w:tcBorders>
                    <w:top w:val="nil"/>
                    <w:left w:val="nil"/>
                    <w:bottom w:val="nil"/>
                    <w:right w:val="nil"/>
                    <w:tl2br w:val="nil"/>
                    <w:tr2bl w:val="nil"/>
                  </w:tcBorders>
                  <w:shd w:val="clear" w:color="auto" w:fill="auto"/>
                  <w:noWrap/>
                  <w:tcMar>
                    <w:left w:w="0" w:type="dxa"/>
                    <w:right w:w="0" w:type="dxa"/>
                  </w:tcMar>
                  <w:vAlign w:val="bottom"/>
                </w:tcPr>
                <w:p w14:paraId="05246E5A" w14:textId="77777777" w:rsidR="007F4C68" w:rsidRPr="007F4C68" w:rsidRDefault="007F4C68" w:rsidP="00A65A6F">
                  <w:pPr>
                    <w:keepNext/>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61AA2F3C" w14:textId="77777777" w:rsidR="007F4C68" w:rsidRPr="007F4C68" w:rsidRDefault="007F4C68" w:rsidP="00A65A6F">
                  <w:pPr>
                    <w:keepNext/>
                    <w:spacing w:before="0" w:after="0"/>
                    <w:jc w:val="right"/>
                    <w:rPr>
                      <w:rFonts w:asciiTheme="majorBidi" w:eastAsia="Ploni ML Medium AAA Medium" w:hAnsiTheme="majorBidi" w:cstheme="majorBidi"/>
                      <w:color w:val="000000"/>
                    </w:rPr>
                  </w:pPr>
                </w:p>
              </w:tc>
              <w:tc>
                <w:tcPr>
                  <w:tcW w:w="1040" w:type="dxa"/>
                  <w:tcBorders>
                    <w:top w:val="nil"/>
                    <w:left w:val="nil"/>
                    <w:bottom w:val="nil"/>
                    <w:right w:val="nil"/>
                    <w:tl2br w:val="nil"/>
                    <w:tr2bl w:val="nil"/>
                  </w:tcBorders>
                  <w:shd w:val="clear" w:color="auto" w:fill="auto"/>
                  <w:noWrap/>
                  <w:tcMar>
                    <w:left w:w="0" w:type="dxa"/>
                    <w:right w:w="0" w:type="dxa"/>
                  </w:tcMar>
                  <w:vAlign w:val="bottom"/>
                </w:tcPr>
                <w:p w14:paraId="58E30802" w14:textId="77777777" w:rsidR="007F4C68" w:rsidRPr="007F4C68" w:rsidRDefault="007F4C68" w:rsidP="00A65A6F">
                  <w:pPr>
                    <w:keepNext/>
                    <w:spacing w:before="0" w:after="0"/>
                    <w:jc w:val="righ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18B70E32" w14:textId="77777777" w:rsidR="007F4C68" w:rsidRPr="007F4C68" w:rsidRDefault="007F4C68" w:rsidP="00A65A6F">
                  <w:pPr>
                    <w:keepNext/>
                    <w:spacing w:before="0" w:after="0"/>
                    <w:jc w:val="right"/>
                    <w:rPr>
                      <w:rFonts w:asciiTheme="majorBidi" w:eastAsia="Ploni ML Medium AAA Medium" w:hAnsiTheme="majorBidi" w:cstheme="majorBidi"/>
                      <w:color w:val="000000"/>
                    </w:rPr>
                  </w:pPr>
                </w:p>
              </w:tc>
              <w:tc>
                <w:tcPr>
                  <w:tcW w:w="1040" w:type="dxa"/>
                  <w:tcBorders>
                    <w:top w:val="nil"/>
                    <w:left w:val="nil"/>
                    <w:bottom w:val="nil"/>
                    <w:right w:val="nil"/>
                    <w:tl2br w:val="nil"/>
                    <w:tr2bl w:val="nil"/>
                  </w:tcBorders>
                  <w:shd w:val="clear" w:color="auto" w:fill="auto"/>
                  <w:noWrap/>
                  <w:tcMar>
                    <w:left w:w="0" w:type="dxa"/>
                    <w:right w:w="0" w:type="dxa"/>
                  </w:tcMar>
                  <w:vAlign w:val="bottom"/>
                </w:tcPr>
                <w:p w14:paraId="41A842FF"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6F1EF844"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1040" w:type="dxa"/>
                  <w:tcBorders>
                    <w:top w:val="nil"/>
                    <w:left w:val="nil"/>
                    <w:bottom w:val="nil"/>
                    <w:right w:val="nil"/>
                    <w:tl2br w:val="nil"/>
                    <w:tr2bl w:val="nil"/>
                  </w:tcBorders>
                  <w:shd w:val="clear" w:color="auto" w:fill="auto"/>
                  <w:noWrap/>
                  <w:tcMar>
                    <w:left w:w="0" w:type="dxa"/>
                    <w:right w:w="0" w:type="dxa"/>
                  </w:tcMar>
                  <w:vAlign w:val="bottom"/>
                </w:tcPr>
                <w:p w14:paraId="12273B6C"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061F554F"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1324" w:type="dxa"/>
                  <w:tcBorders>
                    <w:top w:val="nil"/>
                    <w:left w:val="nil"/>
                    <w:bottom w:val="nil"/>
                    <w:right w:val="nil"/>
                    <w:tl2br w:val="nil"/>
                    <w:tr2bl w:val="nil"/>
                  </w:tcBorders>
                  <w:shd w:val="clear" w:color="auto" w:fill="auto"/>
                  <w:noWrap/>
                  <w:tcMar>
                    <w:left w:w="0" w:type="dxa"/>
                    <w:right w:w="0" w:type="dxa"/>
                  </w:tcMar>
                  <w:vAlign w:val="bottom"/>
                </w:tcPr>
                <w:p w14:paraId="7B187E94"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r>
            <w:tr w:rsidR="007F4C68" w:rsidRPr="007F4C68" w14:paraId="19B17FF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6"/>
              </w:trPr>
              <w:tc>
                <w:tcPr>
                  <w:tcW w:w="10206" w:type="dxa"/>
                  <w:gridSpan w:val="11"/>
                  <w:tcBorders>
                    <w:top w:val="nil"/>
                    <w:left w:val="nil"/>
                    <w:bottom w:val="nil"/>
                    <w:right w:val="nil"/>
                    <w:tl2br w:val="nil"/>
                    <w:tr2bl w:val="nil"/>
                  </w:tcBorders>
                  <w:shd w:val="clear" w:color="auto" w:fill="auto"/>
                  <w:noWrap/>
                  <w:tcMar>
                    <w:left w:w="43" w:type="dxa"/>
                    <w:right w:w="43" w:type="dxa"/>
                  </w:tcMar>
                  <w:vAlign w:val="bottom"/>
                </w:tcPr>
                <w:p w14:paraId="6BF10DF6"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r w:rsidRPr="007F4C68">
                    <w:rPr>
                      <w:rFonts w:asciiTheme="majorBidi" w:hAnsiTheme="majorBidi" w:cstheme="majorBidi"/>
                      <w:color w:val="000000"/>
                    </w:rPr>
                    <w:t>The accompanying additional information is an integral part of the financial information and of the separate financial information.</w:t>
                  </w:r>
                </w:p>
              </w:tc>
            </w:tr>
          </w:tbl>
          <w:p w14:paraId="498617D8" w14:textId="77777777" w:rsidR="007F4C68" w:rsidRPr="007F4C68" w:rsidRDefault="007F4C68" w:rsidP="00A65A6F">
            <w:pPr>
              <w:rPr>
                <w:rFonts w:asciiTheme="majorBidi" w:hAnsiTheme="majorBidi" w:cstheme="majorBidi"/>
              </w:rPr>
            </w:pPr>
          </w:p>
        </w:tc>
      </w:tr>
    </w:tbl>
    <w:p w14:paraId="10DD091C" w14:textId="77777777" w:rsidR="007F4C68" w:rsidRPr="007F4C68" w:rsidRDefault="007F4C68" w:rsidP="007F4C68">
      <w:pPr>
        <w:contextualSpacing/>
        <w:rPr>
          <w:rFonts w:asciiTheme="majorBidi" w:hAnsiTheme="majorBidi" w:cstheme="majorBidi"/>
          <w:sz w:val="21"/>
          <w:szCs w:val="21"/>
          <w:rt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7F4C68" w:rsidRPr="007F4C68" w14:paraId="08077899" w14:textId="77777777" w:rsidTr="00A65A6F">
        <w:trPr>
          <w:cantSplit/>
        </w:trPr>
        <w:tc>
          <w:tcPr>
            <w:tcW w:w="5000" w:type="pct"/>
          </w:tcPr>
          <w:tbl>
            <w:tblPr>
              <w:tblStyle w:val="CDMRange1"/>
              <w:tblW w:w="10348" w:type="dxa"/>
              <w:tblLook w:val="0600" w:firstRow="0" w:lastRow="0" w:firstColumn="0" w:lastColumn="0" w:noHBand="1" w:noVBand="1"/>
              <w:tblCaption w:val="Print_Area"/>
            </w:tblPr>
            <w:tblGrid>
              <w:gridCol w:w="471"/>
              <w:gridCol w:w="3434"/>
              <w:gridCol w:w="1000"/>
              <w:gridCol w:w="155"/>
              <w:gridCol w:w="1000"/>
              <w:gridCol w:w="155"/>
              <w:gridCol w:w="1000"/>
              <w:gridCol w:w="155"/>
              <w:gridCol w:w="1000"/>
              <w:gridCol w:w="155"/>
              <w:gridCol w:w="1397"/>
            </w:tblGrid>
            <w:tr w:rsidR="007F4C68" w:rsidRPr="007F4C68" w14:paraId="39075BF5" w14:textId="77777777" w:rsidTr="00A65A6F">
              <w:trPr>
                <w:cantSplit/>
                <w:trHeight w:val="300"/>
              </w:trPr>
              <w:tc>
                <w:tcPr>
                  <w:tcW w:w="483" w:type="dxa"/>
                  <w:tcBorders>
                    <w:top w:val="nil"/>
                    <w:left w:val="nil"/>
                    <w:bottom w:val="nil"/>
                    <w:right w:val="nil"/>
                    <w:tl2br w:val="nil"/>
                    <w:tr2bl w:val="nil"/>
                  </w:tcBorders>
                  <w:shd w:val="clear" w:color="auto" w:fill="auto"/>
                  <w:noWrap/>
                  <w:tcMar>
                    <w:left w:w="0" w:type="dxa"/>
                    <w:right w:w="0" w:type="dxa"/>
                  </w:tcMar>
                  <w:vAlign w:val="bottom"/>
                </w:tcPr>
                <w:p w14:paraId="0AB338A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0" w:type="dxa"/>
                  <w:tcBorders>
                    <w:top w:val="nil"/>
                    <w:left w:val="nil"/>
                    <w:bottom w:val="nil"/>
                    <w:right w:val="nil"/>
                    <w:tl2br w:val="nil"/>
                    <w:tr2bl w:val="nil"/>
                  </w:tcBorders>
                  <w:shd w:val="clear" w:color="auto" w:fill="auto"/>
                  <w:noWrap/>
                  <w:tcMar>
                    <w:left w:w="0" w:type="dxa"/>
                    <w:right w:w="0" w:type="dxa"/>
                  </w:tcMar>
                  <w:vAlign w:val="bottom"/>
                </w:tcPr>
                <w:p w14:paraId="18917BCC"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41" w:type="dxa"/>
                  <w:tcBorders>
                    <w:top w:val="nil"/>
                    <w:left w:val="nil"/>
                    <w:bottom w:val="nil"/>
                    <w:right w:val="nil"/>
                    <w:tl2br w:val="nil"/>
                    <w:tr2bl w:val="nil"/>
                  </w:tcBorders>
                  <w:shd w:val="clear" w:color="auto" w:fill="auto"/>
                  <w:tcMar>
                    <w:left w:w="0" w:type="dxa"/>
                    <w:right w:w="0" w:type="dxa"/>
                  </w:tcMar>
                  <w:vAlign w:val="bottom"/>
                </w:tcPr>
                <w:p w14:paraId="2046F0C4" w14:textId="77777777" w:rsidR="007F4C68" w:rsidRPr="007F4C68" w:rsidRDefault="007F4C68" w:rsidP="00A65A6F">
                  <w:pPr>
                    <w:keepNext/>
                    <w:spacing w:before="0" w:after="0"/>
                    <w:jc w:val="center"/>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tcMar>
                    <w:left w:w="0" w:type="dxa"/>
                    <w:right w:w="0" w:type="dxa"/>
                  </w:tcMar>
                  <w:vAlign w:val="bottom"/>
                </w:tcPr>
                <w:p w14:paraId="5C8F56C2" w14:textId="77777777" w:rsidR="007F4C68" w:rsidRPr="007F4C68" w:rsidRDefault="007F4C68" w:rsidP="00A65A6F">
                  <w:pPr>
                    <w:keepNext/>
                    <w:spacing w:before="0" w:after="0"/>
                    <w:jc w:val="center"/>
                    <w:rPr>
                      <w:rFonts w:asciiTheme="majorBidi" w:eastAsia="Ploni ML Medium AAA Medium" w:hAnsiTheme="majorBidi" w:cstheme="majorBidi"/>
                      <w:color w:val="000000"/>
                    </w:rPr>
                  </w:pPr>
                </w:p>
              </w:tc>
              <w:tc>
                <w:tcPr>
                  <w:tcW w:w="1041" w:type="dxa"/>
                  <w:tcBorders>
                    <w:top w:val="nil"/>
                    <w:left w:val="nil"/>
                    <w:bottom w:val="nil"/>
                    <w:right w:val="nil"/>
                    <w:tl2br w:val="nil"/>
                    <w:tr2bl w:val="nil"/>
                  </w:tcBorders>
                  <w:shd w:val="clear" w:color="auto" w:fill="auto"/>
                  <w:tcMar>
                    <w:left w:w="0" w:type="dxa"/>
                    <w:right w:w="0" w:type="dxa"/>
                  </w:tcMar>
                  <w:vAlign w:val="bottom"/>
                </w:tcPr>
                <w:p w14:paraId="02003C3A" w14:textId="77777777" w:rsidR="007F4C68" w:rsidRPr="007F4C68" w:rsidRDefault="007F4C68" w:rsidP="00A65A6F">
                  <w:pPr>
                    <w:keepNext/>
                    <w:spacing w:before="0" w:after="0"/>
                    <w:jc w:val="center"/>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5E133830"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1041" w:type="dxa"/>
                  <w:tcBorders>
                    <w:top w:val="nil"/>
                    <w:left w:val="nil"/>
                    <w:bottom w:val="nil"/>
                    <w:right w:val="nil"/>
                    <w:tl2br w:val="nil"/>
                    <w:tr2bl w:val="nil"/>
                  </w:tcBorders>
                  <w:shd w:val="clear" w:color="auto" w:fill="auto"/>
                  <w:tcMar>
                    <w:left w:w="0" w:type="dxa"/>
                    <w:right w:w="0" w:type="dxa"/>
                  </w:tcMar>
                  <w:vAlign w:val="bottom"/>
                </w:tcPr>
                <w:p w14:paraId="225F6F58" w14:textId="77777777" w:rsidR="007F4C68" w:rsidRPr="007F4C68" w:rsidRDefault="007F4C68" w:rsidP="00A65A6F">
                  <w:pPr>
                    <w:keepNext/>
                    <w:spacing w:before="0" w:after="0"/>
                    <w:jc w:val="center"/>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tcMar>
                    <w:left w:w="0" w:type="dxa"/>
                    <w:right w:w="0" w:type="dxa"/>
                  </w:tcMar>
                  <w:vAlign w:val="bottom"/>
                </w:tcPr>
                <w:p w14:paraId="423F4EA6" w14:textId="77777777" w:rsidR="007F4C68" w:rsidRPr="007F4C68" w:rsidRDefault="007F4C68" w:rsidP="00A65A6F">
                  <w:pPr>
                    <w:keepNext/>
                    <w:spacing w:before="0" w:after="0"/>
                    <w:jc w:val="center"/>
                    <w:rPr>
                      <w:rFonts w:asciiTheme="majorBidi" w:eastAsia="Ploni ML Medium AAA Medium" w:hAnsiTheme="majorBidi" w:cstheme="majorBidi"/>
                      <w:color w:val="000000"/>
                    </w:rPr>
                  </w:pPr>
                </w:p>
              </w:tc>
              <w:tc>
                <w:tcPr>
                  <w:tcW w:w="1041" w:type="dxa"/>
                  <w:tcBorders>
                    <w:top w:val="nil"/>
                    <w:left w:val="nil"/>
                    <w:bottom w:val="nil"/>
                    <w:right w:val="nil"/>
                    <w:tl2br w:val="nil"/>
                    <w:tr2bl w:val="nil"/>
                  </w:tcBorders>
                  <w:shd w:val="clear" w:color="auto" w:fill="auto"/>
                  <w:tcMar>
                    <w:left w:w="0" w:type="dxa"/>
                    <w:right w:w="0" w:type="dxa"/>
                  </w:tcMar>
                  <w:vAlign w:val="bottom"/>
                </w:tcPr>
                <w:p w14:paraId="11B8FB51" w14:textId="77777777" w:rsidR="007F4C68" w:rsidRPr="007F4C68" w:rsidRDefault="007F4C68" w:rsidP="00A65A6F">
                  <w:pPr>
                    <w:keepNext/>
                    <w:spacing w:before="0" w:after="0"/>
                    <w:jc w:val="center"/>
                    <w:rPr>
                      <w:rFonts w:asciiTheme="majorBidi" w:eastAsia="Ploni ML Medium AAA Medium" w:hAnsiTheme="majorBidi" w:cstheme="majorBidi"/>
                      <w:color w:val="000000"/>
                    </w:rPr>
                  </w:pPr>
                </w:p>
              </w:tc>
              <w:tc>
                <w:tcPr>
                  <w:tcW w:w="141" w:type="dxa"/>
                  <w:tcBorders>
                    <w:top w:val="nil"/>
                    <w:left w:val="nil"/>
                    <w:bottom w:val="nil"/>
                    <w:right w:val="nil"/>
                    <w:tl2br w:val="nil"/>
                    <w:tr2bl w:val="nil"/>
                  </w:tcBorders>
                  <w:shd w:val="clear" w:color="auto" w:fill="auto"/>
                  <w:tcMar>
                    <w:left w:w="0" w:type="dxa"/>
                    <w:right w:w="0" w:type="dxa"/>
                  </w:tcMar>
                  <w:vAlign w:val="bottom"/>
                </w:tcPr>
                <w:p w14:paraId="008E1112" w14:textId="77777777" w:rsidR="007F4C68" w:rsidRPr="007F4C68" w:rsidRDefault="007F4C68" w:rsidP="00A65A6F">
                  <w:pPr>
                    <w:keepNext/>
                    <w:spacing w:before="0" w:after="0"/>
                    <w:jc w:val="center"/>
                    <w:rPr>
                      <w:rFonts w:asciiTheme="majorBidi" w:eastAsia="Ploni ML Medium AAA Medium" w:hAnsiTheme="majorBidi" w:cstheme="majorBidi"/>
                      <w:color w:val="000000"/>
                    </w:rPr>
                  </w:pPr>
                </w:p>
              </w:tc>
              <w:tc>
                <w:tcPr>
                  <w:tcW w:w="1467" w:type="dxa"/>
                  <w:vMerge w:val="restart"/>
                  <w:tcBorders>
                    <w:top w:val="nil"/>
                    <w:left w:val="nil"/>
                    <w:bottom w:val="nil"/>
                    <w:right w:val="nil"/>
                    <w:tl2br w:val="nil"/>
                    <w:tr2bl w:val="nil"/>
                  </w:tcBorders>
                  <w:shd w:val="clear" w:color="auto" w:fill="auto"/>
                  <w:tcMar>
                    <w:left w:w="43" w:type="dxa"/>
                    <w:right w:w="43" w:type="dxa"/>
                  </w:tcMar>
                  <w:vAlign w:val="bottom"/>
                </w:tcPr>
                <w:p w14:paraId="65318D51"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Year ended December 31</w:t>
                  </w:r>
                </w:p>
              </w:tc>
            </w:tr>
            <w:tr w:rsidR="007F4C68" w:rsidRPr="007F4C68" w14:paraId="61BC2F8D"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83" w:type="dxa"/>
                  <w:tcBorders>
                    <w:top w:val="nil"/>
                    <w:left w:val="nil"/>
                    <w:bottom w:val="nil"/>
                    <w:right w:val="nil"/>
                    <w:tl2br w:val="nil"/>
                    <w:tr2bl w:val="nil"/>
                  </w:tcBorders>
                  <w:shd w:val="clear" w:color="auto" w:fill="auto"/>
                  <w:noWrap/>
                  <w:tcMar>
                    <w:left w:w="0" w:type="dxa"/>
                    <w:right w:w="0" w:type="dxa"/>
                  </w:tcMar>
                  <w:vAlign w:val="bottom"/>
                </w:tcPr>
                <w:p w14:paraId="6A5F8AC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0" w:type="dxa"/>
                  <w:tcBorders>
                    <w:top w:val="nil"/>
                    <w:left w:val="nil"/>
                    <w:bottom w:val="nil"/>
                    <w:right w:val="nil"/>
                    <w:tl2br w:val="nil"/>
                    <w:tr2bl w:val="nil"/>
                  </w:tcBorders>
                  <w:shd w:val="clear" w:color="auto" w:fill="auto"/>
                  <w:noWrap/>
                  <w:tcMar>
                    <w:left w:w="0" w:type="dxa"/>
                    <w:right w:w="0" w:type="dxa"/>
                  </w:tcMar>
                  <w:vAlign w:val="bottom"/>
                </w:tcPr>
                <w:p w14:paraId="6E5C377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223"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62C94A30"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 xml:space="preserve">Six months ended </w:t>
                  </w:r>
                </w:p>
                <w:p w14:paraId="5F3011D7"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June 30</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52294F5A"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2223"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15D61F44"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 xml:space="preserve">Three months ended </w:t>
                  </w:r>
                </w:p>
                <w:p w14:paraId="527A38F0"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June 30</w:t>
                  </w:r>
                </w:p>
              </w:tc>
              <w:tc>
                <w:tcPr>
                  <w:tcW w:w="141" w:type="dxa"/>
                  <w:tcBorders>
                    <w:top w:val="nil"/>
                    <w:left w:val="nil"/>
                    <w:bottom w:val="nil"/>
                    <w:right w:val="nil"/>
                    <w:tl2br w:val="nil"/>
                    <w:tr2bl w:val="nil"/>
                  </w:tcBorders>
                  <w:shd w:val="clear" w:color="auto" w:fill="auto"/>
                  <w:tcMar>
                    <w:left w:w="0" w:type="dxa"/>
                    <w:right w:w="0" w:type="dxa"/>
                  </w:tcMar>
                  <w:vAlign w:val="bottom"/>
                </w:tcPr>
                <w:p w14:paraId="35E722BC" w14:textId="77777777" w:rsidR="007F4C68" w:rsidRPr="007F4C68" w:rsidRDefault="007F4C68" w:rsidP="00A65A6F">
                  <w:pPr>
                    <w:keepNext/>
                    <w:spacing w:before="0" w:after="0"/>
                    <w:jc w:val="center"/>
                    <w:rPr>
                      <w:rFonts w:asciiTheme="majorBidi" w:eastAsia="Ploni ML Medium AAA Medium" w:hAnsiTheme="majorBidi" w:cstheme="majorBidi"/>
                      <w:color w:val="000000"/>
                    </w:rPr>
                  </w:pPr>
                </w:p>
              </w:tc>
              <w:tc>
                <w:tcPr>
                  <w:tcW w:w="1467" w:type="dxa"/>
                  <w:vMerge/>
                  <w:tcBorders>
                    <w:top w:val="nil"/>
                    <w:left w:val="nil"/>
                    <w:bottom w:val="nil"/>
                    <w:right w:val="nil"/>
                    <w:tl2br w:val="nil"/>
                    <w:tr2bl w:val="nil"/>
                  </w:tcBorders>
                  <w:shd w:val="clear" w:color="auto" w:fill="auto"/>
                  <w:tcMar>
                    <w:left w:w="0" w:type="dxa"/>
                    <w:right w:w="0" w:type="dxa"/>
                  </w:tcMar>
                  <w:vAlign w:val="bottom"/>
                </w:tcPr>
                <w:p w14:paraId="7F2C4E13"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r>
            <w:tr w:rsidR="007F4C68" w:rsidRPr="007F4C68" w14:paraId="77BD7C6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83" w:type="dxa"/>
                  <w:tcBorders>
                    <w:top w:val="nil"/>
                    <w:left w:val="nil"/>
                    <w:bottom w:val="nil"/>
                    <w:right w:val="nil"/>
                    <w:tl2br w:val="nil"/>
                    <w:tr2bl w:val="nil"/>
                  </w:tcBorders>
                  <w:shd w:val="clear" w:color="auto" w:fill="auto"/>
                  <w:noWrap/>
                  <w:tcMar>
                    <w:left w:w="0" w:type="dxa"/>
                    <w:right w:w="0" w:type="dxa"/>
                  </w:tcMar>
                  <w:vAlign w:val="bottom"/>
                </w:tcPr>
                <w:p w14:paraId="0B792FC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0" w:type="dxa"/>
                  <w:tcBorders>
                    <w:top w:val="nil"/>
                    <w:left w:val="nil"/>
                    <w:bottom w:val="nil"/>
                    <w:right w:val="nil"/>
                    <w:tl2br w:val="nil"/>
                    <w:tr2bl w:val="nil"/>
                  </w:tcBorders>
                  <w:shd w:val="clear" w:color="auto" w:fill="auto"/>
                  <w:noWrap/>
                  <w:tcMar>
                    <w:left w:w="0" w:type="dxa"/>
                    <w:right w:w="0" w:type="dxa"/>
                  </w:tcMar>
                  <w:vAlign w:val="bottom"/>
                </w:tcPr>
                <w:p w14:paraId="432AD34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41"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5CF88A3C"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2024</w:t>
                  </w:r>
                </w:p>
              </w:tc>
              <w:tc>
                <w:tcPr>
                  <w:tcW w:w="141" w:type="dxa"/>
                  <w:tcBorders>
                    <w:top w:val="single" w:sz="4" w:space="0" w:color="000000"/>
                    <w:left w:val="nil"/>
                    <w:bottom w:val="nil"/>
                    <w:right w:val="nil"/>
                    <w:tl2br w:val="nil"/>
                    <w:tr2bl w:val="nil"/>
                  </w:tcBorders>
                  <w:shd w:val="clear" w:color="auto" w:fill="auto"/>
                  <w:tcMar>
                    <w:left w:w="0" w:type="dxa"/>
                    <w:right w:w="0" w:type="dxa"/>
                  </w:tcMar>
                  <w:vAlign w:val="bottom"/>
                </w:tcPr>
                <w:p w14:paraId="45DBFD28"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041"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238BCDCF"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456355B7"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1041"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0EDC2D51"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2024</w:t>
                  </w:r>
                </w:p>
              </w:tc>
              <w:tc>
                <w:tcPr>
                  <w:tcW w:w="141" w:type="dxa"/>
                  <w:tcBorders>
                    <w:top w:val="single" w:sz="4" w:space="0" w:color="000000"/>
                    <w:left w:val="nil"/>
                    <w:bottom w:val="nil"/>
                    <w:right w:val="nil"/>
                    <w:tl2br w:val="nil"/>
                    <w:tr2bl w:val="nil"/>
                  </w:tcBorders>
                  <w:shd w:val="clear" w:color="auto" w:fill="auto"/>
                  <w:tcMar>
                    <w:left w:w="0" w:type="dxa"/>
                    <w:right w:w="0" w:type="dxa"/>
                  </w:tcMar>
                  <w:vAlign w:val="bottom"/>
                </w:tcPr>
                <w:p w14:paraId="2FC33C1E"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041"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6FE60D82"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c>
                <w:tcPr>
                  <w:tcW w:w="141" w:type="dxa"/>
                  <w:tcBorders>
                    <w:top w:val="nil"/>
                    <w:left w:val="nil"/>
                    <w:bottom w:val="nil"/>
                    <w:right w:val="nil"/>
                    <w:tl2br w:val="nil"/>
                    <w:tr2bl w:val="nil"/>
                  </w:tcBorders>
                  <w:shd w:val="clear" w:color="auto" w:fill="auto"/>
                  <w:tcMar>
                    <w:left w:w="0" w:type="dxa"/>
                    <w:right w:w="0" w:type="dxa"/>
                  </w:tcMar>
                  <w:vAlign w:val="bottom"/>
                </w:tcPr>
                <w:p w14:paraId="67A1206C"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467" w:type="dxa"/>
                  <w:tcBorders>
                    <w:top w:val="nil"/>
                    <w:left w:val="nil"/>
                    <w:bottom w:val="single" w:sz="4" w:space="0" w:color="000000"/>
                    <w:right w:val="nil"/>
                    <w:tl2br w:val="nil"/>
                    <w:tr2bl w:val="nil"/>
                  </w:tcBorders>
                  <w:shd w:val="clear" w:color="auto" w:fill="auto"/>
                  <w:tcMar>
                    <w:left w:w="43" w:type="dxa"/>
                    <w:right w:w="43" w:type="dxa"/>
                  </w:tcMar>
                  <w:vAlign w:val="bottom"/>
                </w:tcPr>
                <w:p w14:paraId="2B65B42A"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2023</w:t>
                  </w:r>
                </w:p>
              </w:tc>
            </w:tr>
            <w:tr w:rsidR="007F4C68" w:rsidRPr="007F4C68" w14:paraId="3E5D217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83" w:type="dxa"/>
                  <w:tcBorders>
                    <w:top w:val="nil"/>
                    <w:left w:val="nil"/>
                    <w:bottom w:val="nil"/>
                    <w:right w:val="nil"/>
                    <w:tl2br w:val="nil"/>
                    <w:tr2bl w:val="nil"/>
                  </w:tcBorders>
                  <w:shd w:val="clear" w:color="auto" w:fill="auto"/>
                  <w:noWrap/>
                  <w:tcMar>
                    <w:left w:w="0" w:type="dxa"/>
                    <w:right w:w="0" w:type="dxa"/>
                  </w:tcMar>
                  <w:vAlign w:val="bottom"/>
                </w:tcPr>
                <w:p w14:paraId="3B5B8B9C"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0" w:type="dxa"/>
                  <w:tcBorders>
                    <w:top w:val="nil"/>
                    <w:left w:val="nil"/>
                    <w:bottom w:val="nil"/>
                    <w:right w:val="nil"/>
                    <w:tl2br w:val="nil"/>
                    <w:tr2bl w:val="nil"/>
                  </w:tcBorders>
                  <w:shd w:val="clear" w:color="auto" w:fill="auto"/>
                  <w:noWrap/>
                  <w:tcMar>
                    <w:left w:w="0" w:type="dxa"/>
                    <w:right w:w="0" w:type="dxa"/>
                  </w:tcMar>
                  <w:vAlign w:val="bottom"/>
                </w:tcPr>
                <w:p w14:paraId="4207BF0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223"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3E395EB1"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Unaudited</w:t>
                  </w: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39F287A4"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p>
              </w:tc>
              <w:tc>
                <w:tcPr>
                  <w:tcW w:w="2223"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284A622A"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Unaudited</w:t>
                  </w:r>
                </w:p>
              </w:tc>
              <w:tc>
                <w:tcPr>
                  <w:tcW w:w="141" w:type="dxa"/>
                  <w:tcBorders>
                    <w:top w:val="nil"/>
                    <w:left w:val="nil"/>
                    <w:bottom w:val="nil"/>
                    <w:right w:val="nil"/>
                    <w:tl2br w:val="nil"/>
                    <w:tr2bl w:val="nil"/>
                  </w:tcBorders>
                  <w:shd w:val="clear" w:color="auto" w:fill="auto"/>
                  <w:tcMar>
                    <w:left w:w="0" w:type="dxa"/>
                    <w:right w:w="0" w:type="dxa"/>
                  </w:tcMar>
                  <w:vAlign w:val="bottom"/>
                </w:tcPr>
                <w:p w14:paraId="48A4B8F4" w14:textId="77777777" w:rsidR="007F4C68" w:rsidRPr="007F4C68" w:rsidRDefault="007F4C68" w:rsidP="00A65A6F">
                  <w:pPr>
                    <w:keepNext/>
                    <w:spacing w:before="0" w:after="0"/>
                    <w:jc w:val="left"/>
                    <w:rPr>
                      <w:rFonts w:asciiTheme="majorBidi" w:eastAsia="Ploni ML Medium AAA Medium" w:hAnsiTheme="majorBidi" w:cstheme="majorBidi"/>
                      <w:b/>
                      <w:color w:val="000000"/>
                    </w:rPr>
                  </w:pPr>
                </w:p>
              </w:tc>
              <w:tc>
                <w:tcPr>
                  <w:tcW w:w="1467"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72583E5B"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Audited</w:t>
                  </w:r>
                </w:p>
              </w:tc>
            </w:tr>
            <w:tr w:rsidR="007F4C68" w:rsidRPr="007F4C68" w14:paraId="69D1C53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83" w:type="dxa"/>
                  <w:tcBorders>
                    <w:top w:val="nil"/>
                    <w:left w:val="nil"/>
                    <w:bottom w:val="nil"/>
                    <w:right w:val="nil"/>
                    <w:tl2br w:val="nil"/>
                    <w:tr2bl w:val="nil"/>
                  </w:tcBorders>
                  <w:shd w:val="clear" w:color="auto" w:fill="auto"/>
                  <w:noWrap/>
                  <w:tcMar>
                    <w:left w:w="0" w:type="dxa"/>
                    <w:right w:w="0" w:type="dxa"/>
                  </w:tcMar>
                  <w:vAlign w:val="bottom"/>
                </w:tcPr>
                <w:p w14:paraId="15D9CE8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0" w:type="dxa"/>
                  <w:tcBorders>
                    <w:top w:val="nil"/>
                    <w:left w:val="nil"/>
                    <w:bottom w:val="nil"/>
                    <w:right w:val="nil"/>
                    <w:tl2br w:val="nil"/>
                    <w:tr2bl w:val="nil"/>
                  </w:tcBorders>
                  <w:shd w:val="clear" w:color="auto" w:fill="auto"/>
                  <w:noWrap/>
                  <w:tcMar>
                    <w:left w:w="0" w:type="dxa"/>
                    <w:right w:w="0" w:type="dxa"/>
                  </w:tcMar>
                  <w:vAlign w:val="bottom"/>
                </w:tcPr>
                <w:p w14:paraId="5FD544B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6195" w:type="dxa"/>
                  <w:gridSpan w:val="9"/>
                  <w:tcBorders>
                    <w:top w:val="nil"/>
                    <w:left w:val="nil"/>
                    <w:bottom w:val="single" w:sz="4" w:space="0" w:color="000000"/>
                    <w:right w:val="nil"/>
                    <w:tl2br w:val="nil"/>
                    <w:tr2bl w:val="nil"/>
                  </w:tcBorders>
                  <w:shd w:val="clear" w:color="auto" w:fill="auto"/>
                  <w:tcMar>
                    <w:left w:w="43" w:type="dxa"/>
                    <w:right w:w="43" w:type="dxa"/>
                  </w:tcMar>
                  <w:vAlign w:val="bottom"/>
                </w:tcPr>
                <w:p w14:paraId="13BA36B7"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NIS million</w:t>
                  </w:r>
                </w:p>
              </w:tc>
            </w:tr>
            <w:tr w:rsidR="007F4C68" w:rsidRPr="007F4C68" w14:paraId="259F86B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3" w:type="dxa"/>
                  <w:gridSpan w:val="2"/>
                  <w:tcBorders>
                    <w:top w:val="nil"/>
                    <w:left w:val="nil"/>
                    <w:bottom w:val="nil"/>
                    <w:right w:val="nil"/>
                    <w:tl2br w:val="nil"/>
                    <w:tr2bl w:val="nil"/>
                  </w:tcBorders>
                  <w:shd w:val="clear" w:color="auto" w:fill="auto"/>
                  <w:tcMar>
                    <w:left w:w="43" w:type="dxa"/>
                    <w:right w:w="43" w:type="dxa"/>
                  </w:tcMar>
                  <w:vAlign w:val="bottom"/>
                </w:tcPr>
                <w:p w14:paraId="2F88052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r w:rsidRPr="007F4C68">
                    <w:rPr>
                      <w:rFonts w:asciiTheme="majorBidi" w:hAnsiTheme="majorBidi" w:cstheme="majorBidi"/>
                      <w:color w:val="000000"/>
                      <w:sz w:val="21"/>
                      <w:u w:val="single"/>
                    </w:rPr>
                    <w:t>Significant non-cash activities of the Company:</w:t>
                  </w:r>
                </w:p>
              </w:tc>
              <w:tc>
                <w:tcPr>
                  <w:tcW w:w="1041" w:type="dxa"/>
                  <w:tcBorders>
                    <w:top w:val="single" w:sz="4" w:space="0" w:color="000000"/>
                    <w:left w:val="nil"/>
                    <w:bottom w:val="nil"/>
                    <w:right w:val="nil"/>
                    <w:tl2br w:val="nil"/>
                    <w:tr2bl w:val="nil"/>
                  </w:tcBorders>
                  <w:shd w:val="clear" w:color="auto" w:fill="auto"/>
                  <w:tcMar>
                    <w:left w:w="0" w:type="dxa"/>
                    <w:right w:w="135" w:type="dxa"/>
                  </w:tcMar>
                  <w:vAlign w:val="bottom"/>
                </w:tcPr>
                <w:p w14:paraId="1039B2A2"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41"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086BD0F"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41"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C0F9183"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single" w:sz="4" w:space="0" w:color="000000"/>
                    <w:left w:val="nil"/>
                    <w:bottom w:val="nil"/>
                    <w:right w:val="nil"/>
                    <w:tl2br w:val="nil"/>
                    <w:tr2bl w:val="nil"/>
                  </w:tcBorders>
                  <w:shd w:val="clear" w:color="auto" w:fill="auto"/>
                  <w:tcMar>
                    <w:left w:w="0" w:type="dxa"/>
                    <w:right w:w="135" w:type="dxa"/>
                  </w:tcMar>
                  <w:vAlign w:val="bottom"/>
                </w:tcPr>
                <w:p w14:paraId="1C4E16C0"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041" w:type="dxa"/>
                  <w:tcBorders>
                    <w:top w:val="single" w:sz="4" w:space="0" w:color="000000"/>
                    <w:left w:val="nil"/>
                    <w:bottom w:val="nil"/>
                    <w:right w:val="nil"/>
                    <w:tl2br w:val="nil"/>
                    <w:tr2bl w:val="nil"/>
                  </w:tcBorders>
                  <w:shd w:val="clear" w:color="auto" w:fill="auto"/>
                  <w:tcMar>
                    <w:left w:w="0" w:type="dxa"/>
                    <w:right w:w="135" w:type="dxa"/>
                  </w:tcMar>
                  <w:vAlign w:val="bottom"/>
                </w:tcPr>
                <w:p w14:paraId="7ACB7427"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u w:val="single"/>
                    </w:rPr>
                  </w:pPr>
                </w:p>
              </w:tc>
              <w:tc>
                <w:tcPr>
                  <w:tcW w:w="141"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A33E30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41"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39A05F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26E3E74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67"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02CE6D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r>
            <w:tr w:rsidR="007F4C68" w:rsidRPr="007F4C68" w14:paraId="26750782"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3" w:type="dxa"/>
                  <w:gridSpan w:val="2"/>
                  <w:tcBorders>
                    <w:top w:val="nil"/>
                    <w:left w:val="nil"/>
                    <w:bottom w:val="nil"/>
                    <w:right w:val="nil"/>
                    <w:tl2br w:val="nil"/>
                    <w:tr2bl w:val="nil"/>
                  </w:tcBorders>
                  <w:shd w:val="clear" w:color="auto" w:fill="auto"/>
                  <w:tcMar>
                    <w:left w:w="43" w:type="dxa"/>
                    <w:right w:w="43" w:type="dxa"/>
                  </w:tcMar>
                  <w:vAlign w:val="bottom"/>
                </w:tcPr>
                <w:p w14:paraId="7400DDF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Dividend received from a subsidiary against repayment of loans from a subsidiary </w:t>
                  </w:r>
                </w:p>
                <w:p w14:paraId="604F6C3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041"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61F7A25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467</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741BE96D"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1"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6DD6E42B"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7FC4346"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1"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53ADC5C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467</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C89F621"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1"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63B433B7"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1330EA9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67" w:type="dxa"/>
                  <w:tcBorders>
                    <w:top w:val="nil"/>
                    <w:left w:val="nil"/>
                    <w:bottom w:val="double" w:sz="6" w:space="0" w:color="000000"/>
                    <w:right w:val="nil"/>
                    <w:tl2br w:val="nil"/>
                    <w:tr2bl w:val="nil"/>
                  </w:tcBorders>
                  <w:shd w:val="clear" w:color="auto" w:fill="auto"/>
                  <w:noWrap/>
                  <w:tcMar>
                    <w:left w:w="43" w:type="dxa"/>
                    <w:right w:w="178" w:type="dxa"/>
                  </w:tcMar>
                  <w:vAlign w:val="bottom"/>
                </w:tcPr>
                <w:p w14:paraId="56A581E5"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1,169</w:t>
                  </w:r>
                </w:p>
              </w:tc>
            </w:tr>
            <w:tr w:rsidR="007F4C68" w:rsidRPr="007F4C68" w14:paraId="4FE16731"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153" w:type="dxa"/>
                  <w:gridSpan w:val="2"/>
                  <w:tcBorders>
                    <w:top w:val="nil"/>
                    <w:left w:val="nil"/>
                    <w:bottom w:val="nil"/>
                    <w:right w:val="nil"/>
                    <w:tl2br w:val="nil"/>
                    <w:tr2bl w:val="nil"/>
                  </w:tcBorders>
                  <w:shd w:val="clear" w:color="auto" w:fill="auto"/>
                  <w:tcMar>
                    <w:left w:w="43" w:type="dxa"/>
                    <w:right w:w="43" w:type="dxa"/>
                  </w:tcMar>
                  <w:vAlign w:val="bottom"/>
                </w:tcPr>
                <w:p w14:paraId="72ADCD7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Acquisition of hybrid shares of a subsidiary in return for the issue of shares</w:t>
                  </w:r>
                </w:p>
              </w:tc>
              <w:tc>
                <w:tcPr>
                  <w:tcW w:w="1041" w:type="dxa"/>
                  <w:tcBorders>
                    <w:top w:val="double" w:sz="6" w:space="0" w:color="000000"/>
                    <w:left w:val="nil"/>
                    <w:bottom w:val="double" w:sz="6" w:space="0" w:color="000000"/>
                    <w:right w:val="nil"/>
                    <w:tl2br w:val="nil"/>
                    <w:tr2bl w:val="nil"/>
                  </w:tcBorders>
                  <w:shd w:val="clear" w:color="auto" w:fill="auto"/>
                  <w:noWrap/>
                  <w:tcMar>
                    <w:left w:w="43" w:type="dxa"/>
                    <w:right w:w="178" w:type="dxa"/>
                  </w:tcMar>
                  <w:vAlign w:val="bottom"/>
                </w:tcPr>
                <w:p w14:paraId="10B0DDE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6C3E727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1" w:type="dxa"/>
                  <w:tcBorders>
                    <w:top w:val="double" w:sz="6" w:space="0" w:color="000000"/>
                    <w:left w:val="nil"/>
                    <w:bottom w:val="double" w:sz="6" w:space="0" w:color="000000"/>
                    <w:right w:val="nil"/>
                    <w:tl2br w:val="nil"/>
                    <w:tr2bl w:val="nil"/>
                  </w:tcBorders>
                  <w:shd w:val="clear" w:color="auto" w:fill="auto"/>
                  <w:noWrap/>
                  <w:tcMar>
                    <w:left w:w="43" w:type="dxa"/>
                    <w:right w:w="178" w:type="dxa"/>
                  </w:tcMar>
                  <w:vAlign w:val="bottom"/>
                </w:tcPr>
                <w:p w14:paraId="32BAF163"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8CB43F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1" w:type="dxa"/>
                  <w:tcBorders>
                    <w:top w:val="double" w:sz="6" w:space="0" w:color="000000"/>
                    <w:left w:val="nil"/>
                    <w:bottom w:val="double" w:sz="6" w:space="0" w:color="000000"/>
                    <w:right w:val="nil"/>
                    <w:tl2br w:val="nil"/>
                    <w:tr2bl w:val="nil"/>
                  </w:tcBorders>
                  <w:shd w:val="clear" w:color="auto" w:fill="auto"/>
                  <w:noWrap/>
                  <w:tcMar>
                    <w:left w:w="43" w:type="dxa"/>
                    <w:right w:w="178" w:type="dxa"/>
                  </w:tcMar>
                  <w:vAlign w:val="bottom"/>
                </w:tcPr>
                <w:p w14:paraId="38FC701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4765161F"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041" w:type="dxa"/>
                  <w:tcBorders>
                    <w:top w:val="double" w:sz="6" w:space="0" w:color="000000"/>
                    <w:left w:val="nil"/>
                    <w:bottom w:val="double" w:sz="6" w:space="0" w:color="000000"/>
                    <w:right w:val="nil"/>
                    <w:tl2br w:val="nil"/>
                    <w:tr2bl w:val="nil"/>
                  </w:tcBorders>
                  <w:shd w:val="clear" w:color="auto" w:fill="auto"/>
                  <w:noWrap/>
                  <w:tcMar>
                    <w:left w:w="43" w:type="dxa"/>
                    <w:right w:w="178" w:type="dxa"/>
                  </w:tcMar>
                  <w:vAlign w:val="bottom"/>
                </w:tcPr>
                <w:p w14:paraId="0C0E6F18"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w:t>
                  </w:r>
                </w:p>
              </w:tc>
              <w:tc>
                <w:tcPr>
                  <w:tcW w:w="141" w:type="dxa"/>
                  <w:tcBorders>
                    <w:top w:val="nil"/>
                    <w:left w:val="nil"/>
                    <w:bottom w:val="nil"/>
                    <w:right w:val="nil"/>
                    <w:tl2br w:val="nil"/>
                    <w:tr2bl w:val="nil"/>
                  </w:tcBorders>
                  <w:shd w:val="clear" w:color="auto" w:fill="auto"/>
                  <w:noWrap/>
                  <w:tcMar>
                    <w:left w:w="0" w:type="dxa"/>
                    <w:right w:w="135" w:type="dxa"/>
                  </w:tcMar>
                  <w:vAlign w:val="bottom"/>
                </w:tcPr>
                <w:p w14:paraId="20C8984E"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p>
              </w:tc>
              <w:tc>
                <w:tcPr>
                  <w:tcW w:w="1467" w:type="dxa"/>
                  <w:tcBorders>
                    <w:top w:val="double" w:sz="6" w:space="0" w:color="000000"/>
                    <w:left w:val="nil"/>
                    <w:bottom w:val="double" w:sz="6" w:space="0" w:color="000000"/>
                    <w:right w:val="nil"/>
                    <w:tl2br w:val="nil"/>
                    <w:tr2bl w:val="nil"/>
                  </w:tcBorders>
                  <w:shd w:val="clear" w:color="auto" w:fill="auto"/>
                  <w:noWrap/>
                  <w:tcMar>
                    <w:left w:w="43" w:type="dxa"/>
                    <w:right w:w="178" w:type="dxa"/>
                  </w:tcMar>
                  <w:vAlign w:val="bottom"/>
                </w:tcPr>
                <w:p w14:paraId="4A879EBC" w14:textId="77777777" w:rsidR="007F4C68" w:rsidRPr="007F4C68" w:rsidRDefault="007F4C68" w:rsidP="00A65A6F">
                  <w:pPr>
                    <w:keepNext/>
                    <w:spacing w:before="0" w:after="0"/>
                    <w:jc w:val="right"/>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91</w:t>
                  </w:r>
                </w:p>
              </w:tc>
            </w:tr>
            <w:tr w:rsidR="007F4C68" w:rsidRPr="007F4C68" w14:paraId="66C74399"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83" w:type="dxa"/>
                  <w:tcBorders>
                    <w:top w:val="nil"/>
                    <w:left w:val="nil"/>
                    <w:bottom w:val="nil"/>
                    <w:right w:val="nil"/>
                    <w:tl2br w:val="nil"/>
                    <w:tr2bl w:val="nil"/>
                  </w:tcBorders>
                  <w:shd w:val="clear" w:color="auto" w:fill="auto"/>
                  <w:noWrap/>
                  <w:tcMar>
                    <w:left w:w="0" w:type="dxa"/>
                    <w:right w:w="0" w:type="dxa"/>
                  </w:tcMar>
                  <w:vAlign w:val="bottom"/>
                </w:tcPr>
                <w:p w14:paraId="154094ED"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3670" w:type="dxa"/>
                  <w:tcBorders>
                    <w:top w:val="nil"/>
                    <w:left w:val="nil"/>
                    <w:bottom w:val="nil"/>
                    <w:right w:val="nil"/>
                    <w:tl2br w:val="nil"/>
                    <w:tr2bl w:val="nil"/>
                  </w:tcBorders>
                  <w:shd w:val="clear" w:color="auto" w:fill="auto"/>
                  <w:noWrap/>
                  <w:tcMar>
                    <w:left w:w="0" w:type="dxa"/>
                    <w:right w:w="0" w:type="dxa"/>
                  </w:tcMar>
                  <w:vAlign w:val="bottom"/>
                </w:tcPr>
                <w:p w14:paraId="699DFE9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41"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D3C02E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324825E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41"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4E385A9"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778B5D56"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41"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888AE3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6E91600E"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41"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A1EE9A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1" w:type="dxa"/>
                  <w:tcBorders>
                    <w:top w:val="nil"/>
                    <w:left w:val="nil"/>
                    <w:bottom w:val="nil"/>
                    <w:right w:val="nil"/>
                    <w:tl2br w:val="nil"/>
                    <w:tr2bl w:val="nil"/>
                  </w:tcBorders>
                  <w:shd w:val="clear" w:color="auto" w:fill="auto"/>
                  <w:noWrap/>
                  <w:tcMar>
                    <w:left w:w="0" w:type="dxa"/>
                    <w:right w:w="0" w:type="dxa"/>
                  </w:tcMar>
                  <w:vAlign w:val="bottom"/>
                </w:tcPr>
                <w:p w14:paraId="6EF598B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467"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EF13691"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r>
            <w:tr w:rsidR="007F4C68" w:rsidRPr="007F4C68" w14:paraId="13B8F997"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11"/>
              </w:trPr>
              <w:tc>
                <w:tcPr>
                  <w:tcW w:w="10348" w:type="dxa"/>
                  <w:gridSpan w:val="11"/>
                  <w:tcBorders>
                    <w:top w:val="nil"/>
                    <w:left w:val="nil"/>
                    <w:bottom w:val="nil"/>
                    <w:right w:val="nil"/>
                    <w:tl2br w:val="nil"/>
                    <w:tr2bl w:val="nil"/>
                  </w:tcBorders>
                  <w:shd w:val="clear" w:color="auto" w:fill="auto"/>
                  <w:noWrap/>
                  <w:tcMar>
                    <w:left w:w="43" w:type="dxa"/>
                    <w:right w:w="43" w:type="dxa"/>
                  </w:tcMar>
                  <w:vAlign w:val="bottom"/>
                </w:tcPr>
                <w:p w14:paraId="05792624" w14:textId="77777777" w:rsidR="007F4C68" w:rsidRPr="007F4C68" w:rsidRDefault="007F4C68" w:rsidP="00A65A6F">
                  <w:pPr>
                    <w:keepNext/>
                    <w:spacing w:before="0" w:after="0"/>
                    <w:jc w:val="left"/>
                    <w:rPr>
                      <w:rFonts w:asciiTheme="majorBidi" w:eastAsia="Ploni ML Medium AAA Medium" w:hAnsiTheme="majorBidi" w:cstheme="majorBidi"/>
                      <w:color w:val="000000"/>
                    </w:rPr>
                  </w:pPr>
                  <w:r w:rsidRPr="007F4C68">
                    <w:rPr>
                      <w:rFonts w:asciiTheme="majorBidi" w:hAnsiTheme="majorBidi" w:cstheme="majorBidi"/>
                      <w:color w:val="000000"/>
                    </w:rPr>
                    <w:t>The accompanying additional information is an integral part of the financial information and of the separate financial information.</w:t>
                  </w:r>
                </w:p>
              </w:tc>
            </w:tr>
          </w:tbl>
          <w:p w14:paraId="3A4BC669" w14:textId="77777777" w:rsidR="007F4C68" w:rsidRPr="007F4C68" w:rsidRDefault="007F4C68" w:rsidP="00A65A6F">
            <w:pPr>
              <w:rPr>
                <w:rFonts w:asciiTheme="majorBidi" w:hAnsiTheme="majorBidi" w:cstheme="majorBidi"/>
              </w:rPr>
            </w:pPr>
          </w:p>
        </w:tc>
      </w:tr>
    </w:tbl>
    <w:p w14:paraId="21AA3FE1" w14:textId="77777777" w:rsidR="007F4C68" w:rsidRPr="007F4C68" w:rsidRDefault="007F4C68" w:rsidP="007F4C68">
      <w:pPr>
        <w:contextualSpacing/>
        <w:rPr>
          <w:rFonts w:asciiTheme="majorBidi" w:hAnsiTheme="majorBidi" w:cstheme="majorBidi"/>
          <w:vanish/>
          <w:sz w:val="21"/>
          <w:szCs w:val="21"/>
        </w:rPr>
        <w:sectPr w:rsidR="007F4C68" w:rsidRPr="007F4C68" w:rsidSect="007F4C68">
          <w:headerReference w:type="even" r:id="rId89"/>
          <w:headerReference w:type="default" r:id="rId90"/>
          <w:footerReference w:type="even" r:id="rId91"/>
          <w:footerReference w:type="default" r:id="rId92"/>
          <w:headerReference w:type="first" r:id="rId93"/>
          <w:footerReference w:type="first" r:id="rId94"/>
          <w:footnotePr>
            <w:numRestart w:val="eachPage"/>
          </w:footnotePr>
          <w:type w:val="continuous"/>
          <w:pgSz w:w="11906" w:h="16838"/>
          <w:pgMar w:top="1418" w:right="992" w:bottom="1134" w:left="992" w:header="567" w:footer="567" w:gutter="0"/>
          <w:pgBorders>
            <w:top w:val="nil"/>
            <w:left w:val="nil"/>
            <w:bottom w:val="nil"/>
            <w:right w:val="nil"/>
          </w:pgBorders>
          <w:cols w:space="720"/>
          <w:rtlGutter/>
          <w:docGrid w:linePitch="360"/>
        </w:sectPr>
      </w:pPr>
    </w:p>
    <w:p w14:paraId="1B615A5B" w14:textId="77777777" w:rsidR="007F4C68" w:rsidRPr="007F4C68" w:rsidRDefault="007F4C68" w:rsidP="007F4C68">
      <w:pPr>
        <w:keepNext/>
        <w:pageBreakBefore/>
        <w:tabs>
          <w:tab w:val="left" w:pos="425"/>
          <w:tab w:val="left" w:pos="567"/>
          <w:tab w:val="left" w:pos="1134"/>
        </w:tabs>
        <w:contextualSpacing/>
        <w:outlineLvl w:val="2"/>
        <w:rPr>
          <w:rFonts w:asciiTheme="majorBidi" w:hAnsiTheme="majorBidi" w:cstheme="majorBidi"/>
          <w:sz w:val="21"/>
          <w:szCs w:val="21"/>
        </w:rPr>
      </w:pPr>
      <w:bookmarkStart w:id="193" w:name="RG_MARKER_56598"/>
      <w:bookmarkStart w:id="194" w:name="RG_MARKER_56690"/>
      <w:bookmarkStart w:id="195" w:name="H4_כללי"/>
      <w:bookmarkEnd w:id="193"/>
      <w:bookmarkEnd w:id="194"/>
      <w:r w:rsidRPr="007F4C68">
        <w:rPr>
          <w:rFonts w:asciiTheme="majorBidi" w:hAnsiTheme="majorBidi" w:cstheme="majorBidi"/>
          <w:sz w:val="21"/>
        </w:rPr>
        <w:lastRenderedPageBreak/>
        <w:t>A.</w:t>
      </w:r>
      <w:r w:rsidRPr="007F4C68">
        <w:rPr>
          <w:rFonts w:asciiTheme="majorBidi" w:hAnsiTheme="majorBidi" w:cstheme="majorBidi"/>
          <w:sz w:val="21"/>
        </w:rPr>
        <w:tab/>
        <w:t>General</w:t>
      </w:r>
    </w:p>
    <w:bookmarkEnd w:id="195"/>
    <w:p w14:paraId="00D410B5" w14:textId="77777777" w:rsidR="007F4C68" w:rsidRPr="007F4C68" w:rsidRDefault="007F4C68" w:rsidP="007F4C68">
      <w:pPr>
        <w:pStyle w:val="ListParagraph"/>
        <w:keepLines/>
        <w:numPr>
          <w:ilvl w:val="1"/>
          <w:numId w:val="65"/>
        </w:numPr>
        <w:tabs>
          <w:tab w:val="clear" w:pos="1134"/>
          <w:tab w:val="left" w:pos="425"/>
        </w:tabs>
        <w:spacing w:before="60" w:after="60" w:line="276" w:lineRule="auto"/>
        <w:ind w:left="426" w:hanging="426"/>
        <w:rPr>
          <w:rFonts w:asciiTheme="majorBidi" w:hAnsiTheme="majorBidi" w:cstheme="majorBidi"/>
          <w:sz w:val="21"/>
          <w:szCs w:val="21"/>
        </w:rPr>
      </w:pPr>
      <w:r w:rsidRPr="007F4C68">
        <w:rPr>
          <w:rFonts w:asciiTheme="majorBidi" w:hAnsiTheme="majorBidi" w:cstheme="majorBidi"/>
          <w:sz w:val="21"/>
        </w:rPr>
        <w:t>This separate financial information was drafted in a condensed format as at June 30, 2024 and for the three months then ended, pursuant to the provisions of article 38D of the Securities Regulations (Periodic and Immediate Reports), 1970. This separate financial information should be reviewed in conjunction with the financial information regarding the annual financial statements as at December 31, 2023, and for the year then ended and their accompanying notes, as approved by the Company's board of directors on March 28, 2024, and in conjunction with the condensed interim consolidated financial statements as at June 30, 2024.</w:t>
      </w:r>
    </w:p>
    <w:p w14:paraId="62919358" w14:textId="082773D1" w:rsidR="007F4C68" w:rsidRPr="007F4C68" w:rsidRDefault="007F4C68" w:rsidP="007F4C68">
      <w:pPr>
        <w:pStyle w:val="ListParagraph"/>
        <w:keepLines/>
        <w:numPr>
          <w:ilvl w:val="1"/>
          <w:numId w:val="65"/>
        </w:numPr>
        <w:tabs>
          <w:tab w:val="clear" w:pos="1134"/>
          <w:tab w:val="left" w:pos="425"/>
        </w:tabs>
        <w:spacing w:before="60" w:after="60" w:line="276" w:lineRule="auto"/>
        <w:ind w:left="426" w:hanging="426"/>
        <w:rPr>
          <w:rFonts w:asciiTheme="majorBidi" w:hAnsiTheme="majorBidi" w:cstheme="majorBidi"/>
          <w:sz w:val="21"/>
          <w:szCs w:val="21"/>
        </w:rPr>
      </w:pPr>
      <w:r w:rsidRPr="007F4C68">
        <w:rPr>
          <w:rFonts w:asciiTheme="majorBidi" w:hAnsiTheme="majorBidi" w:cstheme="majorBidi"/>
          <w:sz w:val="21"/>
        </w:rPr>
        <w:t xml:space="preserve">As at </w:t>
      </w:r>
      <w:r w:rsidR="006C4351">
        <w:rPr>
          <w:rFonts w:asciiTheme="majorBidi" w:hAnsiTheme="majorBidi" w:cstheme="majorBidi"/>
          <w:sz w:val="21"/>
        </w:rPr>
        <w:t>June</w:t>
      </w:r>
      <w:r w:rsidRPr="007F4C68">
        <w:rPr>
          <w:rFonts w:asciiTheme="majorBidi" w:hAnsiTheme="majorBidi" w:cstheme="majorBidi"/>
          <w:sz w:val="21"/>
        </w:rPr>
        <w:t xml:space="preserve"> </w:t>
      </w:r>
      <w:r w:rsidR="006C4351">
        <w:rPr>
          <w:rFonts w:asciiTheme="majorBidi" w:hAnsiTheme="majorBidi" w:cstheme="majorBidi"/>
          <w:sz w:val="21"/>
        </w:rPr>
        <w:t>30</w:t>
      </w:r>
      <w:r w:rsidRPr="007F4C68">
        <w:rPr>
          <w:rFonts w:asciiTheme="majorBidi" w:hAnsiTheme="majorBidi" w:cstheme="majorBidi"/>
          <w:sz w:val="21"/>
        </w:rPr>
        <w:t>, 2024, (the “Reporting Date</w:t>
      </w:r>
      <w:r w:rsidR="007C54D4" w:rsidRPr="007F4C68">
        <w:rPr>
          <w:rFonts w:asciiTheme="majorBidi" w:hAnsiTheme="majorBidi" w:cstheme="majorBidi"/>
          <w:sz w:val="21"/>
        </w:rPr>
        <w:t>”) the</w:t>
      </w:r>
      <w:r w:rsidRPr="007F4C68">
        <w:rPr>
          <w:rFonts w:asciiTheme="majorBidi" w:hAnsiTheme="majorBidi" w:cstheme="majorBidi"/>
          <w:sz w:val="21"/>
        </w:rPr>
        <w:t xml:space="preserve"> Company had working capital deficit in the amount of NIS 2.2 billion. The Company and its wholly-owned subsidiaries have unutilized approved credit facilities amounting to NIS 0.6 billion available for immediate withdrawal and held-for-sale properties in the Company’s wholly-owned subsidiaries in an amount of NIS 1.3 billion. The Company’s management believe that the foregoing sources, with the addition of the proceeds from the issue of debentures executed subsequent to the reporting date in an amount of NIS 0.8 billion, as set out in Note </w:t>
      </w:r>
      <w:r w:rsidR="006C4351">
        <w:rPr>
          <w:rFonts w:asciiTheme="majorBidi" w:hAnsiTheme="majorBidi" w:cstheme="majorBidi"/>
          <w:sz w:val="21"/>
        </w:rPr>
        <w:t>D1</w:t>
      </w:r>
      <w:r w:rsidRPr="007F4C68">
        <w:rPr>
          <w:rFonts w:asciiTheme="majorBidi" w:hAnsiTheme="majorBidi" w:cstheme="majorBidi"/>
          <w:sz w:val="21"/>
        </w:rPr>
        <w:t xml:space="preserve"> below, and the positive cash flows from the ongoing operations of the Company and its wholly-owned subsidiaries will allow the Company to meet its short term repayment liabilities.</w:t>
      </w:r>
    </w:p>
    <w:p w14:paraId="05CE7B87" w14:textId="77777777" w:rsidR="007F4C68" w:rsidRPr="007F4C68" w:rsidRDefault="007F4C68" w:rsidP="007F4C68">
      <w:pPr>
        <w:pStyle w:val="ListParagraph"/>
        <w:keepLines/>
        <w:numPr>
          <w:ilvl w:val="1"/>
          <w:numId w:val="65"/>
        </w:numPr>
        <w:tabs>
          <w:tab w:val="clear" w:pos="1134"/>
          <w:tab w:val="left" w:pos="425"/>
        </w:tabs>
        <w:spacing w:before="60" w:after="60" w:line="276" w:lineRule="auto"/>
        <w:ind w:left="426" w:hanging="426"/>
        <w:rPr>
          <w:rFonts w:asciiTheme="majorBidi" w:hAnsiTheme="majorBidi" w:cstheme="majorBidi"/>
          <w:sz w:val="21"/>
          <w:szCs w:val="21"/>
        </w:rPr>
      </w:pPr>
      <w:r w:rsidRPr="007F4C68">
        <w:rPr>
          <w:rFonts w:asciiTheme="majorBidi" w:hAnsiTheme="majorBidi" w:cstheme="majorBidi"/>
          <w:sz w:val="21"/>
        </w:rPr>
        <w:t>For further information concerning the effects of the Swords of Iron war on the Company's operations see Note 1D to the consolidated financial statements.</w:t>
      </w:r>
    </w:p>
    <w:p w14:paraId="5D659FD7" w14:textId="77777777" w:rsidR="007F4C68" w:rsidRPr="007F4C68" w:rsidRDefault="007F4C68" w:rsidP="007F4C68">
      <w:pPr>
        <w:pStyle w:val="ListParagraph"/>
        <w:keepLines/>
        <w:tabs>
          <w:tab w:val="left" w:pos="425"/>
        </w:tabs>
        <w:ind w:left="0"/>
        <w:rPr>
          <w:rFonts w:asciiTheme="majorBidi" w:hAnsiTheme="majorBidi" w:cstheme="majorBidi"/>
          <w:vanish/>
          <w:sz w:val="21"/>
          <w:szCs w:val="21"/>
        </w:rPr>
      </w:pPr>
    </w:p>
    <w:p w14:paraId="1EB1E4FB" w14:textId="77777777" w:rsidR="007F4C68" w:rsidRPr="007F4C68" w:rsidRDefault="007F4C68" w:rsidP="007F4C68">
      <w:pPr>
        <w:rPr>
          <w:rFonts w:asciiTheme="majorBidi" w:hAnsiTheme="majorBidi" w:cstheme="majorBidi"/>
        </w:rPr>
      </w:pPr>
    </w:p>
    <w:p w14:paraId="29AA3DE9" w14:textId="77777777" w:rsidR="007F4C68" w:rsidRPr="007F4C68" w:rsidRDefault="007F4C68" w:rsidP="007F4C68">
      <w:pPr>
        <w:keepNext/>
        <w:tabs>
          <w:tab w:val="left" w:pos="425"/>
          <w:tab w:val="left" w:pos="567"/>
        </w:tabs>
        <w:contextualSpacing/>
        <w:outlineLvl w:val="3"/>
        <w:rPr>
          <w:rFonts w:asciiTheme="majorBidi" w:hAnsiTheme="majorBidi" w:cstheme="majorBidi"/>
          <w:sz w:val="21"/>
          <w:szCs w:val="21"/>
        </w:rPr>
      </w:pPr>
      <w:bookmarkStart w:id="196" w:name="RG_MARKER_56689"/>
      <w:bookmarkStart w:id="197" w:name="H4_אירועים_מהותיים_בתקופת_הדיווח"/>
      <w:bookmarkEnd w:id="196"/>
      <w:r w:rsidRPr="007F4C68">
        <w:rPr>
          <w:rFonts w:asciiTheme="majorBidi" w:hAnsiTheme="majorBidi" w:cstheme="majorBidi"/>
          <w:sz w:val="21"/>
        </w:rPr>
        <w:t>B.</w:t>
      </w:r>
      <w:r w:rsidRPr="007F4C68">
        <w:rPr>
          <w:rFonts w:asciiTheme="majorBidi" w:hAnsiTheme="majorBidi" w:cstheme="majorBidi"/>
          <w:sz w:val="21"/>
        </w:rPr>
        <w:tab/>
        <w:t>Significant events during the Reporting Period</w:t>
      </w:r>
    </w:p>
    <w:bookmarkEnd w:id="197"/>
    <w:p w14:paraId="0315ED7D" w14:textId="0E3A6D5C" w:rsidR="007F4C68" w:rsidRPr="007F4C68" w:rsidRDefault="007F4C68" w:rsidP="007F4C68">
      <w:pPr>
        <w:pStyle w:val="ListParagraph"/>
        <w:keepLines/>
        <w:numPr>
          <w:ilvl w:val="1"/>
          <w:numId w:val="66"/>
        </w:numPr>
        <w:tabs>
          <w:tab w:val="left" w:pos="425"/>
        </w:tabs>
        <w:spacing w:before="60" w:after="60" w:line="276" w:lineRule="auto"/>
        <w:ind w:left="426" w:hanging="426"/>
        <w:rPr>
          <w:rFonts w:asciiTheme="majorBidi" w:hAnsiTheme="majorBidi" w:cstheme="majorBidi"/>
          <w:sz w:val="21"/>
          <w:szCs w:val="21"/>
        </w:rPr>
      </w:pPr>
      <w:r w:rsidRPr="007F4C68">
        <w:rPr>
          <w:rFonts w:asciiTheme="majorBidi" w:hAnsiTheme="majorBidi" w:cstheme="majorBidi"/>
          <w:sz w:val="21"/>
        </w:rPr>
        <w:t xml:space="preserve">In February 2024 the Company issued to the public NIS 410 million par value Debentures (Series R), for a net consideration of NIS 404 million at an effective interest rate of 5.18%. Debentures (Series R) are secured by a fixed first degree lien on all of the Company’s holdings in GHI Alpha Portfolio LLC (“G Alpha”), which are held by the Company through Gazit Horizons Inc., a wholly-owned subsidiary of the Company (indirect) and related rights, as well as a single lien on the bank account established and held by G Alpha. Furthermore, G Alpha provided a guarantee for the Company’s liabilities under the deed of trust of Debentures (Series R). G Alpha is the owner of six income producing properties in the United States, which at the present time are valued at USD 280 million.  For further information, see Note </w:t>
      </w:r>
      <w:r w:rsidR="006C4351">
        <w:rPr>
          <w:rFonts w:asciiTheme="majorBidi" w:hAnsiTheme="majorBidi" w:cstheme="majorBidi"/>
          <w:sz w:val="21"/>
        </w:rPr>
        <w:t>3A1</w:t>
      </w:r>
      <w:r w:rsidRPr="007F4C68">
        <w:rPr>
          <w:rFonts w:asciiTheme="majorBidi" w:hAnsiTheme="majorBidi" w:cstheme="majorBidi"/>
          <w:sz w:val="21"/>
        </w:rPr>
        <w:t xml:space="preserve"> to the consolidated financial statements.</w:t>
      </w:r>
    </w:p>
    <w:p w14:paraId="7B447FB7" w14:textId="77777777" w:rsidR="007F4C68" w:rsidRPr="007F4C68" w:rsidRDefault="007F4C68" w:rsidP="007F4C68">
      <w:pPr>
        <w:pStyle w:val="ListParagraph"/>
        <w:numPr>
          <w:ilvl w:val="1"/>
          <w:numId w:val="66"/>
        </w:numPr>
        <w:tabs>
          <w:tab w:val="num" w:pos="423"/>
        </w:tabs>
        <w:spacing w:before="60" w:after="60" w:line="276" w:lineRule="auto"/>
        <w:ind w:left="426" w:hanging="426"/>
        <w:rPr>
          <w:rFonts w:asciiTheme="majorBidi" w:hAnsiTheme="majorBidi" w:cstheme="majorBidi"/>
          <w:sz w:val="21"/>
          <w:szCs w:val="21"/>
        </w:rPr>
      </w:pPr>
      <w:r w:rsidRPr="007F4C68">
        <w:rPr>
          <w:rFonts w:asciiTheme="majorBidi" w:hAnsiTheme="majorBidi" w:cstheme="majorBidi"/>
          <w:sz w:val="21"/>
        </w:rPr>
        <w:t>In the reporting period the Company bought back NIS 113.8 million par value Debentures (Series L, M, N and P), for NIS 110 million. Due to the buyback, the Company recognized an early redemption gain in the amount of NIS 16 million. The buyback debentures were canceled and delisted.</w:t>
      </w:r>
    </w:p>
    <w:p w14:paraId="0DE48F3D" w14:textId="6CC0D786" w:rsidR="007F4C68" w:rsidRPr="007F4C68" w:rsidRDefault="007F4C68" w:rsidP="007F4C68">
      <w:pPr>
        <w:pStyle w:val="ListParagraph"/>
        <w:numPr>
          <w:ilvl w:val="1"/>
          <w:numId w:val="66"/>
        </w:numPr>
        <w:tabs>
          <w:tab w:val="num" w:pos="423"/>
        </w:tabs>
        <w:spacing w:before="60" w:after="60" w:line="276" w:lineRule="auto"/>
        <w:ind w:left="426" w:hanging="426"/>
        <w:rPr>
          <w:rFonts w:asciiTheme="majorBidi" w:hAnsiTheme="majorBidi" w:cstheme="majorBidi"/>
          <w:sz w:val="21"/>
          <w:szCs w:val="21"/>
        </w:rPr>
      </w:pPr>
      <w:r w:rsidRPr="007F4C68">
        <w:rPr>
          <w:rFonts w:asciiTheme="majorBidi" w:hAnsiTheme="majorBidi" w:cstheme="majorBidi"/>
          <w:sz w:val="21"/>
        </w:rPr>
        <w:t xml:space="preserve">In February 2024, the S&amp;P </w:t>
      </w:r>
      <w:proofErr w:type="spellStart"/>
      <w:r w:rsidRPr="007F4C68">
        <w:rPr>
          <w:rFonts w:asciiTheme="majorBidi" w:hAnsiTheme="majorBidi" w:cstheme="majorBidi"/>
          <w:sz w:val="21"/>
        </w:rPr>
        <w:t>Maalot</w:t>
      </w:r>
      <w:proofErr w:type="spellEnd"/>
      <w:r w:rsidRPr="007F4C68">
        <w:rPr>
          <w:rFonts w:asciiTheme="majorBidi" w:hAnsiTheme="majorBidi" w:cstheme="majorBidi"/>
          <w:sz w:val="21"/>
        </w:rPr>
        <w:t xml:space="preserve"> rating agency set the credit rating for the Company’s Debentures (Series </w:t>
      </w:r>
      <w:r w:rsidR="00A453F4" w:rsidRPr="007F4C68">
        <w:rPr>
          <w:rFonts w:asciiTheme="majorBidi" w:hAnsiTheme="majorBidi" w:cstheme="majorBidi"/>
          <w:sz w:val="21"/>
        </w:rPr>
        <w:t>R) as</w:t>
      </w:r>
      <w:r w:rsidRPr="007F4C68">
        <w:rPr>
          <w:rFonts w:asciiTheme="majorBidi" w:hAnsiTheme="majorBidi" w:cstheme="majorBidi"/>
          <w:sz w:val="21"/>
        </w:rPr>
        <w:t xml:space="preserve"> </w:t>
      </w:r>
      <w:proofErr w:type="spellStart"/>
      <w:r w:rsidRPr="007F4C68">
        <w:rPr>
          <w:rFonts w:asciiTheme="majorBidi" w:hAnsiTheme="majorBidi" w:cstheme="majorBidi"/>
          <w:sz w:val="21"/>
        </w:rPr>
        <w:t>ilA</w:t>
      </w:r>
      <w:proofErr w:type="spellEnd"/>
      <w:r w:rsidRPr="007F4C68">
        <w:rPr>
          <w:rFonts w:asciiTheme="majorBidi" w:hAnsiTheme="majorBidi" w:cstheme="majorBidi"/>
          <w:sz w:val="21"/>
        </w:rPr>
        <w:t>, with negative outlook.</w:t>
      </w:r>
    </w:p>
    <w:p w14:paraId="1457D607" w14:textId="77777777" w:rsidR="007F4C68" w:rsidRPr="007F4C68" w:rsidRDefault="007F4C68" w:rsidP="007F4C68">
      <w:pPr>
        <w:pStyle w:val="ListParagraph"/>
        <w:numPr>
          <w:ilvl w:val="1"/>
          <w:numId w:val="66"/>
        </w:numPr>
        <w:tabs>
          <w:tab w:val="num" w:pos="423"/>
        </w:tabs>
        <w:spacing w:before="60" w:after="60" w:line="276" w:lineRule="auto"/>
        <w:ind w:left="426" w:hanging="426"/>
        <w:rPr>
          <w:rFonts w:asciiTheme="majorBidi" w:hAnsiTheme="majorBidi" w:cstheme="majorBidi"/>
          <w:sz w:val="21"/>
          <w:szCs w:val="21"/>
        </w:rPr>
      </w:pPr>
      <w:r w:rsidRPr="007F4C68">
        <w:rPr>
          <w:rFonts w:asciiTheme="majorBidi" w:hAnsiTheme="majorBidi" w:cstheme="majorBidi"/>
          <w:sz w:val="21"/>
        </w:rPr>
        <w:t xml:space="preserve">In February 2024, the </w:t>
      </w:r>
      <w:proofErr w:type="spellStart"/>
      <w:r w:rsidRPr="007F4C68">
        <w:rPr>
          <w:rFonts w:asciiTheme="majorBidi" w:hAnsiTheme="majorBidi" w:cstheme="majorBidi"/>
          <w:sz w:val="21"/>
        </w:rPr>
        <w:t>Midroog</w:t>
      </w:r>
      <w:proofErr w:type="spellEnd"/>
      <w:r w:rsidRPr="007F4C68">
        <w:rPr>
          <w:rFonts w:asciiTheme="majorBidi" w:hAnsiTheme="majorBidi" w:cstheme="majorBidi"/>
          <w:sz w:val="21"/>
        </w:rPr>
        <w:t xml:space="preserve"> rating agency set the credit rating of the Company’s Debentures (Series R) as A2.il, with negative outlook.</w:t>
      </w:r>
    </w:p>
    <w:p w14:paraId="08BA8D3C" w14:textId="08A555FE" w:rsidR="007F4C68" w:rsidRPr="007F4C68" w:rsidRDefault="007F4C68" w:rsidP="007F4C68">
      <w:pPr>
        <w:pStyle w:val="ListParagraph"/>
        <w:numPr>
          <w:ilvl w:val="1"/>
          <w:numId w:val="66"/>
        </w:numPr>
        <w:tabs>
          <w:tab w:val="num" w:pos="423"/>
        </w:tabs>
        <w:spacing w:before="60" w:after="60" w:line="276" w:lineRule="auto"/>
        <w:ind w:left="426" w:hanging="426"/>
        <w:rPr>
          <w:rFonts w:asciiTheme="majorBidi" w:hAnsiTheme="majorBidi" w:cstheme="majorBidi"/>
          <w:sz w:val="21"/>
          <w:szCs w:val="21"/>
        </w:rPr>
      </w:pPr>
      <w:r w:rsidRPr="007F4C68">
        <w:rPr>
          <w:rFonts w:asciiTheme="majorBidi" w:hAnsiTheme="majorBidi" w:cstheme="majorBidi"/>
          <w:sz w:val="21"/>
        </w:rPr>
        <w:t xml:space="preserve">In March 2024, the S&amp;P </w:t>
      </w:r>
      <w:proofErr w:type="spellStart"/>
      <w:r w:rsidRPr="007F4C68">
        <w:rPr>
          <w:rFonts w:asciiTheme="majorBidi" w:hAnsiTheme="majorBidi" w:cstheme="majorBidi"/>
          <w:sz w:val="21"/>
        </w:rPr>
        <w:t>Maalot</w:t>
      </w:r>
      <w:proofErr w:type="spellEnd"/>
      <w:r w:rsidRPr="007F4C68">
        <w:rPr>
          <w:rFonts w:asciiTheme="majorBidi" w:hAnsiTheme="majorBidi" w:cstheme="majorBidi"/>
          <w:sz w:val="21"/>
        </w:rPr>
        <w:t xml:space="preserve"> rating agency set the credit rating for the Company’s Debentures (Series </w:t>
      </w:r>
      <w:r w:rsidR="00A453F4" w:rsidRPr="007F4C68">
        <w:rPr>
          <w:rFonts w:asciiTheme="majorBidi" w:hAnsiTheme="majorBidi" w:cstheme="majorBidi"/>
          <w:sz w:val="21"/>
        </w:rPr>
        <w:t>S) as</w:t>
      </w:r>
      <w:r w:rsidRPr="007F4C68">
        <w:rPr>
          <w:rFonts w:asciiTheme="majorBidi" w:hAnsiTheme="majorBidi" w:cstheme="majorBidi"/>
          <w:sz w:val="21"/>
        </w:rPr>
        <w:t xml:space="preserve"> </w:t>
      </w:r>
      <w:proofErr w:type="spellStart"/>
      <w:r w:rsidRPr="007F4C68">
        <w:rPr>
          <w:rFonts w:asciiTheme="majorBidi" w:hAnsiTheme="majorBidi" w:cstheme="majorBidi"/>
          <w:sz w:val="21"/>
        </w:rPr>
        <w:t>ilA</w:t>
      </w:r>
      <w:proofErr w:type="spellEnd"/>
      <w:r w:rsidR="006B45F7">
        <w:rPr>
          <w:rFonts w:asciiTheme="majorBidi" w:hAnsiTheme="majorBidi" w:cstheme="majorBidi"/>
          <w:sz w:val="21"/>
        </w:rPr>
        <w:t>-</w:t>
      </w:r>
      <w:r w:rsidRPr="007F4C68">
        <w:rPr>
          <w:rFonts w:asciiTheme="majorBidi" w:hAnsiTheme="majorBidi" w:cstheme="majorBidi"/>
          <w:sz w:val="21"/>
        </w:rPr>
        <w:t>, with negative outlook.</w:t>
      </w:r>
    </w:p>
    <w:p w14:paraId="77C8DD3B" w14:textId="77777777" w:rsidR="007F4C68" w:rsidRPr="007F4C68" w:rsidRDefault="007F4C68" w:rsidP="007F4C68">
      <w:pPr>
        <w:pStyle w:val="ListParagraph"/>
        <w:numPr>
          <w:ilvl w:val="1"/>
          <w:numId w:val="66"/>
        </w:numPr>
        <w:tabs>
          <w:tab w:val="num" w:pos="423"/>
        </w:tabs>
        <w:spacing w:before="60" w:after="60" w:line="276" w:lineRule="auto"/>
        <w:ind w:left="426" w:hanging="426"/>
        <w:rPr>
          <w:rFonts w:asciiTheme="majorBidi" w:hAnsiTheme="majorBidi" w:cstheme="majorBidi"/>
          <w:sz w:val="21"/>
          <w:szCs w:val="21"/>
        </w:rPr>
      </w:pPr>
      <w:r w:rsidRPr="007F4C68">
        <w:rPr>
          <w:rFonts w:asciiTheme="majorBidi" w:hAnsiTheme="majorBidi" w:cstheme="majorBidi"/>
          <w:sz w:val="21"/>
        </w:rPr>
        <w:t xml:space="preserve">In March 2024, the </w:t>
      </w:r>
      <w:proofErr w:type="spellStart"/>
      <w:r w:rsidRPr="007F4C68">
        <w:rPr>
          <w:rFonts w:asciiTheme="majorBidi" w:hAnsiTheme="majorBidi" w:cstheme="majorBidi"/>
          <w:sz w:val="21"/>
        </w:rPr>
        <w:t>Midroog</w:t>
      </w:r>
      <w:proofErr w:type="spellEnd"/>
      <w:r w:rsidRPr="007F4C68">
        <w:rPr>
          <w:rFonts w:asciiTheme="majorBidi" w:hAnsiTheme="majorBidi" w:cstheme="majorBidi"/>
          <w:sz w:val="21"/>
        </w:rPr>
        <w:t xml:space="preserve"> rating agency set the credit rating of the Company’s Debentures (Series S) as A3.il, with negative outlook.</w:t>
      </w:r>
    </w:p>
    <w:p w14:paraId="6FDC279A" w14:textId="77777777" w:rsidR="007F4C68" w:rsidRPr="007F4C68" w:rsidRDefault="007F4C68" w:rsidP="007F4C68">
      <w:pPr>
        <w:pStyle w:val="ListParagraph"/>
        <w:numPr>
          <w:ilvl w:val="1"/>
          <w:numId w:val="66"/>
        </w:numPr>
        <w:tabs>
          <w:tab w:val="num" w:pos="423"/>
        </w:tabs>
        <w:spacing w:before="60" w:after="60" w:line="276" w:lineRule="auto"/>
        <w:ind w:left="426" w:hanging="426"/>
        <w:rPr>
          <w:rFonts w:asciiTheme="majorBidi" w:hAnsiTheme="majorBidi" w:cstheme="majorBidi"/>
          <w:sz w:val="21"/>
          <w:szCs w:val="21"/>
        </w:rPr>
      </w:pPr>
      <w:r w:rsidRPr="007F4C68">
        <w:rPr>
          <w:rFonts w:asciiTheme="majorBidi" w:hAnsiTheme="majorBidi" w:cstheme="majorBidi"/>
          <w:sz w:val="21"/>
        </w:rPr>
        <w:t xml:space="preserve">In April 2024 the Company issued to the public NIS 495.2 million par value debentures (Series S), secured by a second degree lien on real estate, for net proceeds of NIS 489 million and at effective interest of 4.39%. </w:t>
      </w:r>
    </w:p>
    <w:p w14:paraId="6BE832DB" w14:textId="5A38F641" w:rsidR="007F4C68" w:rsidRPr="007F4C68" w:rsidRDefault="007F4C68" w:rsidP="007F4C68">
      <w:pPr>
        <w:pStyle w:val="ListParagraph"/>
        <w:ind w:left="426"/>
        <w:rPr>
          <w:rFonts w:asciiTheme="majorBidi" w:hAnsiTheme="majorBidi" w:cstheme="majorBidi"/>
          <w:sz w:val="21"/>
          <w:szCs w:val="21"/>
        </w:rPr>
      </w:pPr>
      <w:r w:rsidRPr="007F4C68">
        <w:rPr>
          <w:rFonts w:asciiTheme="majorBidi" w:hAnsiTheme="majorBidi" w:cstheme="majorBidi"/>
          <w:sz w:val="21"/>
        </w:rPr>
        <w:t xml:space="preserve">Furthermore, the Company undertook to refrain from creating a floating lien (negative pledge) on all of its assets and all of its rights, existing and future, in favor of any third party to secure any debt, unless the debenture holders are granted a floating lien of the same degree’ </w:t>
      </w:r>
      <w:proofErr w:type="spellStart"/>
      <w:r w:rsidRPr="007F4C68">
        <w:rPr>
          <w:rFonts w:asciiTheme="majorBidi" w:hAnsiTheme="majorBidi" w:cstheme="majorBidi"/>
          <w:sz w:val="21"/>
        </w:rPr>
        <w:t>pari</w:t>
      </w:r>
      <w:proofErr w:type="spellEnd"/>
      <w:r w:rsidRPr="007F4C68">
        <w:rPr>
          <w:rFonts w:asciiTheme="majorBidi" w:hAnsiTheme="majorBidi" w:cstheme="majorBidi"/>
          <w:sz w:val="21"/>
        </w:rPr>
        <w:t xml:space="preserve"> passu. For further information, see Note </w:t>
      </w:r>
      <w:r w:rsidR="006C4351">
        <w:rPr>
          <w:rFonts w:asciiTheme="majorBidi" w:hAnsiTheme="majorBidi" w:cstheme="majorBidi"/>
          <w:sz w:val="21"/>
        </w:rPr>
        <w:t>3A7</w:t>
      </w:r>
      <w:r w:rsidRPr="007F4C68">
        <w:rPr>
          <w:rFonts w:asciiTheme="majorBidi" w:hAnsiTheme="majorBidi" w:cstheme="majorBidi"/>
          <w:sz w:val="21"/>
        </w:rPr>
        <w:t xml:space="preserve"> to the consolidated financial statements. </w:t>
      </w:r>
    </w:p>
    <w:p w14:paraId="45F3FBC3" w14:textId="77777777" w:rsidR="007F4C68" w:rsidRPr="007F4C68" w:rsidRDefault="007F4C68" w:rsidP="007F4C68">
      <w:pPr>
        <w:keepNext/>
        <w:pageBreakBefore/>
        <w:pBdr>
          <w:top w:val="nil"/>
          <w:left w:val="nil"/>
          <w:bottom w:val="nil"/>
          <w:right w:val="nil"/>
          <w:between w:val="nil"/>
          <w:bar w:val="nil"/>
        </w:pBdr>
        <w:tabs>
          <w:tab w:val="left" w:pos="425"/>
          <w:tab w:val="left" w:pos="567"/>
        </w:tabs>
        <w:contextualSpacing/>
        <w:outlineLvl w:val="3"/>
        <w:rPr>
          <w:rFonts w:asciiTheme="majorBidi" w:eastAsia="Calibri" w:hAnsiTheme="majorBidi" w:cstheme="majorBidi"/>
          <w:sz w:val="21"/>
          <w:szCs w:val="21"/>
        </w:rPr>
      </w:pPr>
      <w:r w:rsidRPr="007F4C68">
        <w:rPr>
          <w:rFonts w:asciiTheme="majorBidi" w:hAnsiTheme="majorBidi" w:cstheme="majorBidi"/>
          <w:sz w:val="21"/>
        </w:rPr>
        <w:lastRenderedPageBreak/>
        <w:t>B.</w:t>
      </w:r>
      <w:r w:rsidRPr="007F4C68">
        <w:rPr>
          <w:rFonts w:asciiTheme="majorBidi" w:hAnsiTheme="majorBidi" w:cstheme="majorBidi"/>
          <w:sz w:val="21"/>
        </w:rPr>
        <w:tab/>
        <w:t>Significant events during and subsequent to the reporting period (cont.)</w:t>
      </w:r>
    </w:p>
    <w:p w14:paraId="3C0E3996" w14:textId="77777777" w:rsidR="007F4C68" w:rsidRPr="007F4C68" w:rsidRDefault="007F4C68" w:rsidP="007F4C68">
      <w:pPr>
        <w:pStyle w:val="ListParagraph"/>
        <w:numPr>
          <w:ilvl w:val="1"/>
          <w:numId w:val="66"/>
        </w:numPr>
        <w:tabs>
          <w:tab w:val="num" w:pos="423"/>
        </w:tabs>
        <w:spacing w:before="60" w:after="60" w:line="276" w:lineRule="auto"/>
        <w:ind w:left="426" w:hanging="430"/>
        <w:rPr>
          <w:rFonts w:asciiTheme="majorBidi" w:hAnsiTheme="majorBidi" w:cstheme="majorBidi"/>
          <w:sz w:val="21"/>
          <w:szCs w:val="21"/>
        </w:rPr>
      </w:pPr>
      <w:r w:rsidRPr="007F4C68">
        <w:rPr>
          <w:rFonts w:asciiTheme="majorBidi" w:hAnsiTheme="majorBidi" w:cstheme="majorBidi"/>
          <w:sz w:val="21"/>
        </w:rPr>
        <w:t xml:space="preserve">In May 2024, the Company issued to the public, by means of expansion of a marketable series, NIS 350.2 million par value Debentures (Series P) secured by a fixed lien on G Europe shares held by wholly-owned subsidiaries of the Company, for a gross amount of NIS 336 million at effective interest of 5.8% (linked to the CPI). As G Europe has been delisted from trading, in the reporting period the Company acted together with the trustee for the debentures to convert G Europe shares to certificate shares (instead of book entry shares issued through Euroclear) and to register a new lien on G Europe shares as certificate shares by releasing encumbered surplus shares (pursuant to the provisions of the deed of trust) and as at reporting date there are 146 million G Europe shares pledged in favor of holders of Debentures (Series P). </w:t>
      </w:r>
    </w:p>
    <w:p w14:paraId="08C40FDB" w14:textId="77777777" w:rsidR="007F4C68" w:rsidRPr="007F4C68" w:rsidRDefault="007F4C68" w:rsidP="007F4C68">
      <w:pPr>
        <w:pStyle w:val="ListParagraph"/>
        <w:numPr>
          <w:ilvl w:val="1"/>
          <w:numId w:val="66"/>
        </w:numPr>
        <w:tabs>
          <w:tab w:val="num" w:pos="423"/>
        </w:tabs>
        <w:spacing w:before="60" w:after="60" w:line="276" w:lineRule="auto"/>
        <w:ind w:left="426" w:hanging="430"/>
        <w:rPr>
          <w:rFonts w:asciiTheme="majorBidi" w:hAnsiTheme="majorBidi" w:cstheme="majorBidi"/>
          <w:sz w:val="21"/>
          <w:szCs w:val="21"/>
        </w:rPr>
      </w:pPr>
      <w:r w:rsidRPr="007F4C68">
        <w:rPr>
          <w:rFonts w:asciiTheme="majorBidi" w:hAnsiTheme="majorBidi" w:cstheme="majorBidi"/>
          <w:sz w:val="21"/>
        </w:rPr>
        <w:t xml:space="preserve">On April 30, 2024, the S&amp;P </w:t>
      </w:r>
      <w:proofErr w:type="spellStart"/>
      <w:r w:rsidRPr="007F4C68">
        <w:rPr>
          <w:rFonts w:asciiTheme="majorBidi" w:hAnsiTheme="majorBidi" w:cstheme="majorBidi"/>
          <w:sz w:val="21"/>
        </w:rPr>
        <w:t>Maalot</w:t>
      </w:r>
      <w:proofErr w:type="spellEnd"/>
      <w:r w:rsidRPr="007F4C68">
        <w:rPr>
          <w:rFonts w:asciiTheme="majorBidi" w:hAnsiTheme="majorBidi" w:cstheme="majorBidi"/>
          <w:sz w:val="21"/>
        </w:rPr>
        <w:t xml:space="preserve"> rating agency set the credit rating for the Company’s Debentures (Series P) as </w:t>
      </w:r>
      <w:proofErr w:type="spellStart"/>
      <w:r w:rsidRPr="007F4C68">
        <w:rPr>
          <w:rFonts w:asciiTheme="majorBidi" w:hAnsiTheme="majorBidi" w:cstheme="majorBidi"/>
          <w:sz w:val="21"/>
        </w:rPr>
        <w:t>ilA</w:t>
      </w:r>
      <w:proofErr w:type="spellEnd"/>
      <w:r w:rsidRPr="007F4C68">
        <w:rPr>
          <w:rFonts w:asciiTheme="majorBidi" w:hAnsiTheme="majorBidi" w:cstheme="majorBidi"/>
          <w:sz w:val="21"/>
        </w:rPr>
        <w:t>, with negative outlook.</w:t>
      </w:r>
    </w:p>
    <w:p w14:paraId="64A0E84C" w14:textId="77777777" w:rsidR="007F4C68" w:rsidRPr="007F4C68" w:rsidRDefault="007F4C68" w:rsidP="007F4C68">
      <w:pPr>
        <w:pStyle w:val="ListParagraph"/>
        <w:numPr>
          <w:ilvl w:val="1"/>
          <w:numId w:val="66"/>
        </w:numPr>
        <w:tabs>
          <w:tab w:val="num" w:pos="423"/>
        </w:tabs>
        <w:spacing w:before="60" w:after="60" w:line="276" w:lineRule="auto"/>
        <w:ind w:left="426" w:hanging="430"/>
        <w:rPr>
          <w:rFonts w:asciiTheme="majorBidi" w:hAnsiTheme="majorBidi" w:cstheme="majorBidi"/>
          <w:sz w:val="21"/>
          <w:szCs w:val="21"/>
        </w:rPr>
      </w:pPr>
      <w:r w:rsidRPr="007F4C68">
        <w:rPr>
          <w:rFonts w:asciiTheme="majorBidi" w:hAnsiTheme="majorBidi" w:cstheme="majorBidi"/>
          <w:sz w:val="21"/>
        </w:rPr>
        <w:t xml:space="preserve">On April 30, 2024, </w:t>
      </w:r>
      <w:proofErr w:type="spellStart"/>
      <w:r w:rsidRPr="007F4C68">
        <w:rPr>
          <w:rFonts w:asciiTheme="majorBidi" w:hAnsiTheme="majorBidi" w:cstheme="majorBidi"/>
          <w:sz w:val="21"/>
        </w:rPr>
        <w:t>Midroog</w:t>
      </w:r>
      <w:proofErr w:type="spellEnd"/>
      <w:r w:rsidRPr="007F4C68">
        <w:rPr>
          <w:rFonts w:asciiTheme="majorBidi" w:hAnsiTheme="majorBidi" w:cstheme="majorBidi"/>
          <w:sz w:val="21"/>
        </w:rPr>
        <w:t xml:space="preserve"> rating agency set the credit rating of the Company's Debentures (Series P) as A3.il, with negative outlook.</w:t>
      </w:r>
    </w:p>
    <w:p w14:paraId="0BFC9E1A" w14:textId="7EF451EB" w:rsidR="007F4C68" w:rsidRPr="007F4C68" w:rsidRDefault="007F4C68" w:rsidP="007F4C68">
      <w:pPr>
        <w:pStyle w:val="ListParagraph"/>
        <w:numPr>
          <w:ilvl w:val="1"/>
          <w:numId w:val="66"/>
        </w:numPr>
        <w:tabs>
          <w:tab w:val="num" w:pos="423"/>
        </w:tabs>
        <w:spacing w:before="60" w:after="60" w:line="276" w:lineRule="auto"/>
        <w:ind w:left="426" w:hanging="430"/>
        <w:rPr>
          <w:rFonts w:asciiTheme="majorBidi" w:hAnsiTheme="majorBidi" w:cstheme="majorBidi"/>
          <w:sz w:val="21"/>
          <w:szCs w:val="21"/>
        </w:rPr>
      </w:pPr>
      <w:r w:rsidRPr="007F4C68">
        <w:rPr>
          <w:rFonts w:asciiTheme="majorBidi" w:hAnsiTheme="majorBidi" w:cstheme="majorBidi"/>
          <w:sz w:val="21"/>
        </w:rPr>
        <w:t xml:space="preserve">On June 30, 2024, the S&amp;P </w:t>
      </w:r>
      <w:proofErr w:type="spellStart"/>
      <w:r w:rsidRPr="007F4C68">
        <w:rPr>
          <w:rFonts w:asciiTheme="majorBidi" w:hAnsiTheme="majorBidi" w:cstheme="majorBidi"/>
          <w:sz w:val="21"/>
        </w:rPr>
        <w:t>Maalot</w:t>
      </w:r>
      <w:proofErr w:type="spellEnd"/>
      <w:r w:rsidRPr="007F4C68">
        <w:rPr>
          <w:rFonts w:asciiTheme="majorBidi" w:hAnsiTheme="majorBidi" w:cstheme="majorBidi"/>
          <w:sz w:val="21"/>
        </w:rPr>
        <w:t xml:space="preserve"> rating agency set the credit rating for the Company’s Debentures (Series K, L, M, P, Q, R) as </w:t>
      </w:r>
      <w:r w:rsidR="006C4351">
        <w:rPr>
          <w:rFonts w:asciiTheme="majorBidi" w:hAnsiTheme="majorBidi" w:cstheme="majorBidi" w:hint="cs"/>
          <w:sz w:val="21"/>
          <w:rtl/>
        </w:rPr>
        <w:t>'</w:t>
      </w:r>
      <w:proofErr w:type="spellStart"/>
      <w:r w:rsidRPr="007F4C68">
        <w:rPr>
          <w:rFonts w:asciiTheme="majorBidi" w:hAnsiTheme="majorBidi" w:cstheme="majorBidi"/>
          <w:sz w:val="21"/>
        </w:rPr>
        <w:t>ilA</w:t>
      </w:r>
      <w:proofErr w:type="spellEnd"/>
      <w:r w:rsidR="006C4351">
        <w:rPr>
          <w:rFonts w:asciiTheme="majorBidi" w:hAnsiTheme="majorBidi" w:cstheme="majorBidi"/>
          <w:sz w:val="21"/>
        </w:rPr>
        <w:t>-</w:t>
      </w:r>
      <w:r w:rsidR="006C4351">
        <w:rPr>
          <w:rFonts w:asciiTheme="majorBidi" w:hAnsiTheme="majorBidi" w:cstheme="majorBidi" w:hint="cs"/>
          <w:sz w:val="21"/>
          <w:rtl/>
        </w:rPr>
        <w:t>'</w:t>
      </w:r>
      <w:r w:rsidRPr="007F4C68">
        <w:rPr>
          <w:rFonts w:asciiTheme="majorBidi" w:hAnsiTheme="majorBidi" w:cstheme="majorBidi"/>
          <w:sz w:val="21"/>
        </w:rPr>
        <w:t>, with stable outlook.</w:t>
      </w:r>
    </w:p>
    <w:p w14:paraId="754A13E6" w14:textId="77777777" w:rsidR="007F4C68" w:rsidRPr="007F4C68" w:rsidRDefault="007F4C68" w:rsidP="007F4C68">
      <w:pPr>
        <w:pStyle w:val="ListParagraph"/>
        <w:numPr>
          <w:ilvl w:val="1"/>
          <w:numId w:val="66"/>
        </w:numPr>
        <w:tabs>
          <w:tab w:val="num" w:pos="423"/>
        </w:tabs>
        <w:spacing w:before="60" w:after="60" w:line="276" w:lineRule="auto"/>
        <w:ind w:left="426" w:hanging="430"/>
        <w:rPr>
          <w:rFonts w:asciiTheme="majorBidi" w:hAnsiTheme="majorBidi" w:cstheme="majorBidi"/>
          <w:sz w:val="21"/>
          <w:szCs w:val="21"/>
        </w:rPr>
      </w:pPr>
      <w:r w:rsidRPr="007F4C68">
        <w:rPr>
          <w:rFonts w:asciiTheme="majorBidi" w:hAnsiTheme="majorBidi" w:cstheme="majorBidi"/>
          <w:sz w:val="21"/>
        </w:rPr>
        <w:t xml:space="preserve">On June 30, 2024, the S&amp;P </w:t>
      </w:r>
      <w:proofErr w:type="spellStart"/>
      <w:r w:rsidRPr="007F4C68">
        <w:rPr>
          <w:rFonts w:asciiTheme="majorBidi" w:hAnsiTheme="majorBidi" w:cstheme="majorBidi"/>
          <w:sz w:val="21"/>
        </w:rPr>
        <w:t>Maalot</w:t>
      </w:r>
      <w:proofErr w:type="spellEnd"/>
      <w:r w:rsidRPr="007F4C68">
        <w:rPr>
          <w:rFonts w:asciiTheme="majorBidi" w:hAnsiTheme="majorBidi" w:cstheme="majorBidi"/>
          <w:sz w:val="21"/>
        </w:rPr>
        <w:t xml:space="preserve"> rating agency set the credit rating for the Company’s Debentures (Series O, R) as </w:t>
      </w:r>
      <w:proofErr w:type="spellStart"/>
      <w:r w:rsidRPr="007F4C68">
        <w:rPr>
          <w:rFonts w:asciiTheme="majorBidi" w:hAnsiTheme="majorBidi" w:cstheme="majorBidi"/>
          <w:sz w:val="21"/>
        </w:rPr>
        <w:t>ilA</w:t>
      </w:r>
      <w:proofErr w:type="spellEnd"/>
      <w:r w:rsidRPr="007F4C68">
        <w:rPr>
          <w:rFonts w:asciiTheme="majorBidi" w:hAnsiTheme="majorBidi" w:cstheme="majorBidi"/>
          <w:sz w:val="21"/>
        </w:rPr>
        <w:t>, with stable outlook.</w:t>
      </w:r>
    </w:p>
    <w:p w14:paraId="35EA5132" w14:textId="4FA73CC9" w:rsidR="007F4C68" w:rsidRPr="007F4C68" w:rsidRDefault="007F4C68" w:rsidP="007F4C68">
      <w:pPr>
        <w:pStyle w:val="ListParagraph"/>
        <w:numPr>
          <w:ilvl w:val="1"/>
          <w:numId w:val="66"/>
        </w:numPr>
        <w:tabs>
          <w:tab w:val="num" w:pos="423"/>
        </w:tabs>
        <w:spacing w:before="60" w:after="60" w:line="276" w:lineRule="auto"/>
        <w:ind w:left="426" w:hanging="430"/>
        <w:rPr>
          <w:rFonts w:asciiTheme="majorBidi" w:hAnsiTheme="majorBidi" w:cstheme="majorBidi"/>
          <w:sz w:val="21"/>
          <w:szCs w:val="21"/>
        </w:rPr>
      </w:pPr>
      <w:r w:rsidRPr="007F4C68">
        <w:rPr>
          <w:rFonts w:asciiTheme="majorBidi" w:hAnsiTheme="majorBidi" w:cstheme="majorBidi"/>
          <w:sz w:val="21"/>
        </w:rPr>
        <w:t xml:space="preserve">On June 30, 2024, the S&amp;P </w:t>
      </w:r>
      <w:proofErr w:type="spellStart"/>
      <w:r w:rsidRPr="007F4C68">
        <w:rPr>
          <w:rFonts w:asciiTheme="majorBidi" w:hAnsiTheme="majorBidi" w:cstheme="majorBidi"/>
          <w:sz w:val="21"/>
        </w:rPr>
        <w:t>Maalot</w:t>
      </w:r>
      <w:proofErr w:type="spellEnd"/>
      <w:r w:rsidRPr="007F4C68">
        <w:rPr>
          <w:rFonts w:asciiTheme="majorBidi" w:hAnsiTheme="majorBidi" w:cstheme="majorBidi"/>
          <w:sz w:val="21"/>
        </w:rPr>
        <w:t xml:space="preserve"> rating agency set the credit rating for the Company’s Debentures (Series T) as </w:t>
      </w:r>
      <w:proofErr w:type="spellStart"/>
      <w:r w:rsidRPr="007F4C68">
        <w:rPr>
          <w:rFonts w:asciiTheme="majorBidi" w:hAnsiTheme="majorBidi" w:cstheme="majorBidi"/>
          <w:sz w:val="21"/>
        </w:rPr>
        <w:t>ilA</w:t>
      </w:r>
      <w:proofErr w:type="spellEnd"/>
      <w:r w:rsidRPr="007F4C68">
        <w:rPr>
          <w:rFonts w:asciiTheme="majorBidi" w:hAnsiTheme="majorBidi" w:cstheme="majorBidi"/>
          <w:sz w:val="21"/>
        </w:rPr>
        <w:t>, with stable outlook.</w:t>
      </w:r>
    </w:p>
    <w:p w14:paraId="7939C1B4" w14:textId="5C764A41" w:rsidR="007F4C68" w:rsidRPr="007F4C68" w:rsidRDefault="007F4C68" w:rsidP="007F4C68">
      <w:pPr>
        <w:pStyle w:val="ListParagraph"/>
        <w:numPr>
          <w:ilvl w:val="1"/>
          <w:numId w:val="66"/>
        </w:numPr>
        <w:tabs>
          <w:tab w:val="num" w:pos="423"/>
        </w:tabs>
        <w:spacing w:before="60" w:after="60" w:line="276" w:lineRule="auto"/>
        <w:ind w:left="426" w:hanging="430"/>
        <w:rPr>
          <w:rFonts w:asciiTheme="majorBidi" w:hAnsiTheme="majorBidi" w:cstheme="majorBidi"/>
          <w:sz w:val="21"/>
          <w:szCs w:val="21"/>
        </w:rPr>
      </w:pPr>
      <w:r w:rsidRPr="007F4C68">
        <w:rPr>
          <w:rFonts w:asciiTheme="majorBidi" w:hAnsiTheme="majorBidi" w:cstheme="majorBidi"/>
          <w:sz w:val="21"/>
        </w:rPr>
        <w:t>In the reporting period the Company bought back NIS 1</w:t>
      </w:r>
      <w:r w:rsidR="006C4351">
        <w:rPr>
          <w:rFonts w:asciiTheme="majorBidi" w:hAnsiTheme="majorBidi" w:cstheme="majorBidi"/>
          <w:sz w:val="21"/>
        </w:rPr>
        <w:t>.1</w:t>
      </w:r>
      <w:r w:rsidRPr="007F4C68">
        <w:rPr>
          <w:rFonts w:asciiTheme="majorBidi" w:hAnsiTheme="majorBidi" w:cstheme="majorBidi"/>
          <w:sz w:val="21"/>
        </w:rPr>
        <w:t xml:space="preserve"> million par value shares of the Company for NIS 10 million. The acquired shares are treasury shares.</w:t>
      </w:r>
    </w:p>
    <w:p w14:paraId="37C90EBA" w14:textId="77777777" w:rsidR="007F4C68" w:rsidRPr="007F4C68" w:rsidRDefault="007F4C68" w:rsidP="007F4C68">
      <w:pPr>
        <w:rPr>
          <w:rFonts w:asciiTheme="majorBidi" w:hAnsiTheme="majorBidi" w:cstheme="majorBidi"/>
        </w:rPr>
      </w:pPr>
    </w:p>
    <w:p w14:paraId="3746C49F" w14:textId="7C1372D3" w:rsidR="007F4C68" w:rsidRPr="007F4C68" w:rsidRDefault="007F4C68" w:rsidP="007F4C68">
      <w:pPr>
        <w:keepNext/>
        <w:tabs>
          <w:tab w:val="left" w:pos="425"/>
          <w:tab w:val="left" w:pos="567"/>
        </w:tabs>
        <w:contextualSpacing/>
        <w:outlineLvl w:val="3"/>
        <w:rPr>
          <w:rFonts w:asciiTheme="majorBidi" w:hAnsiTheme="majorBidi" w:cstheme="majorBidi"/>
          <w:sz w:val="21"/>
          <w:szCs w:val="21"/>
        </w:rPr>
      </w:pPr>
      <w:bookmarkStart w:id="198" w:name="RG_MARKER_56702"/>
      <w:bookmarkStart w:id="199" w:name="FSR_LTR01"/>
      <w:bookmarkStart w:id="200" w:name="H4_IFRS_7__מכשירים_פיננסיים"/>
      <w:bookmarkEnd w:id="198"/>
      <w:r w:rsidRPr="007F4C68">
        <w:rPr>
          <w:rFonts w:asciiTheme="majorBidi" w:hAnsiTheme="majorBidi" w:cstheme="majorBidi"/>
          <w:sz w:val="21"/>
        </w:rPr>
        <w:t>C.</w:t>
      </w:r>
      <w:r w:rsidRPr="007F4C68">
        <w:rPr>
          <w:rFonts w:asciiTheme="majorBidi" w:hAnsiTheme="majorBidi" w:cstheme="majorBidi"/>
          <w:sz w:val="21"/>
        </w:rPr>
        <w:tab/>
      </w:r>
      <w:bookmarkEnd w:id="199"/>
      <w:r w:rsidRPr="006B45F7">
        <w:rPr>
          <w:rFonts w:asciiTheme="majorBidi" w:hAnsiTheme="majorBidi" w:cstheme="majorBidi"/>
          <w:sz w:val="21"/>
          <w:szCs w:val="21"/>
        </w:rPr>
        <w:t>Financial Instruments</w:t>
      </w:r>
    </w:p>
    <w:bookmarkEnd w:id="200"/>
    <w:p w14:paraId="30F1D371" w14:textId="77777777" w:rsidR="007F4C68" w:rsidRPr="007F4C68" w:rsidRDefault="007F4C68" w:rsidP="007F4C68">
      <w:pPr>
        <w:pStyle w:val="ListParagraph"/>
        <w:keepNext/>
        <w:keepLines/>
        <w:numPr>
          <w:ilvl w:val="0"/>
          <w:numId w:val="67"/>
        </w:numPr>
        <w:tabs>
          <w:tab w:val="left" w:pos="425"/>
        </w:tabs>
        <w:spacing w:before="60" w:after="60" w:line="276" w:lineRule="auto"/>
        <w:ind w:left="0" w:firstLine="0"/>
        <w:outlineLvl w:val="4"/>
        <w:rPr>
          <w:rFonts w:asciiTheme="majorBidi" w:hAnsiTheme="majorBidi" w:cstheme="majorBidi"/>
          <w:sz w:val="21"/>
          <w:szCs w:val="21"/>
        </w:rPr>
      </w:pPr>
      <w:r w:rsidRPr="007F4C68">
        <w:rPr>
          <w:rFonts w:asciiTheme="majorBidi" w:hAnsiTheme="majorBidi" w:cstheme="majorBidi"/>
          <w:sz w:val="21"/>
        </w:rPr>
        <w:t>Fair value of Financial Instruments:</w:t>
      </w:r>
    </w:p>
    <w:p w14:paraId="48495B0F" w14:textId="77777777" w:rsidR="007F4C68" w:rsidRPr="007F4C68" w:rsidRDefault="007F4C68" w:rsidP="007F4C68">
      <w:pPr>
        <w:pStyle w:val="ListParagraph"/>
        <w:keepNext/>
        <w:keepLines/>
        <w:tabs>
          <w:tab w:val="left" w:pos="425"/>
          <w:tab w:val="num" w:pos="990"/>
        </w:tabs>
        <w:ind w:left="426"/>
        <w:outlineLvl w:val="4"/>
        <w:rPr>
          <w:rFonts w:asciiTheme="majorBidi" w:hAnsiTheme="majorBidi" w:cstheme="majorBidi"/>
          <w:sz w:val="21"/>
          <w:szCs w:val="21"/>
        </w:rPr>
      </w:pPr>
      <w:r w:rsidRPr="007F4C68">
        <w:rPr>
          <w:rFonts w:asciiTheme="majorBidi" w:hAnsiTheme="majorBidi" w:cstheme="majorBidi"/>
          <w:sz w:val="21"/>
        </w:rPr>
        <w:t>The carrying amounts of certain financial assets and liabilities, including cash, trade and other receivables, short-term loans and borrowings, trade and other payables corresponds to or are close to their fair value.</w:t>
      </w:r>
    </w:p>
    <w:p w14:paraId="41373374" w14:textId="77777777" w:rsidR="007F4C68" w:rsidRPr="007F4C68" w:rsidRDefault="007F4C68" w:rsidP="007F4C68">
      <w:pPr>
        <w:pStyle w:val="ListParagraph"/>
        <w:keepNext/>
        <w:keepLines/>
        <w:tabs>
          <w:tab w:val="left" w:pos="425"/>
          <w:tab w:val="num" w:pos="990"/>
        </w:tabs>
        <w:ind w:left="426"/>
        <w:outlineLvl w:val="4"/>
        <w:rPr>
          <w:rFonts w:asciiTheme="majorBidi" w:hAnsiTheme="majorBidi" w:cstheme="majorBidi"/>
          <w:sz w:val="21"/>
          <w:szCs w:val="21"/>
        </w:rPr>
      </w:pPr>
      <w:r w:rsidRPr="007F4C68">
        <w:rPr>
          <w:rFonts w:asciiTheme="majorBidi" w:hAnsiTheme="majorBidi" w:cstheme="majorBidi"/>
          <w:sz w:val="21"/>
        </w:rPr>
        <w:t>The fair values of the rest of the financial  liabilities and their carrying amounts (including current maturities) presented in the statement of financial position, are as follows: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96"/>
      </w:tblGrid>
      <w:tr w:rsidR="007F4C68" w:rsidRPr="007F4C68" w14:paraId="48CBEEF9" w14:textId="77777777" w:rsidTr="006C4351">
        <w:trPr>
          <w:cantSplit/>
        </w:trPr>
        <w:tc>
          <w:tcPr>
            <w:tcW w:w="9496" w:type="dxa"/>
          </w:tcPr>
          <w:tbl>
            <w:tblPr>
              <w:tblStyle w:val="CDMRange1"/>
              <w:tblW w:w="9975" w:type="dxa"/>
              <w:tblLook w:val="0600" w:firstRow="0" w:lastRow="0" w:firstColumn="0" w:lastColumn="0" w:noHBand="1" w:noVBand="1"/>
              <w:tblCaption w:val="Print_Area"/>
            </w:tblPr>
            <w:tblGrid>
              <w:gridCol w:w="2915"/>
              <w:gridCol w:w="981"/>
              <w:gridCol w:w="140"/>
              <w:gridCol w:w="980"/>
              <w:gridCol w:w="140"/>
              <w:gridCol w:w="980"/>
              <w:gridCol w:w="140"/>
              <w:gridCol w:w="980"/>
              <w:gridCol w:w="140"/>
              <w:gridCol w:w="980"/>
              <w:gridCol w:w="140"/>
              <w:gridCol w:w="980"/>
            </w:tblGrid>
            <w:tr w:rsidR="007F4C68" w:rsidRPr="007F4C68" w14:paraId="7892F608" w14:textId="77777777" w:rsidTr="00A65A6F">
              <w:trPr>
                <w:cantSplit/>
                <w:trHeight w:val="300"/>
              </w:trPr>
              <w:tc>
                <w:tcPr>
                  <w:tcW w:w="3270" w:type="dxa"/>
                  <w:tcBorders>
                    <w:top w:val="nil"/>
                    <w:left w:val="nil"/>
                    <w:bottom w:val="nil"/>
                    <w:right w:val="nil"/>
                    <w:tl2br w:val="nil"/>
                    <w:tr2bl w:val="nil"/>
                  </w:tcBorders>
                  <w:shd w:val="clear" w:color="auto" w:fill="auto"/>
                  <w:tcMar>
                    <w:left w:w="0" w:type="dxa"/>
                    <w:right w:w="0" w:type="dxa"/>
                  </w:tcMar>
                  <w:vAlign w:val="bottom"/>
                </w:tcPr>
                <w:p w14:paraId="7DBDBD48"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2205"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731372AE"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At June 30, 2024</w:t>
                  </w:r>
                </w:p>
              </w:tc>
              <w:tc>
                <w:tcPr>
                  <w:tcW w:w="45" w:type="dxa"/>
                  <w:tcBorders>
                    <w:top w:val="nil"/>
                    <w:left w:val="nil"/>
                    <w:bottom w:val="nil"/>
                    <w:right w:val="nil"/>
                    <w:tl2br w:val="nil"/>
                    <w:tr2bl w:val="nil"/>
                  </w:tcBorders>
                  <w:shd w:val="clear" w:color="auto" w:fill="auto"/>
                  <w:tcMar>
                    <w:left w:w="0" w:type="dxa"/>
                    <w:right w:w="0" w:type="dxa"/>
                  </w:tcMar>
                  <w:vAlign w:val="bottom"/>
                </w:tcPr>
                <w:p w14:paraId="4C238368"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2205"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097512EA"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At June 30, 2023</w:t>
                  </w:r>
                </w:p>
              </w:tc>
              <w:tc>
                <w:tcPr>
                  <w:tcW w:w="45" w:type="dxa"/>
                  <w:tcBorders>
                    <w:top w:val="nil"/>
                    <w:left w:val="nil"/>
                    <w:bottom w:val="nil"/>
                    <w:right w:val="nil"/>
                    <w:tl2br w:val="nil"/>
                    <w:tr2bl w:val="nil"/>
                  </w:tcBorders>
                  <w:shd w:val="clear" w:color="auto" w:fill="auto"/>
                  <w:tcMar>
                    <w:left w:w="0" w:type="dxa"/>
                    <w:right w:w="0" w:type="dxa"/>
                  </w:tcMar>
                  <w:vAlign w:val="bottom"/>
                </w:tcPr>
                <w:p w14:paraId="6B633E39"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2205" w:type="dxa"/>
                  <w:gridSpan w:val="3"/>
                  <w:tcBorders>
                    <w:top w:val="nil"/>
                    <w:left w:val="nil"/>
                    <w:bottom w:val="single" w:sz="4" w:space="0" w:color="000000"/>
                    <w:right w:val="nil"/>
                    <w:tl2br w:val="nil"/>
                    <w:tr2bl w:val="nil"/>
                  </w:tcBorders>
                  <w:shd w:val="clear" w:color="auto" w:fill="auto"/>
                  <w:tcMar>
                    <w:left w:w="43" w:type="dxa"/>
                    <w:right w:w="43" w:type="dxa"/>
                  </w:tcMar>
                  <w:vAlign w:val="bottom"/>
                </w:tcPr>
                <w:p w14:paraId="5956F8C8"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At December 31, 2023</w:t>
                  </w:r>
                </w:p>
              </w:tc>
            </w:tr>
            <w:tr w:rsidR="007F4C68" w:rsidRPr="007F4C68" w14:paraId="025E8468"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270" w:type="dxa"/>
                  <w:tcBorders>
                    <w:top w:val="nil"/>
                    <w:left w:val="nil"/>
                    <w:bottom w:val="nil"/>
                    <w:right w:val="nil"/>
                    <w:tl2br w:val="nil"/>
                    <w:tr2bl w:val="nil"/>
                  </w:tcBorders>
                  <w:shd w:val="clear" w:color="auto" w:fill="auto"/>
                  <w:noWrap/>
                  <w:tcMar>
                    <w:left w:w="0" w:type="dxa"/>
                    <w:right w:w="0" w:type="dxa"/>
                  </w:tcMar>
                  <w:vAlign w:val="bottom"/>
                </w:tcPr>
                <w:p w14:paraId="38F587E5"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8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3E6B20C0"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Carrying amount</w:t>
                  </w:r>
                </w:p>
              </w:tc>
              <w:tc>
                <w:tcPr>
                  <w:tcW w:w="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D4474F"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080"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20C06835"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Fair value</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06A902D"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08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6329B66F"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Carrying amount</w:t>
                  </w:r>
                </w:p>
              </w:tc>
              <w:tc>
                <w:tcPr>
                  <w:tcW w:w="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248A0FB"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080"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4754A329"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Fair value</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5043DE7"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080" w:type="dxa"/>
                  <w:tcBorders>
                    <w:top w:val="single" w:sz="4" w:space="0" w:color="000000"/>
                    <w:left w:val="nil"/>
                    <w:bottom w:val="single" w:sz="4" w:space="0" w:color="000000"/>
                    <w:right w:val="nil"/>
                    <w:tl2br w:val="nil"/>
                    <w:tr2bl w:val="nil"/>
                  </w:tcBorders>
                  <w:shd w:val="clear" w:color="auto" w:fill="auto"/>
                  <w:tcMar>
                    <w:left w:w="43" w:type="dxa"/>
                    <w:right w:w="43" w:type="dxa"/>
                  </w:tcMar>
                  <w:vAlign w:val="bottom"/>
                </w:tcPr>
                <w:p w14:paraId="5EC790DF"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Carrying amount</w:t>
                  </w:r>
                </w:p>
              </w:tc>
              <w:tc>
                <w:tcPr>
                  <w:tcW w:w="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0D9F91"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p>
              </w:tc>
              <w:tc>
                <w:tcPr>
                  <w:tcW w:w="1080" w:type="dxa"/>
                  <w:tcBorders>
                    <w:top w:val="single" w:sz="4" w:space="0" w:color="000000"/>
                    <w:left w:val="nil"/>
                    <w:bottom w:val="single" w:sz="4" w:space="0" w:color="000000"/>
                    <w:right w:val="nil"/>
                    <w:tl2br w:val="nil"/>
                    <w:tr2bl w:val="nil"/>
                  </w:tcBorders>
                  <w:shd w:val="clear" w:color="auto" w:fill="auto"/>
                  <w:noWrap/>
                  <w:tcMar>
                    <w:left w:w="43" w:type="dxa"/>
                    <w:right w:w="43" w:type="dxa"/>
                  </w:tcMar>
                  <w:vAlign w:val="bottom"/>
                </w:tcPr>
                <w:p w14:paraId="0AAF4E61"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Fair value</w:t>
                  </w:r>
                </w:p>
              </w:tc>
            </w:tr>
            <w:tr w:rsidR="007F4C68" w:rsidRPr="007F4C68" w14:paraId="4F8A5186"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270" w:type="dxa"/>
                  <w:tcBorders>
                    <w:top w:val="nil"/>
                    <w:left w:val="nil"/>
                    <w:bottom w:val="nil"/>
                    <w:right w:val="nil"/>
                    <w:tl2br w:val="nil"/>
                    <w:tr2bl w:val="nil"/>
                  </w:tcBorders>
                  <w:shd w:val="clear" w:color="auto" w:fill="auto"/>
                  <w:noWrap/>
                  <w:tcMar>
                    <w:left w:w="0" w:type="dxa"/>
                    <w:right w:w="0" w:type="dxa"/>
                  </w:tcMar>
                  <w:vAlign w:val="bottom"/>
                </w:tcPr>
                <w:p w14:paraId="7F0A40DA"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6705" w:type="dxa"/>
                  <w:gridSpan w:val="11"/>
                  <w:tcBorders>
                    <w:top w:val="nil"/>
                    <w:left w:val="nil"/>
                    <w:bottom w:val="single" w:sz="4" w:space="0" w:color="000000"/>
                    <w:right w:val="nil"/>
                    <w:tl2br w:val="nil"/>
                    <w:tr2bl w:val="nil"/>
                  </w:tcBorders>
                  <w:shd w:val="clear" w:color="auto" w:fill="auto"/>
                  <w:noWrap/>
                  <w:tcMar>
                    <w:left w:w="43" w:type="dxa"/>
                    <w:right w:w="43" w:type="dxa"/>
                  </w:tcMar>
                  <w:vAlign w:val="bottom"/>
                </w:tcPr>
                <w:p w14:paraId="4766D871" w14:textId="77777777" w:rsidR="007F4C68" w:rsidRPr="007F4C68" w:rsidRDefault="007F4C68" w:rsidP="00A65A6F">
                  <w:pPr>
                    <w:keepNext/>
                    <w:spacing w:before="0" w:after="0"/>
                    <w:jc w:val="center"/>
                    <w:rPr>
                      <w:rFonts w:asciiTheme="majorBidi" w:eastAsia="Ploni ML Medium AAA Medium" w:hAnsiTheme="majorBidi" w:cstheme="majorBidi"/>
                      <w:b/>
                      <w:color w:val="000000"/>
                    </w:rPr>
                  </w:pPr>
                  <w:r w:rsidRPr="007F4C68">
                    <w:rPr>
                      <w:rFonts w:asciiTheme="majorBidi" w:hAnsiTheme="majorBidi" w:cstheme="majorBidi"/>
                      <w:b/>
                      <w:color w:val="000000"/>
                    </w:rPr>
                    <w:t>NIS million</w:t>
                  </w:r>
                </w:p>
              </w:tc>
            </w:tr>
            <w:tr w:rsidR="007F4C68" w:rsidRPr="007F4C68" w14:paraId="2BB1CC3C"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270" w:type="dxa"/>
                  <w:tcBorders>
                    <w:top w:val="nil"/>
                    <w:left w:val="nil"/>
                    <w:bottom w:val="nil"/>
                    <w:right w:val="nil"/>
                    <w:tl2br w:val="nil"/>
                    <w:tr2bl w:val="nil"/>
                  </w:tcBorders>
                  <w:shd w:val="clear" w:color="auto" w:fill="auto"/>
                  <w:noWrap/>
                  <w:tcMar>
                    <w:left w:w="43" w:type="dxa"/>
                    <w:right w:w="43" w:type="dxa"/>
                  </w:tcMar>
                  <w:vAlign w:val="bottom"/>
                </w:tcPr>
                <w:p w14:paraId="08665FCB"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Debentures (Level 1)</w:t>
                  </w:r>
                </w:p>
              </w:tc>
              <w:tc>
                <w:tcPr>
                  <w:tcW w:w="108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5A75A79E" w14:textId="6D21F6F5"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8,</w:t>
                  </w:r>
                  <w:r w:rsidR="006C4351">
                    <w:rPr>
                      <w:rFonts w:asciiTheme="majorBidi" w:hAnsiTheme="majorBidi" w:cstheme="majorBidi"/>
                      <w:color w:val="000000"/>
                      <w:sz w:val="21"/>
                    </w:rPr>
                    <w:t>285</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6EAC2D11" w14:textId="77777777" w:rsidR="007F4C68" w:rsidRPr="007F4C68" w:rsidRDefault="007F4C68" w:rsidP="00A65A6F">
                  <w:pPr>
                    <w:keepNext/>
                    <w:spacing w:before="0" w:after="0"/>
                    <w:rPr>
                      <w:rFonts w:asciiTheme="majorBidi" w:eastAsia="Ploni ML Medium AAA Medium" w:hAnsiTheme="majorBidi" w:cstheme="majorBidi"/>
                      <w:color w:val="000000"/>
                      <w:sz w:val="21"/>
                    </w:rPr>
                  </w:pPr>
                </w:p>
              </w:tc>
              <w:tc>
                <w:tcPr>
                  <w:tcW w:w="108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5E49C8C1" w14:textId="77777777"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7,910</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4FA77D63" w14:textId="77777777" w:rsidR="007F4C68" w:rsidRPr="007F4C68" w:rsidRDefault="007F4C68" w:rsidP="00A65A6F">
                  <w:pPr>
                    <w:keepNext/>
                    <w:spacing w:before="0" w:after="0"/>
                    <w:rPr>
                      <w:rFonts w:asciiTheme="majorBidi" w:eastAsia="Ploni ML Medium AAA Medium" w:hAnsiTheme="majorBidi" w:cstheme="majorBidi"/>
                      <w:color w:val="000000"/>
                      <w:sz w:val="21"/>
                    </w:rPr>
                  </w:pPr>
                </w:p>
              </w:tc>
              <w:tc>
                <w:tcPr>
                  <w:tcW w:w="108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678220AB" w14:textId="77777777"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7,769</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062C3AEF" w14:textId="77777777" w:rsidR="007F4C68" w:rsidRPr="007F4C68" w:rsidRDefault="007F4C68" w:rsidP="00A65A6F">
                  <w:pPr>
                    <w:keepNext/>
                    <w:spacing w:before="0" w:after="0"/>
                    <w:rPr>
                      <w:rFonts w:asciiTheme="majorBidi" w:eastAsia="Ploni ML Medium AAA Medium" w:hAnsiTheme="majorBidi" w:cstheme="majorBidi"/>
                      <w:color w:val="000000"/>
                      <w:sz w:val="21"/>
                    </w:rPr>
                  </w:pPr>
                </w:p>
              </w:tc>
              <w:tc>
                <w:tcPr>
                  <w:tcW w:w="108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69DD8B22" w14:textId="77777777"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6,541</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732F8CE9" w14:textId="77777777" w:rsidR="007F4C68" w:rsidRPr="007F4C68" w:rsidRDefault="007F4C68" w:rsidP="00A65A6F">
                  <w:pPr>
                    <w:keepNext/>
                    <w:spacing w:before="0" w:after="0"/>
                    <w:rPr>
                      <w:rFonts w:asciiTheme="majorBidi" w:eastAsia="Ploni ML Medium AAA Medium" w:hAnsiTheme="majorBidi" w:cstheme="majorBidi"/>
                      <w:color w:val="000000"/>
                      <w:sz w:val="21"/>
                    </w:rPr>
                  </w:pPr>
                </w:p>
              </w:tc>
              <w:tc>
                <w:tcPr>
                  <w:tcW w:w="108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023DC6A0" w14:textId="77777777"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7,681</w:t>
                  </w:r>
                </w:p>
              </w:tc>
              <w:tc>
                <w:tcPr>
                  <w:tcW w:w="45" w:type="dxa"/>
                  <w:tcBorders>
                    <w:top w:val="single" w:sz="4" w:space="0" w:color="000000"/>
                    <w:left w:val="nil"/>
                    <w:bottom w:val="nil"/>
                    <w:right w:val="nil"/>
                    <w:tl2br w:val="nil"/>
                    <w:tr2bl w:val="nil"/>
                  </w:tcBorders>
                  <w:shd w:val="clear" w:color="auto" w:fill="auto"/>
                  <w:noWrap/>
                  <w:tcMar>
                    <w:left w:w="0" w:type="dxa"/>
                    <w:right w:w="135" w:type="dxa"/>
                  </w:tcMar>
                  <w:vAlign w:val="bottom"/>
                </w:tcPr>
                <w:p w14:paraId="16F9A4E5" w14:textId="77777777" w:rsidR="007F4C68" w:rsidRPr="007F4C68" w:rsidRDefault="007F4C68" w:rsidP="00A65A6F">
                  <w:pPr>
                    <w:keepNext/>
                    <w:spacing w:before="0" w:after="0"/>
                    <w:rPr>
                      <w:rFonts w:asciiTheme="majorBidi" w:eastAsia="Ploni ML Medium AAA Medium" w:hAnsiTheme="majorBidi" w:cstheme="majorBidi"/>
                      <w:color w:val="000000"/>
                      <w:sz w:val="21"/>
                    </w:rPr>
                  </w:pPr>
                </w:p>
              </w:tc>
              <w:tc>
                <w:tcPr>
                  <w:tcW w:w="1080" w:type="dxa"/>
                  <w:tcBorders>
                    <w:top w:val="single" w:sz="4" w:space="0" w:color="000000"/>
                    <w:left w:val="nil"/>
                    <w:bottom w:val="nil"/>
                    <w:right w:val="nil"/>
                    <w:tl2br w:val="nil"/>
                    <w:tr2bl w:val="nil"/>
                  </w:tcBorders>
                  <w:shd w:val="clear" w:color="auto" w:fill="auto"/>
                  <w:noWrap/>
                  <w:tcMar>
                    <w:left w:w="43" w:type="dxa"/>
                    <w:right w:w="178" w:type="dxa"/>
                  </w:tcMar>
                  <w:vAlign w:val="bottom"/>
                </w:tcPr>
                <w:p w14:paraId="0237A496" w14:textId="77777777"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7,099</w:t>
                  </w:r>
                </w:p>
              </w:tc>
            </w:tr>
            <w:tr w:rsidR="007F4C68" w:rsidRPr="007F4C68" w14:paraId="5C39BBCB"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3270" w:type="dxa"/>
                  <w:tcBorders>
                    <w:top w:val="nil"/>
                    <w:left w:val="nil"/>
                    <w:bottom w:val="nil"/>
                    <w:right w:val="nil"/>
                    <w:tl2br w:val="nil"/>
                    <w:tr2bl w:val="nil"/>
                  </w:tcBorders>
                  <w:shd w:val="clear" w:color="auto" w:fill="auto"/>
                  <w:tcMar>
                    <w:left w:w="43" w:type="dxa"/>
                    <w:right w:w="43" w:type="dxa"/>
                  </w:tcMar>
                  <w:vAlign w:val="bottom"/>
                </w:tcPr>
                <w:p w14:paraId="5EF4E70C"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r w:rsidRPr="007F4C68">
                    <w:rPr>
                      <w:rFonts w:asciiTheme="majorBidi" w:hAnsiTheme="majorBidi" w:cstheme="majorBidi"/>
                      <w:color w:val="000000"/>
                      <w:sz w:val="21"/>
                    </w:rPr>
                    <w:t>Loans from banks and others (Level 2)</w:t>
                  </w:r>
                </w:p>
              </w:tc>
              <w:tc>
                <w:tcPr>
                  <w:tcW w:w="108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450B29D" w14:textId="07FAB545"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w:t>
                  </w:r>
                  <w:r w:rsidR="006B45F7">
                    <w:rPr>
                      <w:rFonts w:asciiTheme="majorBidi" w:hAnsiTheme="majorBidi" w:cstheme="majorBidi"/>
                      <w:color w:val="000000"/>
                      <w:sz w:val="21"/>
                    </w:rPr>
                    <w:t>167</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6E12985" w14:textId="77777777" w:rsidR="007F4C68" w:rsidRPr="007F4C68" w:rsidRDefault="007F4C68" w:rsidP="00A65A6F">
                  <w:pPr>
                    <w:keepNext/>
                    <w:spacing w:before="0" w:after="0"/>
                    <w:rPr>
                      <w:rFonts w:asciiTheme="majorBidi" w:eastAsia="Ploni ML Medium AAA Medium" w:hAnsiTheme="majorBidi" w:cstheme="majorBidi"/>
                      <w:color w:val="000000"/>
                      <w:sz w:val="21"/>
                    </w:rPr>
                  </w:pPr>
                </w:p>
              </w:tc>
              <w:tc>
                <w:tcPr>
                  <w:tcW w:w="108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702B028" w14:textId="77777777"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2,954</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D2CA407" w14:textId="77777777" w:rsidR="007F4C68" w:rsidRPr="007F4C68" w:rsidRDefault="007F4C68" w:rsidP="00A65A6F">
                  <w:pPr>
                    <w:keepNext/>
                    <w:spacing w:before="0" w:after="0"/>
                    <w:rPr>
                      <w:rFonts w:asciiTheme="majorBidi" w:eastAsia="Ploni ML Medium AAA Medium" w:hAnsiTheme="majorBidi" w:cstheme="majorBidi"/>
                      <w:color w:val="000000"/>
                      <w:sz w:val="21"/>
                    </w:rPr>
                  </w:pPr>
                </w:p>
              </w:tc>
              <w:tc>
                <w:tcPr>
                  <w:tcW w:w="108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149D94E9" w14:textId="77777777"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3,440</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C66657D" w14:textId="77777777" w:rsidR="007F4C68" w:rsidRPr="007F4C68" w:rsidRDefault="007F4C68" w:rsidP="00A65A6F">
                  <w:pPr>
                    <w:keepNext/>
                    <w:spacing w:before="0" w:after="0"/>
                    <w:rPr>
                      <w:rFonts w:asciiTheme="majorBidi" w:eastAsia="Ploni ML Medium AAA Medium" w:hAnsiTheme="majorBidi" w:cstheme="majorBidi"/>
                      <w:color w:val="000000"/>
                      <w:sz w:val="21"/>
                    </w:rPr>
                  </w:pPr>
                </w:p>
              </w:tc>
              <w:tc>
                <w:tcPr>
                  <w:tcW w:w="108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F506B1C" w14:textId="77777777"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3,142</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B2A175E" w14:textId="77777777" w:rsidR="007F4C68" w:rsidRPr="007F4C68" w:rsidRDefault="007F4C68" w:rsidP="00A65A6F">
                  <w:pPr>
                    <w:keepNext/>
                    <w:spacing w:before="0" w:after="0"/>
                    <w:rPr>
                      <w:rFonts w:asciiTheme="majorBidi" w:eastAsia="Ploni ML Medium AAA Medium" w:hAnsiTheme="majorBidi" w:cstheme="majorBidi"/>
                      <w:color w:val="000000"/>
                      <w:sz w:val="21"/>
                    </w:rPr>
                  </w:pPr>
                </w:p>
              </w:tc>
              <w:tc>
                <w:tcPr>
                  <w:tcW w:w="108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28CF5747" w14:textId="77777777"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3,255</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35540860" w14:textId="77777777" w:rsidR="007F4C68" w:rsidRPr="007F4C68" w:rsidRDefault="007F4C68" w:rsidP="00A65A6F">
                  <w:pPr>
                    <w:keepNext/>
                    <w:spacing w:before="0" w:after="0"/>
                    <w:rPr>
                      <w:rFonts w:asciiTheme="majorBidi" w:eastAsia="Ploni ML Medium AAA Medium" w:hAnsiTheme="majorBidi" w:cstheme="majorBidi"/>
                      <w:color w:val="000000"/>
                      <w:sz w:val="21"/>
                    </w:rPr>
                  </w:pPr>
                </w:p>
              </w:tc>
              <w:tc>
                <w:tcPr>
                  <w:tcW w:w="1080" w:type="dxa"/>
                  <w:tcBorders>
                    <w:top w:val="nil"/>
                    <w:left w:val="nil"/>
                    <w:bottom w:val="single" w:sz="4" w:space="0" w:color="000000"/>
                    <w:right w:val="nil"/>
                    <w:tl2br w:val="nil"/>
                    <w:tr2bl w:val="nil"/>
                  </w:tcBorders>
                  <w:shd w:val="clear" w:color="auto" w:fill="auto"/>
                  <w:noWrap/>
                  <w:tcMar>
                    <w:left w:w="43" w:type="dxa"/>
                    <w:right w:w="178" w:type="dxa"/>
                  </w:tcMar>
                  <w:vAlign w:val="bottom"/>
                </w:tcPr>
                <w:p w14:paraId="73D20C96" w14:textId="77777777"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3,126</w:t>
                  </w:r>
                </w:p>
              </w:tc>
            </w:tr>
            <w:tr w:rsidR="007F4C68" w:rsidRPr="007F4C68" w14:paraId="7266918E" w14:textId="77777777" w:rsidTr="00A65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270" w:type="dxa"/>
                  <w:tcBorders>
                    <w:top w:val="nil"/>
                    <w:left w:val="nil"/>
                    <w:bottom w:val="nil"/>
                    <w:right w:val="nil"/>
                    <w:tl2br w:val="nil"/>
                    <w:tr2bl w:val="nil"/>
                  </w:tcBorders>
                  <w:shd w:val="clear" w:color="auto" w:fill="auto"/>
                  <w:noWrap/>
                  <w:tcMar>
                    <w:left w:w="0" w:type="dxa"/>
                    <w:right w:w="0" w:type="dxa"/>
                  </w:tcMar>
                  <w:vAlign w:val="bottom"/>
                </w:tcPr>
                <w:p w14:paraId="2DE64AC4" w14:textId="77777777" w:rsidR="007F4C68" w:rsidRPr="007F4C68" w:rsidRDefault="007F4C68" w:rsidP="00A65A6F">
                  <w:pPr>
                    <w:keepNext/>
                    <w:spacing w:before="0" w:after="0"/>
                    <w:jc w:val="left"/>
                    <w:rPr>
                      <w:rFonts w:asciiTheme="majorBidi" w:eastAsia="Ploni ML Medium AAA Medium" w:hAnsiTheme="majorBidi" w:cstheme="majorBidi"/>
                      <w:color w:val="000000"/>
                      <w:sz w:val="21"/>
                    </w:rPr>
                  </w:pPr>
                </w:p>
              </w:tc>
              <w:tc>
                <w:tcPr>
                  <w:tcW w:w="108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76CF09E1" w14:textId="77777777"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11,452</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FBB0448" w14:textId="77777777" w:rsidR="007F4C68" w:rsidRPr="007F4C68" w:rsidRDefault="007F4C68" w:rsidP="00A65A6F">
                  <w:pPr>
                    <w:keepNext/>
                    <w:spacing w:before="0" w:after="0"/>
                    <w:rPr>
                      <w:rFonts w:asciiTheme="majorBidi" w:eastAsia="Ploni ML Medium AAA Medium" w:hAnsiTheme="majorBidi" w:cstheme="majorBidi"/>
                      <w:color w:val="000000"/>
                      <w:sz w:val="21"/>
                    </w:rPr>
                  </w:pPr>
                </w:p>
              </w:tc>
              <w:tc>
                <w:tcPr>
                  <w:tcW w:w="108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44A02EA0" w14:textId="77777777"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10,864</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50297C54" w14:textId="77777777" w:rsidR="007F4C68" w:rsidRPr="007F4C68" w:rsidRDefault="007F4C68" w:rsidP="00A65A6F">
                  <w:pPr>
                    <w:keepNext/>
                    <w:spacing w:before="0" w:after="0"/>
                    <w:rPr>
                      <w:rFonts w:asciiTheme="majorBidi" w:eastAsia="Ploni ML Medium AAA Medium" w:hAnsiTheme="majorBidi" w:cstheme="majorBidi"/>
                      <w:color w:val="000000"/>
                      <w:sz w:val="21"/>
                    </w:rPr>
                  </w:pPr>
                </w:p>
              </w:tc>
              <w:tc>
                <w:tcPr>
                  <w:tcW w:w="108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629371F0" w14:textId="77777777"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11,209</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D86F2B5" w14:textId="77777777" w:rsidR="007F4C68" w:rsidRPr="007F4C68" w:rsidRDefault="007F4C68" w:rsidP="00A65A6F">
                  <w:pPr>
                    <w:keepNext/>
                    <w:spacing w:before="0" w:after="0"/>
                    <w:rPr>
                      <w:rFonts w:asciiTheme="majorBidi" w:eastAsia="Ploni ML Medium AAA Medium" w:hAnsiTheme="majorBidi" w:cstheme="majorBidi"/>
                      <w:color w:val="000000"/>
                      <w:sz w:val="21"/>
                    </w:rPr>
                  </w:pPr>
                </w:p>
              </w:tc>
              <w:tc>
                <w:tcPr>
                  <w:tcW w:w="108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4D19E085" w14:textId="77777777"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9,683</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74C73531" w14:textId="77777777" w:rsidR="007F4C68" w:rsidRPr="007F4C68" w:rsidRDefault="007F4C68" w:rsidP="00A65A6F">
                  <w:pPr>
                    <w:keepNext/>
                    <w:spacing w:before="0" w:after="0"/>
                    <w:rPr>
                      <w:rFonts w:asciiTheme="majorBidi" w:eastAsia="Ploni ML Medium AAA Medium" w:hAnsiTheme="majorBidi" w:cstheme="majorBidi"/>
                      <w:color w:val="000000"/>
                      <w:sz w:val="21"/>
                    </w:rPr>
                  </w:pPr>
                </w:p>
              </w:tc>
              <w:tc>
                <w:tcPr>
                  <w:tcW w:w="108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195081B4" w14:textId="77777777"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10,936</w:t>
                  </w:r>
                </w:p>
              </w:tc>
              <w:tc>
                <w:tcPr>
                  <w:tcW w:w="45" w:type="dxa"/>
                  <w:tcBorders>
                    <w:top w:val="nil"/>
                    <w:left w:val="nil"/>
                    <w:bottom w:val="nil"/>
                    <w:right w:val="nil"/>
                    <w:tl2br w:val="nil"/>
                    <w:tr2bl w:val="nil"/>
                  </w:tcBorders>
                  <w:shd w:val="clear" w:color="auto" w:fill="auto"/>
                  <w:noWrap/>
                  <w:tcMar>
                    <w:left w:w="0" w:type="dxa"/>
                    <w:right w:w="135" w:type="dxa"/>
                  </w:tcMar>
                  <w:vAlign w:val="bottom"/>
                </w:tcPr>
                <w:p w14:paraId="408C9541" w14:textId="77777777" w:rsidR="007F4C68" w:rsidRPr="007F4C68" w:rsidRDefault="007F4C68" w:rsidP="00A65A6F">
                  <w:pPr>
                    <w:keepNext/>
                    <w:spacing w:before="0" w:after="0"/>
                    <w:rPr>
                      <w:rFonts w:asciiTheme="majorBidi" w:eastAsia="Ploni ML Medium AAA Medium" w:hAnsiTheme="majorBidi" w:cstheme="majorBidi"/>
                      <w:color w:val="000000"/>
                      <w:sz w:val="21"/>
                    </w:rPr>
                  </w:pPr>
                </w:p>
              </w:tc>
              <w:tc>
                <w:tcPr>
                  <w:tcW w:w="1080" w:type="dxa"/>
                  <w:tcBorders>
                    <w:top w:val="single" w:sz="4" w:space="0" w:color="000000"/>
                    <w:left w:val="nil"/>
                    <w:bottom w:val="double" w:sz="6" w:space="0" w:color="000000"/>
                    <w:right w:val="nil"/>
                    <w:tl2br w:val="nil"/>
                    <w:tr2bl w:val="nil"/>
                  </w:tcBorders>
                  <w:shd w:val="clear" w:color="auto" w:fill="auto"/>
                  <w:noWrap/>
                  <w:tcMar>
                    <w:left w:w="43" w:type="dxa"/>
                    <w:right w:w="178" w:type="dxa"/>
                  </w:tcMar>
                  <w:vAlign w:val="bottom"/>
                </w:tcPr>
                <w:p w14:paraId="6C46C7A9" w14:textId="77777777" w:rsidR="007F4C68" w:rsidRPr="007F4C68" w:rsidRDefault="007F4C68" w:rsidP="00A65A6F">
                  <w:pPr>
                    <w:keepNext/>
                    <w:spacing w:before="0" w:after="0"/>
                    <w:rPr>
                      <w:rFonts w:asciiTheme="majorBidi" w:eastAsia="Ploni ML Medium AAA Medium" w:hAnsiTheme="majorBidi" w:cstheme="majorBidi"/>
                      <w:color w:val="000000"/>
                      <w:sz w:val="21"/>
                    </w:rPr>
                  </w:pPr>
                  <w:r w:rsidRPr="007F4C68">
                    <w:rPr>
                      <w:rFonts w:asciiTheme="majorBidi" w:hAnsiTheme="majorBidi" w:cstheme="majorBidi"/>
                      <w:color w:val="000000"/>
                      <w:sz w:val="21"/>
                    </w:rPr>
                    <w:t xml:space="preserve"> 10,225</w:t>
                  </w:r>
                </w:p>
              </w:tc>
            </w:tr>
          </w:tbl>
          <w:p w14:paraId="63EAFBD4" w14:textId="77777777" w:rsidR="007F4C68" w:rsidRPr="007F4C68" w:rsidRDefault="007F4C68" w:rsidP="00A65A6F">
            <w:pPr>
              <w:rPr>
                <w:rFonts w:asciiTheme="majorBidi" w:hAnsiTheme="majorBidi" w:cstheme="majorBidi"/>
              </w:rPr>
            </w:pPr>
          </w:p>
        </w:tc>
      </w:tr>
    </w:tbl>
    <w:p w14:paraId="529BA311" w14:textId="77777777" w:rsidR="007F4C68" w:rsidRPr="007F4C68" w:rsidRDefault="007F4C68" w:rsidP="007F4C68">
      <w:pPr>
        <w:tabs>
          <w:tab w:val="left" w:pos="425"/>
          <w:tab w:val="num" w:pos="990"/>
        </w:tabs>
        <w:contextualSpacing/>
        <w:rPr>
          <w:rFonts w:asciiTheme="majorBidi" w:hAnsiTheme="majorBidi" w:cstheme="majorBidi"/>
          <w:sz w:val="21"/>
          <w:szCs w:val="21"/>
          <w:rtl/>
        </w:rPr>
      </w:pPr>
    </w:p>
    <w:p w14:paraId="37CBB07F" w14:textId="77777777" w:rsidR="007F4C68" w:rsidRPr="007F4C68" w:rsidRDefault="007F4C68" w:rsidP="007F4C68">
      <w:pPr>
        <w:pStyle w:val="ListParagraph"/>
        <w:keepNext/>
        <w:keepLines/>
        <w:numPr>
          <w:ilvl w:val="0"/>
          <w:numId w:val="67"/>
        </w:numPr>
        <w:tabs>
          <w:tab w:val="left" w:pos="425"/>
        </w:tabs>
        <w:spacing w:before="60" w:after="60" w:line="276" w:lineRule="auto"/>
        <w:ind w:left="0" w:firstLine="0"/>
        <w:outlineLvl w:val="4"/>
        <w:rPr>
          <w:rFonts w:asciiTheme="majorBidi" w:hAnsiTheme="majorBidi" w:cstheme="majorBidi"/>
          <w:sz w:val="21"/>
          <w:szCs w:val="21"/>
        </w:rPr>
      </w:pPr>
      <w:bookmarkStart w:id="201" w:name="H5_סיווג_המכשירים_הפיננסיים_לפי_מדרג_השו"/>
      <w:r w:rsidRPr="007F4C68">
        <w:rPr>
          <w:rFonts w:asciiTheme="majorBidi" w:hAnsiTheme="majorBidi" w:cstheme="majorBidi"/>
          <w:sz w:val="21"/>
        </w:rPr>
        <w:t>The financial instruments are classified according to the fair value scale:</w:t>
      </w:r>
    </w:p>
    <w:bookmarkEnd w:id="201"/>
    <w:p w14:paraId="1C3ED281" w14:textId="77777777" w:rsidR="007F4C68" w:rsidRPr="007F4C68" w:rsidRDefault="007F4C68" w:rsidP="007F4C68">
      <w:pPr>
        <w:pStyle w:val="ListParagraph"/>
        <w:keepNext/>
        <w:keepLines/>
        <w:tabs>
          <w:tab w:val="left" w:pos="425"/>
          <w:tab w:val="num" w:pos="990"/>
        </w:tabs>
        <w:ind w:left="426"/>
        <w:outlineLvl w:val="4"/>
        <w:rPr>
          <w:rFonts w:asciiTheme="majorBidi" w:hAnsiTheme="majorBidi" w:cstheme="majorBidi"/>
          <w:sz w:val="21"/>
          <w:szCs w:val="21"/>
        </w:rPr>
      </w:pPr>
      <w:r w:rsidRPr="007F4C68">
        <w:rPr>
          <w:rFonts w:asciiTheme="majorBidi" w:hAnsiTheme="majorBidi" w:cstheme="majorBidi"/>
          <w:sz w:val="21"/>
        </w:rPr>
        <w:t>In the reporting period there were no material changes regarding the classification of financial assets and liabilities that are measured in the financial statements at fair value, compared to their classification as at December 31, 2023. Furthermore, there were no transfers between Level 1 and Level 2 with respect to fair value measurement of any financial instruments, and there were no transfers to or from Level 3 with respect to fair value measurement of any financial instruments.</w:t>
      </w:r>
    </w:p>
    <w:p w14:paraId="311E5497" w14:textId="77777777" w:rsidR="007F4C68" w:rsidRPr="007F4C68" w:rsidRDefault="007F4C68" w:rsidP="007F4C68">
      <w:pPr>
        <w:rPr>
          <w:rFonts w:asciiTheme="majorBidi" w:hAnsiTheme="majorBidi" w:cstheme="majorBidi"/>
        </w:rPr>
      </w:pPr>
    </w:p>
    <w:p w14:paraId="739FE165" w14:textId="77777777" w:rsidR="007F4C68" w:rsidRPr="007F4C68" w:rsidRDefault="007F4C68" w:rsidP="007F4C68">
      <w:pPr>
        <w:keepLines/>
        <w:tabs>
          <w:tab w:val="left" w:pos="425"/>
          <w:tab w:val="left" w:pos="567"/>
        </w:tabs>
        <w:contextualSpacing/>
        <w:rPr>
          <w:rFonts w:asciiTheme="majorBidi" w:hAnsiTheme="majorBidi" w:cstheme="majorBidi"/>
          <w:sz w:val="21"/>
          <w:bdr w:val="none" w:sz="0" w:space="0" w:color="auto" w:frame="1"/>
        </w:rPr>
        <w:sectPr w:rsidR="007F4C68" w:rsidRPr="007F4C68" w:rsidSect="002459BC">
          <w:headerReference w:type="even" r:id="rId95"/>
          <w:headerReference w:type="default" r:id="rId96"/>
          <w:footerReference w:type="even" r:id="rId97"/>
          <w:footerReference w:type="default" r:id="rId98"/>
          <w:headerReference w:type="first" r:id="rId99"/>
          <w:footerReference w:type="first" r:id="rId100"/>
          <w:footnotePr>
            <w:numRestart w:val="eachPage"/>
          </w:footnotePr>
          <w:type w:val="continuous"/>
          <w:pgSz w:w="11906" w:h="16838"/>
          <w:pgMar w:top="1286" w:right="992" w:bottom="1134" w:left="992" w:header="567" w:footer="567" w:gutter="0"/>
          <w:pgBorders>
            <w:top w:val="nil"/>
            <w:left w:val="nil"/>
            <w:bottom w:val="nil"/>
            <w:right w:val="nil"/>
          </w:pgBorders>
          <w:cols w:space="708"/>
          <w:bidi/>
          <w:rtlGutter/>
          <w:docGrid w:linePitch="360"/>
        </w:sectPr>
      </w:pPr>
      <w:bookmarkStart w:id="202" w:name="RG_MARKER_56692"/>
      <w:bookmarkEnd w:id="202"/>
    </w:p>
    <w:p w14:paraId="5796D6E7" w14:textId="77777777" w:rsidR="007F4C68" w:rsidRPr="007F4C68" w:rsidRDefault="007F4C68" w:rsidP="007F4C68">
      <w:pPr>
        <w:keepLines/>
        <w:tabs>
          <w:tab w:val="left" w:pos="425"/>
          <w:tab w:val="left" w:pos="567"/>
        </w:tabs>
        <w:contextualSpacing/>
        <w:rPr>
          <w:rFonts w:asciiTheme="majorBidi" w:hAnsiTheme="majorBidi" w:cstheme="majorBidi"/>
          <w:sz w:val="21"/>
          <w:szCs w:val="21"/>
        </w:rPr>
      </w:pPr>
      <w:r w:rsidRPr="007F4C68">
        <w:rPr>
          <w:rFonts w:asciiTheme="majorBidi" w:hAnsiTheme="majorBidi" w:cstheme="majorBidi"/>
          <w:sz w:val="21"/>
          <w:bdr w:val="none" w:sz="0" w:space="0" w:color="auto" w:frame="1"/>
        </w:rPr>
        <w:lastRenderedPageBreak/>
        <w:t>D.</w:t>
      </w:r>
      <w:r w:rsidRPr="007F4C68">
        <w:rPr>
          <w:rFonts w:asciiTheme="majorBidi" w:hAnsiTheme="majorBidi" w:cstheme="majorBidi"/>
          <w:sz w:val="21"/>
          <w:bdr w:val="none" w:sz="0" w:space="0" w:color="auto" w:frame="1"/>
        </w:rPr>
        <w:tab/>
      </w:r>
      <w:r w:rsidRPr="007F4C68">
        <w:rPr>
          <w:rFonts w:asciiTheme="majorBidi" w:hAnsiTheme="majorBidi" w:cstheme="majorBidi"/>
          <w:sz w:val="21"/>
        </w:rPr>
        <w:t>Subsequent events</w:t>
      </w:r>
    </w:p>
    <w:p w14:paraId="50BF3575" w14:textId="77777777" w:rsidR="007F4C68" w:rsidRPr="007F4C68" w:rsidRDefault="007F4C68" w:rsidP="007F4C68">
      <w:pPr>
        <w:pStyle w:val="ListParagraph"/>
        <w:keepLines/>
        <w:numPr>
          <w:ilvl w:val="0"/>
          <w:numId w:val="68"/>
        </w:numPr>
        <w:tabs>
          <w:tab w:val="left" w:pos="425"/>
        </w:tabs>
        <w:spacing w:before="60" w:after="60" w:line="276" w:lineRule="auto"/>
        <w:ind w:left="426" w:hanging="426"/>
        <w:rPr>
          <w:rFonts w:asciiTheme="majorBidi" w:eastAsia="Calibri" w:hAnsiTheme="majorBidi" w:cstheme="majorBidi"/>
          <w:sz w:val="21"/>
          <w:szCs w:val="21"/>
          <w:bdr w:val="none" w:sz="0" w:space="0" w:color="auto" w:frame="1"/>
        </w:rPr>
      </w:pPr>
      <w:r w:rsidRPr="007F4C68">
        <w:rPr>
          <w:rFonts w:asciiTheme="majorBidi" w:hAnsiTheme="majorBidi" w:cstheme="majorBidi"/>
          <w:sz w:val="21"/>
          <w:bdr w:val="none" w:sz="0" w:space="0" w:color="auto" w:frame="1"/>
        </w:rPr>
        <w:t xml:space="preserve">Subsequent to the reporting date, the Company bought back NIS 59.4 million par value Debentures (Series L, M, N and P), for NIS 63.3 million. </w:t>
      </w:r>
      <w:r w:rsidRPr="007F4C68">
        <w:rPr>
          <w:rFonts w:asciiTheme="majorBidi" w:hAnsiTheme="majorBidi" w:cstheme="majorBidi"/>
          <w:sz w:val="21"/>
        </w:rPr>
        <w:t>Due to the buyback, the Company recognized an early redemption gain in the amount of NIS 4.4 million. The buyback debentures were canceled and delisted.</w:t>
      </w:r>
    </w:p>
    <w:p w14:paraId="5272A5AA" w14:textId="77777777" w:rsidR="007F4C68" w:rsidRPr="007F4C68" w:rsidRDefault="007F4C68" w:rsidP="007F4C68">
      <w:pPr>
        <w:pStyle w:val="ListParagraph"/>
        <w:keepLines/>
        <w:numPr>
          <w:ilvl w:val="0"/>
          <w:numId w:val="68"/>
        </w:numPr>
        <w:tabs>
          <w:tab w:val="left" w:pos="425"/>
        </w:tabs>
        <w:spacing w:before="60" w:after="60" w:line="276" w:lineRule="auto"/>
        <w:ind w:left="426" w:hanging="426"/>
        <w:rPr>
          <w:rFonts w:asciiTheme="majorBidi" w:eastAsia="Calibri" w:hAnsiTheme="majorBidi" w:cstheme="majorBidi"/>
          <w:sz w:val="21"/>
          <w:szCs w:val="21"/>
          <w:bdr w:val="none" w:sz="0" w:space="0" w:color="auto" w:frame="1"/>
        </w:rPr>
      </w:pPr>
      <w:r w:rsidRPr="007F4C68">
        <w:rPr>
          <w:rFonts w:asciiTheme="majorBidi" w:hAnsiTheme="majorBidi" w:cstheme="majorBidi"/>
          <w:sz w:val="21"/>
        </w:rPr>
        <w:t>Subsequent to reporting date, the Company bought back 2.8 million shares of the Company for NIS 31 million. These shares are treasury shares.</w:t>
      </w:r>
    </w:p>
    <w:p w14:paraId="134A54A2" w14:textId="47C7CC7A" w:rsidR="007F4C68" w:rsidRPr="007F4C68" w:rsidRDefault="007F4C68" w:rsidP="007F4C68">
      <w:pPr>
        <w:pStyle w:val="ListParagraph"/>
        <w:keepLines/>
        <w:numPr>
          <w:ilvl w:val="0"/>
          <w:numId w:val="68"/>
        </w:numPr>
        <w:tabs>
          <w:tab w:val="left" w:pos="425"/>
        </w:tabs>
        <w:spacing w:before="60" w:after="60" w:line="276" w:lineRule="auto"/>
        <w:ind w:left="426" w:hanging="426"/>
        <w:rPr>
          <w:rFonts w:asciiTheme="majorBidi" w:eastAsia="Calibri" w:hAnsiTheme="majorBidi" w:cstheme="majorBidi"/>
          <w:sz w:val="21"/>
          <w:szCs w:val="21"/>
          <w:bdr w:val="none" w:sz="0" w:space="0" w:color="auto" w:frame="1"/>
        </w:rPr>
      </w:pPr>
      <w:r w:rsidRPr="007F4C68">
        <w:rPr>
          <w:rFonts w:asciiTheme="majorBidi" w:hAnsiTheme="majorBidi" w:cstheme="majorBidi"/>
          <w:sz w:val="21"/>
          <w:bdr w:val="none" w:sz="0" w:space="0" w:color="auto" w:frame="1"/>
        </w:rPr>
        <w:t xml:space="preserve">In July 2024, the Company issued to the public NIS 645 million par value Debentures (Series T) secured, among other things, by a mortgage on an income producing property of a wholly-owned (indirectly) subsidiary of the Company (the “Property Company”) in Warsaw, Poland, and all the shares of the company that holds the mortgaged property (the “Parent Company”) and a shareholders loan that is pledged to the Property Company, for net consideration of NIS 637 million.  The principal and interest for debentures (Series T) are linked to the CPI and are subject to the mechanism described in section </w:t>
      </w:r>
      <w:proofErr w:type="spellStart"/>
      <w:r w:rsidR="00D1395A">
        <w:rPr>
          <w:rFonts w:asciiTheme="majorBidi" w:hAnsiTheme="majorBidi" w:cstheme="majorBidi"/>
          <w:sz w:val="21"/>
          <w:bdr w:val="none" w:sz="0" w:space="0" w:color="auto" w:frame="1"/>
        </w:rPr>
        <w:t>fF</w:t>
      </w:r>
      <w:proofErr w:type="spellEnd"/>
      <w:r w:rsidRPr="007F4C68">
        <w:rPr>
          <w:rFonts w:asciiTheme="majorBidi" w:hAnsiTheme="majorBidi" w:cstheme="majorBidi"/>
          <w:sz w:val="21"/>
          <w:bdr w:val="none" w:sz="0" w:space="0" w:color="auto" w:frame="1"/>
        </w:rPr>
        <w:t xml:space="preserve"> overleaf of the deed of trust signed between the Company and the trustee for the debentures (the “Deed of Trust”). Furthermore, the principal will be repaid in 10 semi-annual installments, as follows: 9 installments in amounts equivalent to 2% each of the principal, to be paid on March 31 and September 30 of each year from 2026 through 2030 (inclusive) (commencing March 31, 2026 through March 31, 2030), and the final installment of 82% of the principal will be paid on September 30, 2030. The debentures bear annual interest of 4.24%. For further information, see Note 5D to the consolidated financial statements.</w:t>
      </w:r>
    </w:p>
    <w:p w14:paraId="259D9794" w14:textId="77777777" w:rsidR="007F4C68" w:rsidRPr="007F4C68" w:rsidRDefault="007F4C68" w:rsidP="007F4C68">
      <w:pPr>
        <w:pStyle w:val="ListParagraph"/>
        <w:keepLines/>
        <w:numPr>
          <w:ilvl w:val="0"/>
          <w:numId w:val="68"/>
        </w:numPr>
        <w:tabs>
          <w:tab w:val="left" w:pos="425"/>
        </w:tabs>
        <w:spacing w:before="60" w:after="60" w:line="276" w:lineRule="auto"/>
        <w:ind w:left="426" w:hanging="426"/>
        <w:rPr>
          <w:rFonts w:asciiTheme="majorBidi" w:eastAsia="Calibri" w:hAnsiTheme="majorBidi" w:cstheme="majorBidi"/>
          <w:sz w:val="21"/>
          <w:szCs w:val="21"/>
          <w:bdr w:val="none" w:sz="0" w:space="0" w:color="auto" w:frame="1"/>
        </w:rPr>
      </w:pPr>
      <w:r w:rsidRPr="007F4C68">
        <w:rPr>
          <w:rFonts w:asciiTheme="majorBidi" w:hAnsiTheme="majorBidi" w:cstheme="majorBidi"/>
          <w:sz w:val="21"/>
          <w:bdr w:val="none" w:sz="0" w:space="0" w:color="auto" w:frame="1"/>
        </w:rPr>
        <w:t xml:space="preserve">In July 2024, the Company issued, under a private placement, by means of expansion of a marketable series, NIS 200 million par value Debentures (Series N) (which are unsecured) for a gross consideration of NIS 191 million and at effective interest of 6.03% (CPI-linked). </w:t>
      </w:r>
    </w:p>
    <w:p w14:paraId="29CCE29B" w14:textId="77777777" w:rsidR="007F4C68" w:rsidRPr="007F4C68" w:rsidRDefault="007F4C68" w:rsidP="007F4C68">
      <w:pPr>
        <w:pStyle w:val="ListParagraph"/>
        <w:keepLines/>
        <w:numPr>
          <w:ilvl w:val="0"/>
          <w:numId w:val="68"/>
        </w:numPr>
        <w:tabs>
          <w:tab w:val="left" w:pos="425"/>
        </w:tabs>
        <w:spacing w:before="60" w:after="60" w:line="276" w:lineRule="auto"/>
        <w:ind w:left="426" w:hanging="426"/>
        <w:rPr>
          <w:rFonts w:asciiTheme="majorBidi" w:eastAsia="Calibri" w:hAnsiTheme="majorBidi" w:cstheme="majorBidi"/>
          <w:sz w:val="21"/>
          <w:szCs w:val="21"/>
          <w:bdr w:val="none" w:sz="0" w:space="0" w:color="auto" w:frame="1"/>
        </w:rPr>
      </w:pPr>
      <w:r w:rsidRPr="007F4C68">
        <w:rPr>
          <w:rFonts w:asciiTheme="majorBidi" w:hAnsiTheme="majorBidi" w:cstheme="majorBidi"/>
          <w:sz w:val="21"/>
          <w:bdr w:val="none" w:sz="0" w:space="0" w:color="auto" w:frame="1"/>
        </w:rPr>
        <w:t xml:space="preserve">On July 1, 2024, </w:t>
      </w:r>
      <w:proofErr w:type="spellStart"/>
      <w:r w:rsidRPr="007F4C68">
        <w:rPr>
          <w:rFonts w:asciiTheme="majorBidi" w:hAnsiTheme="majorBidi" w:cstheme="majorBidi"/>
          <w:sz w:val="21"/>
          <w:bdr w:val="none" w:sz="0" w:space="0" w:color="auto" w:frame="1"/>
        </w:rPr>
        <w:t>Midroog</w:t>
      </w:r>
      <w:proofErr w:type="spellEnd"/>
      <w:r w:rsidRPr="007F4C68">
        <w:rPr>
          <w:rFonts w:asciiTheme="majorBidi" w:hAnsiTheme="majorBidi" w:cstheme="majorBidi"/>
          <w:sz w:val="21"/>
          <w:bdr w:val="none" w:sz="0" w:space="0" w:color="auto" w:frame="1"/>
        </w:rPr>
        <w:t xml:space="preserve"> rating agency set the credit rating of the Company's Debentures (Series T) as A2.il, with stable outlook.</w:t>
      </w:r>
    </w:p>
    <w:p w14:paraId="341E25FB" w14:textId="77777777" w:rsidR="007F4C68" w:rsidRPr="007F4C68" w:rsidRDefault="007F4C68" w:rsidP="007F4C68">
      <w:pPr>
        <w:pStyle w:val="ListParagraph"/>
        <w:keepLines/>
        <w:numPr>
          <w:ilvl w:val="0"/>
          <w:numId w:val="68"/>
        </w:numPr>
        <w:tabs>
          <w:tab w:val="left" w:pos="425"/>
        </w:tabs>
        <w:spacing w:before="60" w:after="60" w:line="276" w:lineRule="auto"/>
        <w:ind w:left="426" w:hanging="426"/>
        <w:rPr>
          <w:rFonts w:asciiTheme="majorBidi" w:eastAsia="Calibri" w:hAnsiTheme="majorBidi" w:cstheme="majorBidi"/>
          <w:sz w:val="21"/>
          <w:szCs w:val="21"/>
          <w:bdr w:val="none" w:sz="0" w:space="0" w:color="auto" w:frame="1"/>
        </w:rPr>
      </w:pPr>
      <w:r w:rsidRPr="007F4C68">
        <w:rPr>
          <w:rFonts w:asciiTheme="majorBidi" w:hAnsiTheme="majorBidi" w:cstheme="majorBidi"/>
          <w:sz w:val="21"/>
          <w:bdr w:val="none" w:sz="0" w:space="0" w:color="auto" w:frame="1"/>
        </w:rPr>
        <w:t xml:space="preserve">On July 1, 2024, the S&amp;P </w:t>
      </w:r>
      <w:proofErr w:type="spellStart"/>
      <w:r w:rsidRPr="007F4C68">
        <w:rPr>
          <w:rFonts w:asciiTheme="majorBidi" w:hAnsiTheme="majorBidi" w:cstheme="majorBidi"/>
          <w:sz w:val="21"/>
          <w:bdr w:val="none" w:sz="0" w:space="0" w:color="auto" w:frame="1"/>
        </w:rPr>
        <w:t>Maalot</w:t>
      </w:r>
      <w:proofErr w:type="spellEnd"/>
      <w:r w:rsidRPr="007F4C68">
        <w:rPr>
          <w:rFonts w:asciiTheme="majorBidi" w:hAnsiTheme="majorBidi" w:cstheme="majorBidi"/>
          <w:sz w:val="21"/>
          <w:bdr w:val="none" w:sz="0" w:space="0" w:color="auto" w:frame="1"/>
        </w:rPr>
        <w:t xml:space="preserve"> rating agency set the credit rating for the Company’s Debentures (Series K, L, M, N, P, Q, and S) as A3.il, with stable outlook.</w:t>
      </w:r>
    </w:p>
    <w:p w14:paraId="03A3E794" w14:textId="77777777" w:rsidR="007F4C68" w:rsidRPr="007F4C68" w:rsidRDefault="007F4C68" w:rsidP="007F4C68">
      <w:pPr>
        <w:pStyle w:val="ListParagraph"/>
        <w:keepLines/>
        <w:numPr>
          <w:ilvl w:val="0"/>
          <w:numId w:val="68"/>
        </w:numPr>
        <w:tabs>
          <w:tab w:val="left" w:pos="425"/>
        </w:tabs>
        <w:spacing w:before="60" w:after="60" w:line="276" w:lineRule="auto"/>
        <w:ind w:left="426" w:hanging="426"/>
        <w:rPr>
          <w:rFonts w:asciiTheme="majorBidi" w:eastAsia="Calibri" w:hAnsiTheme="majorBidi" w:cstheme="majorBidi"/>
          <w:sz w:val="21"/>
          <w:szCs w:val="21"/>
          <w:bdr w:val="none" w:sz="0" w:space="0" w:color="auto" w:frame="1"/>
        </w:rPr>
      </w:pPr>
      <w:r w:rsidRPr="007F4C68">
        <w:rPr>
          <w:rFonts w:asciiTheme="majorBidi" w:hAnsiTheme="majorBidi" w:cstheme="majorBidi"/>
          <w:sz w:val="21"/>
          <w:bdr w:val="none" w:sz="0" w:space="0" w:color="auto" w:frame="1"/>
        </w:rPr>
        <w:t xml:space="preserve">On July 1, 2024, </w:t>
      </w:r>
      <w:proofErr w:type="spellStart"/>
      <w:r w:rsidRPr="007F4C68">
        <w:rPr>
          <w:rFonts w:asciiTheme="majorBidi" w:hAnsiTheme="majorBidi" w:cstheme="majorBidi"/>
          <w:sz w:val="21"/>
          <w:bdr w:val="none" w:sz="0" w:space="0" w:color="auto" w:frame="1"/>
        </w:rPr>
        <w:t>Midroog</w:t>
      </w:r>
      <w:proofErr w:type="spellEnd"/>
      <w:r w:rsidRPr="007F4C68">
        <w:rPr>
          <w:rFonts w:asciiTheme="majorBidi" w:hAnsiTheme="majorBidi" w:cstheme="majorBidi"/>
          <w:sz w:val="21"/>
          <w:bdr w:val="none" w:sz="0" w:space="0" w:color="auto" w:frame="1"/>
        </w:rPr>
        <w:t xml:space="preserve"> rating agency set the credit rating of the Company's Debentures (Series O, R) as A2.il, and revised the negative outlook to stable.</w:t>
      </w:r>
    </w:p>
    <w:p w14:paraId="41F7C0A1" w14:textId="77777777" w:rsidR="007F4C68" w:rsidRPr="007F4C68" w:rsidRDefault="007F4C68" w:rsidP="007F4C68">
      <w:pPr>
        <w:pStyle w:val="ListParagraph"/>
        <w:keepLines/>
        <w:numPr>
          <w:ilvl w:val="0"/>
          <w:numId w:val="68"/>
        </w:numPr>
        <w:tabs>
          <w:tab w:val="left" w:pos="425"/>
        </w:tabs>
        <w:spacing w:before="60" w:after="60" w:line="276" w:lineRule="auto"/>
        <w:ind w:left="426" w:hanging="426"/>
        <w:rPr>
          <w:rFonts w:asciiTheme="majorBidi" w:eastAsia="Calibri" w:hAnsiTheme="majorBidi" w:cstheme="majorBidi"/>
          <w:sz w:val="21"/>
          <w:szCs w:val="21"/>
          <w:bdr w:val="none" w:sz="0" w:space="0" w:color="auto" w:frame="1"/>
        </w:rPr>
      </w:pPr>
      <w:r w:rsidRPr="007F4C68">
        <w:rPr>
          <w:rFonts w:asciiTheme="majorBidi" w:hAnsiTheme="majorBidi" w:cstheme="majorBidi"/>
          <w:sz w:val="21"/>
          <w:bdr w:val="none" w:sz="0" w:space="0" w:color="auto" w:frame="1"/>
        </w:rPr>
        <w:t xml:space="preserve">On July 11, 2024, </w:t>
      </w:r>
      <w:proofErr w:type="spellStart"/>
      <w:r w:rsidRPr="007F4C68">
        <w:rPr>
          <w:rFonts w:asciiTheme="majorBidi" w:hAnsiTheme="majorBidi" w:cstheme="majorBidi"/>
          <w:sz w:val="21"/>
          <w:bdr w:val="none" w:sz="0" w:space="0" w:color="auto" w:frame="1"/>
        </w:rPr>
        <w:t>Midroog</w:t>
      </w:r>
      <w:proofErr w:type="spellEnd"/>
      <w:r w:rsidRPr="007F4C68">
        <w:rPr>
          <w:rFonts w:asciiTheme="majorBidi" w:hAnsiTheme="majorBidi" w:cstheme="majorBidi"/>
          <w:sz w:val="21"/>
          <w:bdr w:val="none" w:sz="0" w:space="0" w:color="auto" w:frame="1"/>
        </w:rPr>
        <w:t xml:space="preserve"> rating agency set the credit rating of the Company's Debentures (Series N) as A3.il, with stable outlook.</w:t>
      </w:r>
    </w:p>
    <w:p w14:paraId="58A5AC3D" w14:textId="66D7ABA6" w:rsidR="007F4C68" w:rsidRPr="007F4C68" w:rsidRDefault="007F4C68" w:rsidP="007F4C68">
      <w:pPr>
        <w:pStyle w:val="ListParagraph"/>
        <w:keepLines/>
        <w:numPr>
          <w:ilvl w:val="0"/>
          <w:numId w:val="68"/>
        </w:numPr>
        <w:tabs>
          <w:tab w:val="left" w:pos="425"/>
        </w:tabs>
        <w:spacing w:before="60" w:after="60" w:line="276" w:lineRule="auto"/>
        <w:ind w:left="426" w:hanging="426"/>
        <w:rPr>
          <w:rFonts w:asciiTheme="majorBidi" w:eastAsia="Calibri" w:hAnsiTheme="majorBidi" w:cstheme="majorBidi"/>
          <w:sz w:val="21"/>
          <w:szCs w:val="21"/>
          <w:bdr w:val="none" w:sz="0" w:space="0" w:color="auto" w:frame="1"/>
        </w:rPr>
      </w:pPr>
      <w:r w:rsidRPr="007F4C68">
        <w:rPr>
          <w:rFonts w:asciiTheme="majorBidi" w:hAnsiTheme="majorBidi" w:cstheme="majorBidi"/>
          <w:sz w:val="21"/>
          <w:bdr w:val="none" w:sz="0" w:space="0" w:color="auto" w:frame="1"/>
        </w:rPr>
        <w:t xml:space="preserve">On July 11, 2024, the S&amp;P </w:t>
      </w:r>
      <w:proofErr w:type="spellStart"/>
      <w:r w:rsidRPr="007F4C68">
        <w:rPr>
          <w:rFonts w:asciiTheme="majorBidi" w:hAnsiTheme="majorBidi" w:cstheme="majorBidi"/>
          <w:sz w:val="21"/>
          <w:bdr w:val="none" w:sz="0" w:space="0" w:color="auto" w:frame="1"/>
        </w:rPr>
        <w:t>Maalot</w:t>
      </w:r>
      <w:proofErr w:type="spellEnd"/>
      <w:r w:rsidRPr="007F4C68">
        <w:rPr>
          <w:rFonts w:asciiTheme="majorBidi" w:hAnsiTheme="majorBidi" w:cstheme="majorBidi"/>
          <w:sz w:val="21"/>
          <w:bdr w:val="none" w:sz="0" w:space="0" w:color="auto" w:frame="1"/>
        </w:rPr>
        <w:t xml:space="preserve"> rating agency set the credit rating for the Company’s Debentures (Series </w:t>
      </w:r>
      <w:r w:rsidR="006C4351">
        <w:rPr>
          <w:rFonts w:asciiTheme="majorBidi" w:hAnsiTheme="majorBidi" w:cstheme="majorBidi"/>
          <w:sz w:val="21"/>
          <w:bdr w:val="none" w:sz="0" w:space="0" w:color="auto" w:frame="1"/>
        </w:rPr>
        <w:t>N</w:t>
      </w:r>
      <w:r w:rsidRPr="007F4C68">
        <w:rPr>
          <w:rFonts w:asciiTheme="majorBidi" w:hAnsiTheme="majorBidi" w:cstheme="majorBidi"/>
          <w:sz w:val="21"/>
          <w:bdr w:val="none" w:sz="0" w:space="0" w:color="auto" w:frame="1"/>
        </w:rPr>
        <w:t xml:space="preserve">) as </w:t>
      </w:r>
      <w:r w:rsidR="006C4351">
        <w:rPr>
          <w:rFonts w:asciiTheme="majorBidi" w:hAnsiTheme="majorBidi" w:cstheme="majorBidi" w:hint="cs"/>
          <w:sz w:val="21"/>
          <w:bdr w:val="none" w:sz="0" w:space="0" w:color="auto" w:frame="1"/>
          <w:rtl/>
        </w:rPr>
        <w:t>'</w:t>
      </w:r>
      <w:proofErr w:type="spellStart"/>
      <w:r w:rsidRPr="007F4C68">
        <w:rPr>
          <w:rFonts w:asciiTheme="majorBidi" w:hAnsiTheme="majorBidi" w:cstheme="majorBidi"/>
          <w:sz w:val="21"/>
          <w:bdr w:val="none" w:sz="0" w:space="0" w:color="auto" w:frame="1"/>
        </w:rPr>
        <w:t>ilA</w:t>
      </w:r>
      <w:proofErr w:type="spellEnd"/>
      <w:r w:rsidR="006C4351">
        <w:rPr>
          <w:rFonts w:asciiTheme="majorBidi" w:hAnsiTheme="majorBidi" w:cstheme="majorBidi"/>
          <w:sz w:val="21"/>
          <w:bdr w:val="none" w:sz="0" w:space="0" w:color="auto" w:frame="1"/>
        </w:rPr>
        <w:t>-</w:t>
      </w:r>
      <w:r w:rsidR="006C4351">
        <w:rPr>
          <w:rFonts w:asciiTheme="majorBidi" w:hAnsiTheme="majorBidi" w:cstheme="majorBidi" w:hint="cs"/>
          <w:sz w:val="21"/>
          <w:bdr w:val="none" w:sz="0" w:space="0" w:color="auto" w:frame="1"/>
          <w:rtl/>
        </w:rPr>
        <w:t>'</w:t>
      </w:r>
      <w:r w:rsidRPr="007F4C68">
        <w:rPr>
          <w:rFonts w:asciiTheme="majorBidi" w:hAnsiTheme="majorBidi" w:cstheme="majorBidi"/>
          <w:sz w:val="21"/>
          <w:bdr w:val="none" w:sz="0" w:space="0" w:color="auto" w:frame="1"/>
        </w:rPr>
        <w:t>, with stable outlook.</w:t>
      </w:r>
    </w:p>
    <w:p w14:paraId="66CD9280" w14:textId="61592A3E" w:rsidR="007F4C68" w:rsidRPr="007F4C68" w:rsidRDefault="007F4C68" w:rsidP="007F4C68">
      <w:pPr>
        <w:pStyle w:val="ListParagraph"/>
        <w:keepLines/>
        <w:numPr>
          <w:ilvl w:val="0"/>
          <w:numId w:val="68"/>
        </w:numPr>
        <w:tabs>
          <w:tab w:val="left" w:pos="425"/>
        </w:tabs>
        <w:spacing w:before="60" w:after="60" w:line="276" w:lineRule="auto"/>
        <w:ind w:left="426" w:hanging="426"/>
        <w:rPr>
          <w:rFonts w:asciiTheme="majorBidi" w:eastAsia="Calibri" w:hAnsiTheme="majorBidi" w:cstheme="majorBidi"/>
          <w:sz w:val="21"/>
          <w:szCs w:val="21"/>
          <w:bdr w:val="none" w:sz="0" w:space="0" w:color="auto" w:frame="1"/>
        </w:rPr>
      </w:pPr>
      <w:r w:rsidRPr="007F4C68">
        <w:rPr>
          <w:rFonts w:asciiTheme="majorBidi" w:hAnsiTheme="majorBidi" w:cstheme="majorBidi"/>
          <w:sz w:val="21"/>
          <w:bdr w:val="none" w:sz="0" w:space="0" w:color="auto" w:frame="1"/>
        </w:rPr>
        <w:t>On August 14, 2024, the Company announced a dividend in the amount of NIS 0</w:t>
      </w:r>
      <w:r w:rsidR="006B45F7">
        <w:rPr>
          <w:rFonts w:asciiTheme="majorBidi" w:hAnsiTheme="majorBidi" w:cstheme="majorBidi"/>
          <w:sz w:val="21"/>
          <w:bdr w:val="none" w:sz="0" w:space="0" w:color="auto" w:frame="1"/>
        </w:rPr>
        <w:t>.10</w:t>
      </w:r>
      <w:r w:rsidRPr="007F4C68">
        <w:rPr>
          <w:rFonts w:asciiTheme="majorBidi" w:hAnsiTheme="majorBidi" w:cstheme="majorBidi"/>
          <w:sz w:val="21"/>
          <w:bdr w:val="none" w:sz="0" w:space="0" w:color="auto" w:frame="1"/>
        </w:rPr>
        <w:t xml:space="preserve"> per share (a total of NIS </w:t>
      </w:r>
      <w:r w:rsidR="006B45F7">
        <w:rPr>
          <w:rFonts w:asciiTheme="majorBidi" w:hAnsiTheme="majorBidi" w:cstheme="majorBidi"/>
          <w:sz w:val="21"/>
          <w:bdr w:val="none" w:sz="0" w:space="0" w:color="auto" w:frame="1"/>
        </w:rPr>
        <w:t>18.2</w:t>
      </w:r>
      <w:r w:rsidRPr="007F4C68">
        <w:rPr>
          <w:rFonts w:asciiTheme="majorBidi" w:hAnsiTheme="majorBidi" w:cstheme="majorBidi"/>
          <w:sz w:val="21"/>
          <w:bdr w:val="none" w:sz="0" w:space="0" w:color="auto" w:frame="1"/>
        </w:rPr>
        <w:t xml:space="preserve"> million), payable on </w:t>
      </w:r>
      <w:r w:rsidR="006B45F7">
        <w:rPr>
          <w:rFonts w:asciiTheme="majorBidi" w:hAnsiTheme="majorBidi" w:cstheme="majorBidi"/>
          <w:sz w:val="21"/>
          <w:bdr w:val="none" w:sz="0" w:space="0" w:color="auto" w:frame="1"/>
        </w:rPr>
        <w:t>September 9, 2024,</w:t>
      </w:r>
      <w:r w:rsidRPr="007F4C68">
        <w:rPr>
          <w:rFonts w:asciiTheme="majorBidi" w:hAnsiTheme="majorBidi" w:cstheme="majorBidi"/>
          <w:sz w:val="21"/>
          <w:bdr w:val="none" w:sz="0" w:space="0" w:color="auto" w:frame="1"/>
        </w:rPr>
        <w:t xml:space="preserve"> to the shareholders of the Company on </w:t>
      </w:r>
      <w:r w:rsidR="006B45F7">
        <w:rPr>
          <w:rFonts w:asciiTheme="majorBidi" w:hAnsiTheme="majorBidi" w:cstheme="majorBidi"/>
          <w:sz w:val="21"/>
          <w:bdr w:val="none" w:sz="0" w:space="0" w:color="auto" w:frame="1"/>
        </w:rPr>
        <w:t>august 29, 2024.</w:t>
      </w:r>
    </w:p>
    <w:p w14:paraId="777A1961" w14:textId="77777777" w:rsidR="007F4C68" w:rsidRPr="007F4C68" w:rsidRDefault="007F4C68" w:rsidP="007F4C68">
      <w:pPr>
        <w:pStyle w:val="ListParagraph"/>
        <w:keepLines/>
        <w:tabs>
          <w:tab w:val="left" w:pos="425"/>
        </w:tabs>
        <w:ind w:left="0"/>
        <w:rPr>
          <w:rFonts w:asciiTheme="majorBidi" w:eastAsia="Calibri" w:hAnsiTheme="majorBidi" w:cstheme="majorBidi"/>
          <w:sz w:val="21"/>
          <w:szCs w:val="21"/>
          <w:bdr w:val="none" w:sz="0" w:space="0" w:color="auto" w:frame="1"/>
        </w:rPr>
      </w:pPr>
    </w:p>
    <w:p w14:paraId="5356297C" w14:textId="77777777" w:rsidR="002459BC" w:rsidRDefault="00F20083">
      <w:pPr>
        <w:spacing w:before="0" w:after="200"/>
        <w:jc w:val="left"/>
        <w:rPr>
          <w:rFonts w:asciiTheme="majorBidi" w:eastAsia="Calibri" w:hAnsiTheme="majorBidi" w:cstheme="majorBidi"/>
          <w:sz w:val="21"/>
          <w:szCs w:val="21"/>
          <w:bdr w:val="none" w:sz="0" w:space="0" w:color="auto" w:frame="1"/>
        </w:rPr>
        <w:sectPr w:rsidR="002459BC" w:rsidSect="00066AAA">
          <w:footnotePr>
            <w:numRestart w:val="eachPage"/>
          </w:footnotePr>
          <w:pgSz w:w="11906" w:h="16838"/>
          <w:pgMar w:top="1286" w:right="1134" w:bottom="1134" w:left="851" w:header="567" w:footer="567" w:gutter="0"/>
          <w:pgBorders>
            <w:top w:val="nil"/>
            <w:left w:val="nil"/>
            <w:bottom w:val="nil"/>
            <w:right w:val="nil"/>
          </w:pgBorders>
          <w:cols w:space="708"/>
          <w:bidi/>
          <w:rtlGutter/>
          <w:docGrid w:linePitch="360"/>
        </w:sectPr>
      </w:pPr>
      <w:r>
        <w:rPr>
          <w:rFonts w:asciiTheme="majorBidi" w:eastAsia="Calibri" w:hAnsiTheme="majorBidi" w:cstheme="majorBidi"/>
          <w:sz w:val="21"/>
          <w:szCs w:val="21"/>
          <w:bdr w:val="none" w:sz="0" w:space="0" w:color="auto" w:frame="1"/>
        </w:rPr>
        <w:br w:type="page"/>
      </w:r>
    </w:p>
    <w:p w14:paraId="222C991F" w14:textId="6051758B" w:rsidR="00F20083" w:rsidRDefault="00F20083">
      <w:pPr>
        <w:spacing w:before="0" w:after="200"/>
        <w:jc w:val="left"/>
        <w:rPr>
          <w:rFonts w:asciiTheme="majorBidi" w:eastAsia="Calibri" w:hAnsiTheme="majorBidi" w:cstheme="majorBidi"/>
          <w:sz w:val="21"/>
          <w:szCs w:val="21"/>
          <w:bdr w:val="none" w:sz="0" w:space="0" w:color="auto" w:frame="1"/>
        </w:rPr>
      </w:pPr>
    </w:p>
    <w:p w14:paraId="6104439F" w14:textId="77777777" w:rsidR="00066AAA" w:rsidRDefault="00066AAA">
      <w:pPr>
        <w:spacing w:before="0" w:after="200"/>
        <w:jc w:val="left"/>
        <w:rPr>
          <w:rFonts w:asciiTheme="majorBidi" w:eastAsia="Calibri" w:hAnsiTheme="majorBidi" w:cstheme="majorBidi"/>
          <w:sz w:val="21"/>
          <w:szCs w:val="21"/>
          <w:bdr w:val="none" w:sz="0" w:space="0" w:color="auto" w:frame="1"/>
        </w:rPr>
      </w:pPr>
    </w:p>
    <w:p w14:paraId="649A361C" w14:textId="77777777" w:rsidR="00066AAA" w:rsidRDefault="00066AAA">
      <w:pPr>
        <w:spacing w:before="0" w:after="200"/>
        <w:jc w:val="left"/>
        <w:rPr>
          <w:rFonts w:asciiTheme="majorBidi" w:eastAsia="Calibri" w:hAnsiTheme="majorBidi" w:cstheme="majorBidi"/>
          <w:sz w:val="21"/>
          <w:szCs w:val="21"/>
          <w:bdr w:val="none" w:sz="0" w:space="0" w:color="auto" w:frame="1"/>
        </w:rPr>
      </w:pPr>
    </w:p>
    <w:p w14:paraId="1ACAB1D0" w14:textId="77777777" w:rsidR="00066AAA" w:rsidRDefault="00066AAA">
      <w:pPr>
        <w:spacing w:before="0" w:after="200"/>
        <w:jc w:val="left"/>
        <w:rPr>
          <w:rFonts w:asciiTheme="majorBidi" w:eastAsia="Calibri" w:hAnsiTheme="majorBidi" w:cstheme="majorBidi"/>
          <w:sz w:val="21"/>
          <w:szCs w:val="21"/>
          <w:bdr w:val="none" w:sz="0" w:space="0" w:color="auto" w:frame="1"/>
        </w:rPr>
      </w:pPr>
    </w:p>
    <w:p w14:paraId="3D48A682" w14:textId="77777777" w:rsidR="00066AAA" w:rsidRDefault="00066AAA">
      <w:pPr>
        <w:spacing w:before="0" w:after="200"/>
        <w:jc w:val="left"/>
        <w:rPr>
          <w:rFonts w:asciiTheme="majorBidi" w:eastAsia="Calibri" w:hAnsiTheme="majorBidi" w:cstheme="majorBidi"/>
          <w:sz w:val="21"/>
          <w:szCs w:val="21"/>
          <w:bdr w:val="none" w:sz="0" w:space="0" w:color="auto" w:frame="1"/>
        </w:rPr>
      </w:pPr>
    </w:p>
    <w:p w14:paraId="5BABA45E" w14:textId="77777777" w:rsidR="00066AAA" w:rsidRDefault="00066AAA">
      <w:pPr>
        <w:spacing w:before="0" w:after="200"/>
        <w:jc w:val="left"/>
        <w:rPr>
          <w:rFonts w:asciiTheme="majorBidi" w:eastAsia="Calibri" w:hAnsiTheme="majorBidi" w:cstheme="majorBidi"/>
          <w:sz w:val="21"/>
          <w:szCs w:val="21"/>
          <w:bdr w:val="none" w:sz="0" w:space="0" w:color="auto" w:frame="1"/>
        </w:rPr>
      </w:pPr>
    </w:p>
    <w:p w14:paraId="009B1A9B" w14:textId="77777777" w:rsidR="00066AAA" w:rsidRDefault="00066AAA">
      <w:pPr>
        <w:spacing w:before="0" w:after="200"/>
        <w:jc w:val="left"/>
        <w:rPr>
          <w:rFonts w:asciiTheme="majorBidi" w:eastAsia="Calibri" w:hAnsiTheme="majorBidi" w:cstheme="majorBidi"/>
          <w:sz w:val="21"/>
          <w:szCs w:val="21"/>
          <w:bdr w:val="none" w:sz="0" w:space="0" w:color="auto" w:frame="1"/>
        </w:rPr>
      </w:pPr>
    </w:p>
    <w:p w14:paraId="2C5A0AF9" w14:textId="77777777" w:rsidR="00066AAA" w:rsidRDefault="00066AAA">
      <w:pPr>
        <w:spacing w:before="0" w:after="200"/>
        <w:jc w:val="left"/>
        <w:rPr>
          <w:rFonts w:asciiTheme="majorBidi" w:eastAsia="Calibri" w:hAnsiTheme="majorBidi" w:cstheme="majorBidi"/>
          <w:sz w:val="21"/>
          <w:szCs w:val="21"/>
          <w:bdr w:val="none" w:sz="0" w:space="0" w:color="auto" w:frame="1"/>
        </w:rPr>
      </w:pPr>
    </w:p>
    <w:p w14:paraId="30172E24" w14:textId="77777777" w:rsidR="007F4C68" w:rsidRPr="007F4C68" w:rsidRDefault="007F4C68" w:rsidP="007F4C68">
      <w:pPr>
        <w:pStyle w:val="ListParagraph"/>
        <w:keepLines/>
        <w:tabs>
          <w:tab w:val="left" w:pos="425"/>
        </w:tabs>
        <w:ind w:left="0"/>
        <w:rPr>
          <w:rFonts w:asciiTheme="majorBidi" w:eastAsia="Calibri" w:hAnsiTheme="majorBidi" w:cstheme="majorBidi"/>
          <w:sz w:val="21"/>
          <w:szCs w:val="21"/>
          <w:bdr w:val="none" w:sz="0" w:space="0" w:color="auto" w:frame="1"/>
        </w:rPr>
      </w:pPr>
    </w:p>
    <w:p w14:paraId="4C9A55B5" w14:textId="4578762D" w:rsidR="00066AAA" w:rsidRPr="00066AAA" w:rsidRDefault="0075424D" w:rsidP="00066AAA">
      <w:pPr>
        <w:pStyle w:val="ListParagraph"/>
        <w:spacing w:beforeLines="60" w:before="144" w:afterLines="60" w:after="144"/>
        <w:ind w:left="1287" w:right="850"/>
        <w:jc w:val="center"/>
        <w:outlineLvl w:val="1"/>
        <w:rPr>
          <w:rFonts w:asciiTheme="majorBidi" w:hAnsiTheme="majorBidi" w:cstheme="majorBidi"/>
          <w:b/>
          <w:bCs/>
          <w:u w:val="single"/>
        </w:rPr>
      </w:pPr>
      <w:r w:rsidRPr="00066AAA">
        <w:rPr>
          <w:rFonts w:asciiTheme="majorBidi" w:hAnsiTheme="majorBidi" w:cstheme="majorBidi"/>
          <w:vanish/>
          <w:color w:val="000000"/>
          <w:highlight w:val="yellow"/>
        </w:rPr>
        <w:t xml:space="preserve"> </w:t>
      </w:r>
      <w:bookmarkStart w:id="203" w:name="H2_דוח_רבעוני_בדבר_אפקטיביות_הבקרה_הפנימ"/>
      <w:r w:rsidR="00066AAA" w:rsidRPr="00066AAA">
        <w:rPr>
          <w:rFonts w:asciiTheme="majorBidi" w:hAnsiTheme="majorBidi" w:cstheme="majorBidi"/>
          <w:b/>
          <w:sz w:val="28"/>
        </w:rPr>
        <w:t>Quarterly Report regarding the Effectiveness of the Internal Control over the Financial Reporting and Disclosure pursuant to Regulation 38C(a) of the Securities Regulations in Israel</w:t>
      </w:r>
    </w:p>
    <w:bookmarkEnd w:id="203"/>
    <w:p w14:paraId="57D6D25A" w14:textId="77777777" w:rsidR="00066AAA" w:rsidRPr="00066AAA" w:rsidRDefault="00066AAA" w:rsidP="00066AAA">
      <w:pPr>
        <w:spacing w:before="0" w:after="200"/>
        <w:ind w:left="567" w:right="850"/>
        <w:jc w:val="left"/>
        <w:rPr>
          <w:rFonts w:asciiTheme="majorBidi" w:hAnsiTheme="majorBidi" w:cstheme="majorBidi"/>
          <w:b/>
          <w:bCs/>
          <w:u w:val="single"/>
        </w:rPr>
      </w:pPr>
    </w:p>
    <w:p w14:paraId="6750991D" w14:textId="77777777" w:rsidR="00066AAA" w:rsidRPr="00066AAA" w:rsidRDefault="00066AAA" w:rsidP="00066AAA">
      <w:pPr>
        <w:pStyle w:val="ListParagraph"/>
        <w:spacing w:beforeLines="60" w:before="144" w:afterLines="60" w:after="144"/>
        <w:jc w:val="center"/>
        <w:rPr>
          <w:rFonts w:asciiTheme="majorBidi" w:hAnsiTheme="majorBidi" w:cstheme="majorBidi"/>
          <w:b/>
          <w:bCs/>
          <w:u w:val="single"/>
          <w:rtl/>
        </w:rPr>
      </w:pPr>
    </w:p>
    <w:p w14:paraId="1A0EE63F" w14:textId="77777777" w:rsidR="00066AAA" w:rsidRPr="00066AAA" w:rsidRDefault="00066AAA" w:rsidP="00066AAA">
      <w:pPr>
        <w:pStyle w:val="ListParagraph"/>
        <w:spacing w:beforeLines="60" w:before="144" w:afterLines="60" w:after="144"/>
        <w:jc w:val="center"/>
        <w:rPr>
          <w:rFonts w:asciiTheme="majorBidi" w:hAnsiTheme="majorBidi" w:cstheme="majorBidi"/>
          <w:b/>
          <w:bCs/>
          <w:u w:val="single"/>
        </w:rPr>
      </w:pPr>
    </w:p>
    <w:p w14:paraId="48A3CA44" w14:textId="77777777" w:rsidR="00066AAA" w:rsidRPr="00066AAA" w:rsidRDefault="00066AAA" w:rsidP="00066AAA">
      <w:pPr>
        <w:pStyle w:val="ListParagraph"/>
        <w:spacing w:beforeLines="60" w:before="144" w:afterLines="60" w:after="144"/>
        <w:jc w:val="center"/>
        <w:rPr>
          <w:rFonts w:asciiTheme="majorBidi" w:hAnsiTheme="majorBidi" w:cstheme="majorBidi"/>
          <w:b/>
          <w:bCs/>
          <w:u w:val="single"/>
        </w:rPr>
      </w:pPr>
    </w:p>
    <w:p w14:paraId="4E936234" w14:textId="77777777" w:rsidR="00066AAA" w:rsidRPr="00066AAA" w:rsidRDefault="00066AAA" w:rsidP="00066AAA">
      <w:pPr>
        <w:pStyle w:val="ListParagraph"/>
        <w:spacing w:beforeLines="60" w:before="144" w:afterLines="60" w:after="144"/>
        <w:jc w:val="center"/>
        <w:rPr>
          <w:rFonts w:asciiTheme="majorBidi" w:hAnsiTheme="majorBidi" w:cstheme="majorBidi"/>
          <w:b/>
          <w:bCs/>
          <w:u w:val="single"/>
        </w:rPr>
      </w:pPr>
    </w:p>
    <w:p w14:paraId="072B3405" w14:textId="77777777" w:rsidR="00066AAA" w:rsidRPr="00066AAA" w:rsidRDefault="00066AAA" w:rsidP="00066AAA">
      <w:pPr>
        <w:pStyle w:val="ListParagraph"/>
        <w:spacing w:beforeLines="60" w:before="144" w:afterLines="60" w:after="144"/>
        <w:jc w:val="center"/>
        <w:rPr>
          <w:rFonts w:asciiTheme="majorBidi" w:hAnsiTheme="majorBidi" w:cstheme="majorBidi"/>
          <w:b/>
          <w:bCs/>
          <w:u w:val="single"/>
        </w:rPr>
      </w:pPr>
    </w:p>
    <w:p w14:paraId="1F77501A" w14:textId="77777777" w:rsidR="00066AAA" w:rsidRPr="00066AAA" w:rsidRDefault="00066AAA" w:rsidP="00066AAA">
      <w:pPr>
        <w:pStyle w:val="ListParagraph"/>
        <w:spacing w:beforeLines="60" w:before="144" w:afterLines="60" w:after="144"/>
        <w:jc w:val="center"/>
        <w:rPr>
          <w:rFonts w:asciiTheme="majorBidi" w:hAnsiTheme="majorBidi" w:cstheme="majorBidi"/>
          <w:b/>
          <w:bCs/>
          <w:u w:val="single"/>
        </w:rPr>
      </w:pPr>
    </w:p>
    <w:p w14:paraId="3F48B655" w14:textId="77777777" w:rsidR="00066AAA" w:rsidRPr="00066AAA" w:rsidRDefault="00066AAA" w:rsidP="00066AAA">
      <w:pPr>
        <w:pStyle w:val="ListParagraph"/>
        <w:spacing w:beforeLines="60" w:before="144" w:afterLines="60" w:after="144"/>
        <w:jc w:val="center"/>
        <w:rPr>
          <w:rFonts w:asciiTheme="majorBidi" w:hAnsiTheme="majorBidi" w:cstheme="majorBidi"/>
          <w:b/>
          <w:bCs/>
          <w:u w:val="single"/>
        </w:rPr>
      </w:pPr>
    </w:p>
    <w:p w14:paraId="6387C041" w14:textId="77777777" w:rsidR="00066AAA" w:rsidRPr="00066AAA" w:rsidRDefault="00066AAA" w:rsidP="00066AAA">
      <w:pPr>
        <w:pStyle w:val="ListParagraph"/>
        <w:spacing w:beforeLines="60" w:before="144" w:afterLines="60" w:after="144"/>
        <w:jc w:val="center"/>
        <w:rPr>
          <w:rFonts w:asciiTheme="majorBidi" w:hAnsiTheme="majorBidi" w:cstheme="majorBidi"/>
          <w:b/>
          <w:bCs/>
          <w:u w:val="single"/>
        </w:rPr>
      </w:pPr>
    </w:p>
    <w:p w14:paraId="69E77499" w14:textId="77777777" w:rsidR="00066AAA" w:rsidRPr="00066AAA" w:rsidRDefault="00066AAA" w:rsidP="00066AAA">
      <w:pPr>
        <w:pStyle w:val="ListParagraph"/>
        <w:spacing w:beforeLines="60" w:before="144" w:afterLines="60" w:after="144"/>
        <w:jc w:val="center"/>
        <w:rPr>
          <w:rFonts w:asciiTheme="majorBidi" w:hAnsiTheme="majorBidi" w:cstheme="majorBidi"/>
          <w:b/>
          <w:bCs/>
          <w:u w:val="single"/>
        </w:rPr>
      </w:pPr>
    </w:p>
    <w:p w14:paraId="6F70FC81" w14:textId="77777777" w:rsidR="00066AAA" w:rsidRPr="00066AAA" w:rsidRDefault="00066AAA" w:rsidP="00066AAA">
      <w:pPr>
        <w:pStyle w:val="ListParagraph"/>
        <w:spacing w:beforeLines="60" w:before="144" w:afterLines="60" w:after="144"/>
        <w:jc w:val="center"/>
        <w:rPr>
          <w:rFonts w:asciiTheme="majorBidi" w:hAnsiTheme="majorBidi" w:cstheme="majorBidi"/>
          <w:b/>
          <w:bCs/>
          <w:u w:val="single"/>
        </w:rPr>
      </w:pPr>
    </w:p>
    <w:p w14:paraId="5C93C26B" w14:textId="77777777" w:rsidR="00066AAA" w:rsidRPr="00066AAA" w:rsidRDefault="00066AAA" w:rsidP="00066AAA">
      <w:pPr>
        <w:pStyle w:val="ListParagraph"/>
        <w:spacing w:beforeLines="60" w:before="144" w:afterLines="60" w:after="144"/>
        <w:jc w:val="center"/>
        <w:rPr>
          <w:rFonts w:asciiTheme="majorBidi" w:hAnsiTheme="majorBidi" w:cstheme="majorBidi"/>
          <w:b/>
          <w:bCs/>
          <w:u w:val="single"/>
        </w:rPr>
      </w:pPr>
    </w:p>
    <w:p w14:paraId="2B966FE5" w14:textId="77777777" w:rsidR="00066AAA" w:rsidRPr="00066AAA" w:rsidRDefault="00066AAA" w:rsidP="00066AAA">
      <w:pPr>
        <w:pStyle w:val="ListParagraph"/>
        <w:spacing w:beforeLines="60" w:before="144" w:afterLines="60" w:after="144"/>
        <w:jc w:val="center"/>
        <w:rPr>
          <w:rFonts w:asciiTheme="majorBidi" w:hAnsiTheme="majorBidi" w:cstheme="majorBidi"/>
          <w:b/>
          <w:bCs/>
          <w:u w:val="single"/>
        </w:rPr>
      </w:pPr>
    </w:p>
    <w:p w14:paraId="454F62AE" w14:textId="77777777" w:rsidR="00066AAA" w:rsidRPr="00066AAA" w:rsidRDefault="00066AAA" w:rsidP="00066AAA">
      <w:pPr>
        <w:spacing w:before="0" w:after="200"/>
        <w:jc w:val="left"/>
        <w:rPr>
          <w:rFonts w:asciiTheme="majorBidi" w:hAnsiTheme="majorBidi" w:cstheme="majorBidi"/>
          <w:b/>
          <w:bCs/>
        </w:rPr>
      </w:pPr>
      <w:r w:rsidRPr="00066AAA">
        <w:rPr>
          <w:rFonts w:asciiTheme="majorBidi" w:hAnsiTheme="majorBidi" w:cstheme="majorBidi"/>
        </w:rPr>
        <w:br w:type="page"/>
      </w:r>
      <w:bookmarkStart w:id="204" w:name="H3_דוח_רבעוני_בדבר_אפקטיביות_הבקרה_הפנימ"/>
    </w:p>
    <w:p w14:paraId="118999C9" w14:textId="77777777" w:rsidR="00066AAA" w:rsidRPr="00066AAA" w:rsidRDefault="00066AAA" w:rsidP="00066AAA">
      <w:pPr>
        <w:pStyle w:val="ListParagraph"/>
        <w:tabs>
          <w:tab w:val="left" w:pos="425"/>
        </w:tabs>
        <w:ind w:left="0"/>
        <w:jc w:val="center"/>
        <w:outlineLvl w:val="2"/>
        <w:rPr>
          <w:rFonts w:asciiTheme="majorBidi" w:hAnsiTheme="majorBidi" w:cstheme="majorBidi"/>
          <w:b/>
          <w:bCs/>
          <w:sz w:val="21"/>
          <w:szCs w:val="21"/>
          <w:u w:val="single"/>
        </w:rPr>
      </w:pPr>
      <w:r w:rsidRPr="00066AAA">
        <w:rPr>
          <w:rFonts w:asciiTheme="majorBidi" w:hAnsiTheme="majorBidi" w:cstheme="majorBidi"/>
          <w:b/>
          <w:sz w:val="21"/>
          <w:u w:val="single"/>
        </w:rPr>
        <w:lastRenderedPageBreak/>
        <w:t>Quarterly Report regarding the Effectiveness of the Internal Control over the Financial Reporting and Disclosure pursuant to Regulation 38C(a)</w:t>
      </w:r>
    </w:p>
    <w:p w14:paraId="66DD6F10" w14:textId="77777777" w:rsidR="00066AAA" w:rsidRPr="00066AAA" w:rsidRDefault="00066AAA" w:rsidP="00066AAA">
      <w:pPr>
        <w:pStyle w:val="ListParagraph"/>
        <w:tabs>
          <w:tab w:val="left" w:pos="425"/>
        </w:tabs>
        <w:ind w:left="0"/>
        <w:jc w:val="center"/>
        <w:outlineLvl w:val="2"/>
        <w:rPr>
          <w:rFonts w:asciiTheme="majorBidi" w:hAnsiTheme="majorBidi" w:cstheme="majorBidi"/>
          <w:b/>
          <w:bCs/>
          <w:sz w:val="21"/>
          <w:szCs w:val="21"/>
          <w:u w:val="single"/>
        </w:rPr>
      </w:pPr>
    </w:p>
    <w:bookmarkEnd w:id="204"/>
    <w:p w14:paraId="57FA97BF" w14:textId="77777777" w:rsidR="00066AAA" w:rsidRPr="00066AAA" w:rsidRDefault="00066AAA" w:rsidP="00066AAA">
      <w:pPr>
        <w:pStyle w:val="ListParagraph"/>
        <w:tabs>
          <w:tab w:val="left" w:pos="425"/>
        </w:tabs>
        <w:ind w:left="0"/>
        <w:rPr>
          <w:rFonts w:asciiTheme="majorBidi" w:hAnsiTheme="majorBidi" w:cstheme="majorBidi"/>
          <w:sz w:val="21"/>
          <w:szCs w:val="21"/>
          <w:rtl/>
        </w:rPr>
      </w:pPr>
      <w:r w:rsidRPr="00066AAA">
        <w:rPr>
          <w:rFonts w:asciiTheme="majorBidi" w:hAnsiTheme="majorBidi" w:cstheme="majorBidi"/>
          <w:sz w:val="21"/>
        </w:rPr>
        <w:t>The Management, under the supervision of the Board of Directors of G City Ltd. (the “Corporation”), is responsible for determining and maintaining proper internal control over the Corporation's financial reporting and disclosure.</w:t>
      </w:r>
    </w:p>
    <w:p w14:paraId="439C598C" w14:textId="77777777" w:rsidR="00066AAA" w:rsidRPr="00066AAA" w:rsidRDefault="00066AAA" w:rsidP="00066AAA">
      <w:pPr>
        <w:pStyle w:val="ListParagraph"/>
        <w:tabs>
          <w:tab w:val="left" w:pos="425"/>
        </w:tabs>
        <w:ind w:left="0"/>
        <w:rPr>
          <w:rFonts w:asciiTheme="majorBidi" w:hAnsiTheme="majorBidi" w:cstheme="majorBidi"/>
          <w:sz w:val="21"/>
          <w:szCs w:val="21"/>
        </w:rPr>
      </w:pPr>
      <w:r w:rsidRPr="00066AAA">
        <w:rPr>
          <w:rFonts w:asciiTheme="majorBidi" w:hAnsiTheme="majorBidi" w:cstheme="majorBidi"/>
          <w:sz w:val="21"/>
        </w:rPr>
        <w:t>For the purposes of this matter, the members of management are:</w:t>
      </w:r>
    </w:p>
    <w:p w14:paraId="60241D8F" w14:textId="77777777" w:rsidR="00066AAA" w:rsidRPr="00066AAA" w:rsidRDefault="00066AAA" w:rsidP="00066AAA">
      <w:pPr>
        <w:pStyle w:val="ListParagraph"/>
        <w:numPr>
          <w:ilvl w:val="0"/>
          <w:numId w:val="69"/>
        </w:numPr>
        <w:tabs>
          <w:tab w:val="left" w:pos="425"/>
        </w:tabs>
        <w:spacing w:before="60" w:after="60" w:line="276" w:lineRule="auto"/>
        <w:ind w:left="0" w:firstLine="0"/>
        <w:rPr>
          <w:rFonts w:asciiTheme="majorBidi" w:hAnsiTheme="majorBidi" w:cstheme="majorBidi"/>
          <w:sz w:val="21"/>
          <w:szCs w:val="21"/>
        </w:rPr>
      </w:pPr>
      <w:r w:rsidRPr="00066AAA">
        <w:rPr>
          <w:rFonts w:asciiTheme="majorBidi" w:hAnsiTheme="majorBidi" w:cstheme="majorBidi"/>
          <w:sz w:val="21"/>
        </w:rPr>
        <w:t>Chaim Katzman - Vice Chairman of the of the Board of Directors and CEO;</w:t>
      </w:r>
    </w:p>
    <w:p w14:paraId="648EDEA6" w14:textId="77777777" w:rsidR="00066AAA" w:rsidRPr="00066AAA" w:rsidRDefault="00066AAA" w:rsidP="00066AAA">
      <w:pPr>
        <w:pStyle w:val="ListParagraph"/>
        <w:numPr>
          <w:ilvl w:val="0"/>
          <w:numId w:val="69"/>
        </w:numPr>
        <w:tabs>
          <w:tab w:val="left" w:pos="425"/>
        </w:tabs>
        <w:spacing w:before="60" w:after="60" w:line="276" w:lineRule="auto"/>
        <w:ind w:left="0" w:firstLine="0"/>
        <w:rPr>
          <w:rFonts w:asciiTheme="majorBidi" w:hAnsiTheme="majorBidi" w:cstheme="majorBidi"/>
          <w:sz w:val="21"/>
          <w:szCs w:val="21"/>
        </w:rPr>
      </w:pPr>
      <w:r w:rsidRPr="00066AAA">
        <w:rPr>
          <w:rFonts w:asciiTheme="majorBidi" w:hAnsiTheme="majorBidi" w:cstheme="majorBidi"/>
          <w:sz w:val="21"/>
        </w:rPr>
        <w:t>Gil Kotler, CFO;</w:t>
      </w:r>
    </w:p>
    <w:p w14:paraId="58006F21" w14:textId="77777777" w:rsidR="00066AAA" w:rsidRPr="00066AAA" w:rsidRDefault="00066AAA" w:rsidP="00066AAA">
      <w:pPr>
        <w:pStyle w:val="ListParagraph"/>
        <w:numPr>
          <w:ilvl w:val="0"/>
          <w:numId w:val="69"/>
        </w:numPr>
        <w:tabs>
          <w:tab w:val="left" w:pos="425"/>
        </w:tabs>
        <w:spacing w:before="60" w:after="60" w:line="276" w:lineRule="auto"/>
        <w:ind w:left="0" w:firstLine="0"/>
        <w:rPr>
          <w:rFonts w:asciiTheme="majorBidi" w:hAnsiTheme="majorBidi" w:cstheme="majorBidi"/>
          <w:sz w:val="21"/>
          <w:szCs w:val="21"/>
        </w:rPr>
      </w:pPr>
      <w:r w:rsidRPr="00066AAA">
        <w:rPr>
          <w:rFonts w:asciiTheme="majorBidi" w:hAnsiTheme="majorBidi" w:cstheme="majorBidi"/>
          <w:sz w:val="21"/>
        </w:rPr>
        <w:t>Revital Kahlon, VP and Legal Counsel;</w:t>
      </w:r>
    </w:p>
    <w:p w14:paraId="23B42340" w14:textId="77777777" w:rsidR="00066AAA" w:rsidRPr="00066AAA" w:rsidRDefault="00066AAA" w:rsidP="00066AAA">
      <w:pPr>
        <w:pStyle w:val="ListParagraph"/>
        <w:numPr>
          <w:ilvl w:val="0"/>
          <w:numId w:val="69"/>
        </w:numPr>
        <w:tabs>
          <w:tab w:val="left" w:pos="425"/>
        </w:tabs>
        <w:spacing w:before="60" w:after="60" w:line="276" w:lineRule="auto"/>
        <w:ind w:left="0" w:firstLine="0"/>
        <w:rPr>
          <w:rFonts w:asciiTheme="majorBidi" w:hAnsiTheme="majorBidi" w:cstheme="majorBidi"/>
          <w:sz w:val="21"/>
          <w:szCs w:val="21"/>
        </w:rPr>
      </w:pPr>
      <w:r w:rsidRPr="00066AAA">
        <w:rPr>
          <w:rFonts w:asciiTheme="majorBidi" w:hAnsiTheme="majorBidi" w:cstheme="majorBidi"/>
          <w:sz w:val="21"/>
        </w:rPr>
        <w:t>Eli Mualem, Chief Accounting Officer;</w:t>
      </w:r>
    </w:p>
    <w:p w14:paraId="50B9150E" w14:textId="77777777" w:rsidR="00066AAA" w:rsidRPr="00066AAA" w:rsidRDefault="00066AAA" w:rsidP="00066AAA">
      <w:pPr>
        <w:pStyle w:val="ListParagraph"/>
        <w:tabs>
          <w:tab w:val="left" w:pos="425"/>
        </w:tabs>
        <w:ind w:left="0"/>
        <w:rPr>
          <w:rFonts w:asciiTheme="majorBidi" w:hAnsiTheme="majorBidi" w:cstheme="majorBidi"/>
          <w:sz w:val="21"/>
          <w:szCs w:val="21"/>
        </w:rPr>
      </w:pPr>
      <w:r w:rsidRPr="00066AAA">
        <w:rPr>
          <w:rFonts w:asciiTheme="majorBidi" w:hAnsiTheme="majorBidi" w:cstheme="majorBidi"/>
          <w:sz w:val="21"/>
        </w:rPr>
        <w:t>Internal control over financial reporting and disclosure includes the Corporation's existing controls and procedures, which were designed by the CEO and the most senior officer in the finance area or under their supervision, or by another party actually executing their functions, under the supervision of the Corporation's Board of Directors, which aims to provide reasonable assurance regarding the reliability of financial reporting and preparation of the financial statements in accordance with the applicable laws, and to ensure that information the Corporation is required to disclose in the statements it publishes under applicable laws is gathered, processed, summarized and reported on the date and in the format prescribed by the law.</w:t>
      </w:r>
    </w:p>
    <w:p w14:paraId="6769ACE0" w14:textId="77777777" w:rsidR="00066AAA" w:rsidRPr="00066AAA" w:rsidRDefault="00066AAA" w:rsidP="00066AAA">
      <w:pPr>
        <w:pStyle w:val="ListParagraph"/>
        <w:tabs>
          <w:tab w:val="left" w:pos="425"/>
        </w:tabs>
        <w:ind w:left="0"/>
        <w:rPr>
          <w:rFonts w:asciiTheme="majorBidi" w:hAnsiTheme="majorBidi" w:cstheme="majorBidi"/>
          <w:sz w:val="21"/>
          <w:szCs w:val="21"/>
        </w:rPr>
      </w:pPr>
      <w:r w:rsidRPr="00066AAA">
        <w:rPr>
          <w:rFonts w:asciiTheme="majorBidi" w:hAnsiTheme="majorBidi" w:cstheme="majorBidi"/>
          <w:sz w:val="21"/>
        </w:rPr>
        <w:t>Internal control includes, among other things, controls and procedures that were designed to ensure that information the Corporation is required to disclose, as stated, was accumulated and transferred to the Corporation’s management, including to the President and to the most senior officer in the finance area or to another party actually executing their functions, in order to enable decisions to be made at the appropriate time, with respect to disclosure requirements.</w:t>
      </w:r>
    </w:p>
    <w:p w14:paraId="5C19F1B4" w14:textId="77777777" w:rsidR="00066AAA" w:rsidRPr="00066AAA" w:rsidRDefault="00066AAA" w:rsidP="00066AAA">
      <w:pPr>
        <w:pStyle w:val="ListParagraph"/>
        <w:tabs>
          <w:tab w:val="left" w:pos="425"/>
        </w:tabs>
        <w:ind w:left="0"/>
        <w:rPr>
          <w:rFonts w:asciiTheme="majorBidi" w:hAnsiTheme="majorBidi" w:cstheme="majorBidi"/>
          <w:sz w:val="21"/>
          <w:szCs w:val="21"/>
        </w:rPr>
      </w:pPr>
      <w:r w:rsidRPr="00066AAA">
        <w:rPr>
          <w:rFonts w:asciiTheme="majorBidi" w:hAnsiTheme="majorBidi" w:cstheme="majorBidi"/>
          <w:sz w:val="21"/>
        </w:rPr>
        <w:t>Due to its inherent limitations, internal control over the financial reporting and disclosure does not provide complete assurance that a misrepresentation or omission of information in the statements will be prevented or discovered.</w:t>
      </w:r>
    </w:p>
    <w:p w14:paraId="6A5A688B" w14:textId="47ED4425" w:rsidR="00066AAA" w:rsidRPr="00066AAA" w:rsidRDefault="00066AAA" w:rsidP="00066AAA">
      <w:pPr>
        <w:tabs>
          <w:tab w:val="left" w:pos="425"/>
        </w:tabs>
        <w:rPr>
          <w:rFonts w:asciiTheme="majorBidi" w:hAnsiTheme="majorBidi" w:cstheme="majorBidi"/>
          <w:sz w:val="21"/>
          <w:szCs w:val="21"/>
        </w:rPr>
      </w:pPr>
      <w:r w:rsidRPr="00066AAA">
        <w:rPr>
          <w:rFonts w:asciiTheme="majorBidi" w:hAnsiTheme="majorBidi" w:cstheme="majorBidi"/>
          <w:sz w:val="21"/>
        </w:rPr>
        <w:t xml:space="preserve">The quarterly report regarding the effectiveness of the internal control over the financial reporting and disclosure attached to the quarterly report for the period ended March 31, </w:t>
      </w:r>
      <w:r w:rsidR="0048268D" w:rsidRPr="00066AAA">
        <w:rPr>
          <w:rFonts w:asciiTheme="majorBidi" w:hAnsiTheme="majorBidi" w:cstheme="majorBidi"/>
          <w:sz w:val="21"/>
        </w:rPr>
        <w:t>2024 (</w:t>
      </w:r>
      <w:r w:rsidRPr="00066AAA">
        <w:rPr>
          <w:rFonts w:asciiTheme="majorBidi" w:hAnsiTheme="majorBidi" w:cstheme="majorBidi"/>
          <w:sz w:val="21"/>
        </w:rPr>
        <w:t>the “Latest Quarterly Report on Internal Control”) found the internal control to be effective.</w:t>
      </w:r>
    </w:p>
    <w:p w14:paraId="29699AC1" w14:textId="77777777" w:rsidR="00066AAA" w:rsidRPr="00066AAA" w:rsidRDefault="00066AAA" w:rsidP="00066AAA">
      <w:pPr>
        <w:pStyle w:val="ListParagraph"/>
        <w:tabs>
          <w:tab w:val="left" w:pos="425"/>
        </w:tabs>
        <w:ind w:left="0"/>
        <w:rPr>
          <w:rFonts w:asciiTheme="majorBidi" w:hAnsiTheme="majorBidi" w:cstheme="majorBidi"/>
          <w:sz w:val="21"/>
          <w:szCs w:val="21"/>
        </w:rPr>
      </w:pPr>
      <w:r w:rsidRPr="00066AAA">
        <w:rPr>
          <w:rFonts w:asciiTheme="majorBidi" w:hAnsiTheme="majorBidi" w:cstheme="majorBidi"/>
          <w:sz w:val="21"/>
        </w:rPr>
        <w:t>As at the reporting date no event or matter was brought to the attention of the board of directors or the management, which could change the effectiveness assessment of the internal control as found in the Latest Quarterly Report on Internal Control.</w:t>
      </w:r>
    </w:p>
    <w:p w14:paraId="53629410" w14:textId="77777777" w:rsidR="00066AAA" w:rsidRPr="00066AAA" w:rsidRDefault="00066AAA" w:rsidP="00066AAA">
      <w:pPr>
        <w:pStyle w:val="ListParagraph"/>
        <w:tabs>
          <w:tab w:val="left" w:pos="425"/>
        </w:tabs>
        <w:ind w:left="0"/>
        <w:rPr>
          <w:rFonts w:asciiTheme="majorBidi" w:hAnsiTheme="majorBidi" w:cstheme="majorBidi"/>
          <w:sz w:val="21"/>
          <w:szCs w:val="21"/>
        </w:rPr>
      </w:pPr>
      <w:r w:rsidRPr="00066AAA">
        <w:rPr>
          <w:rFonts w:asciiTheme="majorBidi" w:hAnsiTheme="majorBidi" w:cstheme="majorBidi"/>
          <w:sz w:val="21"/>
        </w:rPr>
        <w:t>As at reporting date, based on the provisions of the Latest Quarterly Report on Internal Control and on information brought to the attention of the management and board of directors as aforesaid, the internal control remains effective.</w:t>
      </w:r>
    </w:p>
    <w:p w14:paraId="07D6FB43" w14:textId="77777777" w:rsidR="00066AAA" w:rsidRPr="00066AAA" w:rsidRDefault="00066AAA" w:rsidP="00066AAA">
      <w:pPr>
        <w:pStyle w:val="ListParagraph"/>
        <w:tabs>
          <w:tab w:val="left" w:pos="425"/>
        </w:tabs>
        <w:ind w:left="0"/>
        <w:rPr>
          <w:rFonts w:asciiTheme="majorBidi" w:hAnsiTheme="majorBidi" w:cstheme="majorBidi"/>
          <w:sz w:val="21"/>
          <w:szCs w:val="21"/>
        </w:rPr>
      </w:pPr>
      <w:r w:rsidRPr="00066AAA">
        <w:rPr>
          <w:rFonts w:asciiTheme="majorBidi" w:hAnsiTheme="majorBidi" w:cstheme="majorBidi"/>
        </w:rPr>
        <w:br w:type="page"/>
      </w:r>
    </w:p>
    <w:p w14:paraId="5D71FDD3" w14:textId="77777777" w:rsidR="00066AAA" w:rsidRPr="00066AAA" w:rsidRDefault="00066AAA" w:rsidP="00066AAA">
      <w:pPr>
        <w:pStyle w:val="ListParagraph"/>
        <w:tabs>
          <w:tab w:val="left" w:pos="425"/>
        </w:tabs>
        <w:ind w:left="0"/>
        <w:outlineLvl w:val="2"/>
        <w:rPr>
          <w:rFonts w:asciiTheme="majorBidi" w:hAnsiTheme="majorBidi" w:cstheme="majorBidi"/>
          <w:b/>
          <w:bCs/>
          <w:sz w:val="21"/>
          <w:szCs w:val="21"/>
        </w:rPr>
      </w:pPr>
      <w:bookmarkStart w:id="205" w:name="H3_הצהרות_מנהלים"/>
      <w:r w:rsidRPr="00066AAA">
        <w:rPr>
          <w:rFonts w:asciiTheme="majorBidi" w:hAnsiTheme="majorBidi" w:cstheme="majorBidi"/>
          <w:b/>
          <w:sz w:val="21"/>
        </w:rPr>
        <w:lastRenderedPageBreak/>
        <w:t>Officers’ Declarations</w:t>
      </w:r>
    </w:p>
    <w:p w14:paraId="7923623D" w14:textId="77777777" w:rsidR="00066AAA" w:rsidRPr="00066AAA" w:rsidRDefault="00066AAA" w:rsidP="00066AAA">
      <w:pPr>
        <w:pStyle w:val="ListParagraph"/>
        <w:numPr>
          <w:ilvl w:val="0"/>
          <w:numId w:val="70"/>
        </w:numPr>
        <w:tabs>
          <w:tab w:val="left" w:pos="425"/>
        </w:tabs>
        <w:spacing w:before="60" w:after="60" w:line="276" w:lineRule="auto"/>
        <w:outlineLvl w:val="3"/>
        <w:rPr>
          <w:rFonts w:asciiTheme="majorBidi" w:hAnsiTheme="majorBidi" w:cstheme="majorBidi"/>
          <w:b/>
          <w:bCs/>
          <w:sz w:val="21"/>
          <w:szCs w:val="21"/>
        </w:rPr>
      </w:pPr>
      <w:bookmarkStart w:id="206" w:name="H4_הצהרת_מנהל_כללי_לפי_תקנה_38גד1"/>
      <w:bookmarkEnd w:id="205"/>
      <w:r w:rsidRPr="00066AAA">
        <w:rPr>
          <w:rFonts w:asciiTheme="majorBidi" w:hAnsiTheme="majorBidi" w:cstheme="majorBidi"/>
          <w:b/>
          <w:sz w:val="21"/>
        </w:rPr>
        <w:t>Declaration of the CEO pursuant to Regulation 38C(d)(l):</w:t>
      </w:r>
    </w:p>
    <w:p w14:paraId="5D7CAF27" w14:textId="77777777" w:rsidR="00066AAA" w:rsidRPr="00066AAA" w:rsidRDefault="00066AAA" w:rsidP="00066AAA">
      <w:pPr>
        <w:pStyle w:val="ListParagraph"/>
        <w:tabs>
          <w:tab w:val="left" w:pos="425"/>
        </w:tabs>
        <w:ind w:left="0"/>
        <w:outlineLvl w:val="3"/>
        <w:rPr>
          <w:rFonts w:asciiTheme="majorBidi" w:hAnsiTheme="majorBidi" w:cstheme="majorBidi"/>
          <w:b/>
          <w:bCs/>
          <w:sz w:val="21"/>
          <w:szCs w:val="21"/>
        </w:rPr>
      </w:pPr>
    </w:p>
    <w:p w14:paraId="135841B7" w14:textId="77777777" w:rsidR="00066AAA" w:rsidRPr="00066AAA" w:rsidRDefault="00066AAA" w:rsidP="00066AAA">
      <w:pPr>
        <w:pStyle w:val="ListParagraph"/>
        <w:tabs>
          <w:tab w:val="left" w:pos="425"/>
        </w:tabs>
        <w:ind w:left="0"/>
        <w:jc w:val="center"/>
        <w:outlineLvl w:val="4"/>
        <w:rPr>
          <w:rFonts w:asciiTheme="majorBidi" w:hAnsiTheme="majorBidi" w:cstheme="majorBidi"/>
          <w:b/>
          <w:bCs/>
          <w:sz w:val="22"/>
          <w:szCs w:val="22"/>
        </w:rPr>
      </w:pPr>
      <w:bookmarkStart w:id="207" w:name="H5_הצהרת_מנהליםהצהרת_מנהל_כללי"/>
      <w:bookmarkEnd w:id="206"/>
      <w:r w:rsidRPr="00066AAA">
        <w:rPr>
          <w:rFonts w:asciiTheme="majorBidi" w:hAnsiTheme="majorBidi" w:cstheme="majorBidi"/>
          <w:b/>
          <w:sz w:val="22"/>
          <w:szCs w:val="22"/>
        </w:rPr>
        <w:t>Officers’ Declarations</w:t>
      </w:r>
      <w:r w:rsidRPr="00066AAA">
        <w:rPr>
          <w:rFonts w:asciiTheme="majorBidi" w:hAnsiTheme="majorBidi" w:cstheme="majorBidi"/>
          <w:b/>
          <w:sz w:val="22"/>
          <w:szCs w:val="22"/>
        </w:rPr>
        <w:br/>
        <w:t>Declaration of the CEO</w:t>
      </w:r>
    </w:p>
    <w:bookmarkEnd w:id="207"/>
    <w:p w14:paraId="3BDDB517" w14:textId="77777777" w:rsidR="00066AAA" w:rsidRPr="00066AAA" w:rsidRDefault="00066AAA" w:rsidP="00066AAA">
      <w:pPr>
        <w:pStyle w:val="ListParagraph"/>
        <w:tabs>
          <w:tab w:val="left" w:pos="425"/>
        </w:tabs>
        <w:ind w:left="0"/>
        <w:rPr>
          <w:rFonts w:asciiTheme="majorBidi" w:hAnsiTheme="majorBidi" w:cstheme="majorBidi"/>
          <w:sz w:val="21"/>
          <w:szCs w:val="21"/>
        </w:rPr>
      </w:pPr>
    </w:p>
    <w:p w14:paraId="43790241" w14:textId="77777777" w:rsidR="00066AAA" w:rsidRPr="00066AAA" w:rsidRDefault="00066AAA" w:rsidP="00066AAA">
      <w:pPr>
        <w:tabs>
          <w:tab w:val="left" w:pos="425"/>
        </w:tabs>
        <w:spacing w:before="0"/>
        <w:contextualSpacing/>
        <w:rPr>
          <w:rFonts w:asciiTheme="majorBidi" w:hAnsiTheme="majorBidi" w:cstheme="majorBidi"/>
          <w:sz w:val="21"/>
          <w:szCs w:val="21"/>
          <w:rtl/>
        </w:rPr>
      </w:pPr>
      <w:r w:rsidRPr="00066AAA">
        <w:rPr>
          <w:rFonts w:asciiTheme="majorBidi" w:hAnsiTheme="majorBidi" w:cstheme="majorBidi"/>
          <w:sz w:val="21"/>
        </w:rPr>
        <w:t>I, Chaim Katzman, hereby declare that:</w:t>
      </w:r>
    </w:p>
    <w:p w14:paraId="14585BB8" w14:textId="77777777" w:rsidR="00066AAA" w:rsidRPr="00066AAA" w:rsidRDefault="00066AAA" w:rsidP="00066AAA">
      <w:pPr>
        <w:tabs>
          <w:tab w:val="left" w:pos="425"/>
        </w:tabs>
        <w:spacing w:before="0" w:after="0"/>
        <w:contextualSpacing/>
        <w:rPr>
          <w:rFonts w:asciiTheme="majorBidi" w:hAnsiTheme="majorBidi" w:cstheme="majorBidi"/>
          <w:sz w:val="21"/>
          <w:szCs w:val="21"/>
        </w:rPr>
      </w:pPr>
      <w:r w:rsidRPr="00066AAA">
        <w:rPr>
          <w:rFonts w:asciiTheme="majorBidi" w:hAnsiTheme="majorBidi" w:cstheme="majorBidi"/>
          <w:sz w:val="21"/>
        </w:rPr>
        <w:t>(1)</w:t>
      </w:r>
      <w:r w:rsidRPr="00066AAA">
        <w:rPr>
          <w:rFonts w:asciiTheme="majorBidi" w:hAnsiTheme="majorBidi" w:cstheme="majorBidi"/>
          <w:sz w:val="21"/>
        </w:rPr>
        <w:tab/>
        <w:t>I have reviewed the Quarterly Report of G City Ltd. (the “Corporation”) for the second quarter of 2024 (the “Statements”);</w:t>
      </w:r>
    </w:p>
    <w:p w14:paraId="1CC36F19" w14:textId="77777777" w:rsidR="00066AAA" w:rsidRPr="00066AAA" w:rsidRDefault="00066AAA" w:rsidP="00066AAA">
      <w:pPr>
        <w:tabs>
          <w:tab w:val="left" w:pos="425"/>
        </w:tabs>
        <w:spacing w:before="0" w:after="0"/>
        <w:contextualSpacing/>
        <w:rPr>
          <w:rFonts w:asciiTheme="majorBidi" w:hAnsiTheme="majorBidi" w:cstheme="majorBidi"/>
          <w:sz w:val="21"/>
          <w:szCs w:val="21"/>
        </w:rPr>
      </w:pPr>
      <w:r w:rsidRPr="00066AAA">
        <w:rPr>
          <w:rFonts w:asciiTheme="majorBidi" w:hAnsiTheme="majorBidi" w:cstheme="majorBidi"/>
          <w:sz w:val="21"/>
        </w:rPr>
        <w:t>(2)</w:t>
      </w:r>
      <w:r w:rsidRPr="00066AAA">
        <w:rPr>
          <w:rFonts w:asciiTheme="majorBidi" w:hAnsiTheme="majorBidi" w:cstheme="majorBidi"/>
          <w:sz w:val="21"/>
        </w:rPr>
        <w:tab/>
        <w:t>As far as I am aware, the Statements do not include any misrepresentation of a material fact and no representation of a material fact that is required has been omitted, so that the representations included therein, in light of the circumstances in which such representations were included, will not be misleading with reference to the period covered by the Statements;</w:t>
      </w:r>
    </w:p>
    <w:p w14:paraId="1089CFFA" w14:textId="77777777" w:rsidR="00066AAA" w:rsidRPr="00066AAA" w:rsidRDefault="00066AAA" w:rsidP="00066AAA">
      <w:pPr>
        <w:tabs>
          <w:tab w:val="left" w:pos="425"/>
        </w:tabs>
        <w:spacing w:before="0" w:after="0"/>
        <w:contextualSpacing/>
        <w:rPr>
          <w:rFonts w:asciiTheme="majorBidi" w:hAnsiTheme="majorBidi" w:cstheme="majorBidi"/>
          <w:sz w:val="21"/>
          <w:szCs w:val="21"/>
        </w:rPr>
      </w:pPr>
      <w:r w:rsidRPr="00066AAA">
        <w:rPr>
          <w:rFonts w:asciiTheme="majorBidi" w:hAnsiTheme="majorBidi" w:cstheme="majorBidi"/>
          <w:sz w:val="21"/>
        </w:rPr>
        <w:t>(3)</w:t>
      </w:r>
      <w:r w:rsidRPr="00066AAA">
        <w:rPr>
          <w:rFonts w:asciiTheme="majorBidi" w:hAnsiTheme="majorBidi" w:cstheme="majorBidi"/>
          <w:sz w:val="21"/>
        </w:rPr>
        <w:tab/>
        <w:t>As far as I am aware, the financial statements and other financial information included in the Statements properly reflect, in all material respects, the Corporation's financial position, results of operations and cash flows as of the dates and for the periods to which the Statements relate;</w:t>
      </w:r>
    </w:p>
    <w:p w14:paraId="11FC5EA6" w14:textId="77777777" w:rsidR="00066AAA" w:rsidRPr="00066AAA" w:rsidRDefault="00066AAA" w:rsidP="00066AAA">
      <w:pPr>
        <w:tabs>
          <w:tab w:val="left" w:pos="425"/>
        </w:tabs>
        <w:spacing w:before="0" w:after="0"/>
        <w:contextualSpacing/>
        <w:rPr>
          <w:rFonts w:asciiTheme="majorBidi" w:hAnsiTheme="majorBidi" w:cstheme="majorBidi"/>
          <w:sz w:val="21"/>
          <w:szCs w:val="21"/>
        </w:rPr>
      </w:pPr>
      <w:r w:rsidRPr="00066AAA">
        <w:rPr>
          <w:rFonts w:asciiTheme="majorBidi" w:hAnsiTheme="majorBidi" w:cstheme="majorBidi"/>
          <w:sz w:val="21"/>
        </w:rPr>
        <w:t>(4)</w:t>
      </w:r>
      <w:r w:rsidRPr="00066AAA">
        <w:rPr>
          <w:rFonts w:asciiTheme="majorBidi" w:hAnsiTheme="majorBidi" w:cstheme="majorBidi"/>
          <w:sz w:val="21"/>
        </w:rPr>
        <w:tab/>
        <w:t>I have disclosed to the Corporation's auditors, the Board of Directors and the Audit Committee of the Board of Directors, based on my most up-to-date evaluation with respect to internal control over the Corporation's financial reporting and disclosure:</w:t>
      </w:r>
    </w:p>
    <w:p w14:paraId="19C7BBF5" w14:textId="7AE0EC19" w:rsidR="00066AAA" w:rsidRPr="00066AAA" w:rsidRDefault="00066AAA" w:rsidP="00066AAA">
      <w:pPr>
        <w:tabs>
          <w:tab w:val="left" w:pos="425"/>
        </w:tabs>
        <w:spacing w:before="0" w:after="0"/>
        <w:contextualSpacing/>
        <w:rPr>
          <w:rFonts w:asciiTheme="majorBidi" w:hAnsiTheme="majorBidi" w:cstheme="majorBidi"/>
          <w:sz w:val="21"/>
          <w:szCs w:val="21"/>
        </w:rPr>
      </w:pPr>
      <w:r w:rsidRPr="00066AAA">
        <w:rPr>
          <w:rFonts w:asciiTheme="majorBidi" w:hAnsiTheme="majorBidi" w:cstheme="majorBidi"/>
          <w:sz w:val="21"/>
        </w:rPr>
        <w:t>(a)</w:t>
      </w:r>
      <w:r w:rsidRPr="00066AAA">
        <w:rPr>
          <w:rFonts w:asciiTheme="majorBidi" w:hAnsiTheme="majorBidi" w:cstheme="majorBidi"/>
          <w:sz w:val="21"/>
        </w:rPr>
        <w:tab/>
        <w:t>All significant deficiencies and material weaknesses in the determination or operation of internal control over financial reporting and disclosure, which could reasonably have an adverse impact on the Corporation's ability to gather, process, summarize or report financial information in such a manner that could cause doubt with respect to the reliability of the financial reporting and preparation of the financial statements in accordance with the provisions of the law; and -</w:t>
      </w:r>
    </w:p>
    <w:p w14:paraId="1E825B94" w14:textId="77777777" w:rsidR="00066AAA" w:rsidRPr="00066AAA" w:rsidRDefault="00066AAA" w:rsidP="00066AAA">
      <w:pPr>
        <w:tabs>
          <w:tab w:val="left" w:pos="425"/>
        </w:tabs>
        <w:spacing w:before="0" w:after="0"/>
        <w:contextualSpacing/>
        <w:rPr>
          <w:rFonts w:asciiTheme="majorBidi" w:hAnsiTheme="majorBidi" w:cstheme="majorBidi"/>
          <w:sz w:val="21"/>
          <w:szCs w:val="21"/>
        </w:rPr>
      </w:pPr>
      <w:r w:rsidRPr="00066AAA">
        <w:rPr>
          <w:rFonts w:asciiTheme="majorBidi" w:hAnsiTheme="majorBidi" w:cstheme="majorBidi"/>
          <w:sz w:val="21"/>
        </w:rPr>
        <w:t>(b)</w:t>
      </w:r>
      <w:r w:rsidRPr="00066AAA">
        <w:rPr>
          <w:rFonts w:asciiTheme="majorBidi" w:hAnsiTheme="majorBidi" w:cstheme="majorBidi"/>
          <w:sz w:val="21"/>
        </w:rPr>
        <w:tab/>
        <w:t>Any fraud, whether or not significant, wherein the CEO is involved or a party under his direct supervision or other employees are involved that have a significant function in internal control over financial reporting and disclosure;</w:t>
      </w:r>
    </w:p>
    <w:p w14:paraId="0A0011BD" w14:textId="77777777" w:rsidR="00066AAA" w:rsidRPr="00066AAA" w:rsidRDefault="00066AAA" w:rsidP="00066AAA">
      <w:pPr>
        <w:tabs>
          <w:tab w:val="left" w:pos="425"/>
        </w:tabs>
        <w:spacing w:before="0" w:after="0"/>
        <w:contextualSpacing/>
        <w:rPr>
          <w:rFonts w:asciiTheme="majorBidi" w:hAnsiTheme="majorBidi" w:cstheme="majorBidi"/>
          <w:sz w:val="21"/>
          <w:szCs w:val="21"/>
        </w:rPr>
      </w:pPr>
      <w:r w:rsidRPr="00066AAA">
        <w:rPr>
          <w:rFonts w:asciiTheme="majorBidi" w:hAnsiTheme="majorBidi" w:cstheme="majorBidi"/>
          <w:sz w:val="21"/>
        </w:rPr>
        <w:t>(5)</w:t>
      </w:r>
      <w:r w:rsidRPr="00066AAA">
        <w:rPr>
          <w:rFonts w:asciiTheme="majorBidi" w:hAnsiTheme="majorBidi" w:cstheme="majorBidi"/>
          <w:sz w:val="21"/>
        </w:rPr>
        <w:tab/>
        <w:t>I, alone or together with others in the Corporation:</w:t>
      </w:r>
    </w:p>
    <w:p w14:paraId="3FB53263" w14:textId="4B7E97CA" w:rsidR="00066AAA" w:rsidRPr="00066AAA" w:rsidRDefault="00066AAA" w:rsidP="00066AAA">
      <w:pPr>
        <w:tabs>
          <w:tab w:val="left" w:pos="425"/>
        </w:tabs>
        <w:spacing w:before="0" w:after="0"/>
        <w:contextualSpacing/>
        <w:rPr>
          <w:rFonts w:asciiTheme="majorBidi" w:hAnsiTheme="majorBidi" w:cstheme="majorBidi"/>
          <w:sz w:val="21"/>
          <w:szCs w:val="21"/>
        </w:rPr>
      </w:pPr>
      <w:r w:rsidRPr="00066AAA">
        <w:rPr>
          <w:rFonts w:asciiTheme="majorBidi" w:hAnsiTheme="majorBidi" w:cstheme="majorBidi"/>
          <w:sz w:val="21"/>
        </w:rPr>
        <w:t>(</w:t>
      </w:r>
      <w:r w:rsidR="006C4351">
        <w:rPr>
          <w:rFonts w:asciiTheme="majorBidi" w:hAnsiTheme="majorBidi" w:cstheme="majorBidi"/>
          <w:sz w:val="21"/>
        </w:rPr>
        <w:t>a</w:t>
      </w:r>
      <w:r w:rsidRPr="00066AAA">
        <w:rPr>
          <w:rFonts w:asciiTheme="majorBidi" w:hAnsiTheme="majorBidi" w:cstheme="majorBidi"/>
          <w:sz w:val="21"/>
        </w:rPr>
        <w:t>) Have determined controls and procedures, or</w:t>
      </w:r>
      <w:r w:rsidRPr="00066AAA">
        <w:rPr>
          <w:rFonts w:asciiTheme="majorBidi" w:hAnsiTheme="majorBidi" w:cstheme="majorBidi"/>
          <w:sz w:val="21"/>
          <w:rtl/>
        </w:rPr>
        <w:t>‏ ‏</w:t>
      </w:r>
      <w:r w:rsidRPr="00066AAA">
        <w:rPr>
          <w:rFonts w:asciiTheme="majorBidi" w:hAnsiTheme="majorBidi" w:cstheme="majorBidi"/>
          <w:sz w:val="21"/>
        </w:rPr>
        <w:t>have verified the determination and existence of controls and procedures under my supervision, which are designed to ensure that significant information relating to the Corporation, including subsidiaries as defined in the Securities Regulations (Annual Financial Statements), 2010, is brought to my attention by others in the Corporation and the subsidiaries, particularly during the period of preparation of the financial statements; and -</w:t>
      </w:r>
    </w:p>
    <w:p w14:paraId="255AD8AF" w14:textId="77777777" w:rsidR="00066AAA" w:rsidRPr="00066AAA" w:rsidRDefault="00066AAA" w:rsidP="00066AAA">
      <w:pPr>
        <w:tabs>
          <w:tab w:val="left" w:pos="425"/>
        </w:tabs>
        <w:spacing w:before="0" w:after="0"/>
        <w:contextualSpacing/>
        <w:rPr>
          <w:rFonts w:asciiTheme="majorBidi" w:hAnsiTheme="majorBidi" w:cstheme="majorBidi"/>
          <w:sz w:val="21"/>
          <w:szCs w:val="21"/>
        </w:rPr>
      </w:pPr>
      <w:r w:rsidRPr="00066AAA">
        <w:rPr>
          <w:rFonts w:asciiTheme="majorBidi" w:hAnsiTheme="majorBidi" w:cstheme="majorBidi"/>
          <w:sz w:val="21"/>
        </w:rPr>
        <w:t>(b)</w:t>
      </w:r>
      <w:r w:rsidRPr="00066AAA">
        <w:rPr>
          <w:rFonts w:asciiTheme="majorBidi" w:hAnsiTheme="majorBidi" w:cstheme="majorBidi"/>
          <w:sz w:val="21"/>
        </w:rPr>
        <w:tab/>
        <w:t>Have determined controls and procedures, or</w:t>
      </w:r>
      <w:r w:rsidRPr="00066AAA">
        <w:rPr>
          <w:rFonts w:asciiTheme="majorBidi" w:hAnsiTheme="majorBidi" w:cstheme="majorBidi"/>
          <w:sz w:val="21"/>
          <w:rtl/>
        </w:rPr>
        <w:t>‏</w:t>
      </w:r>
      <w:r w:rsidRPr="00066AAA">
        <w:rPr>
          <w:rFonts w:asciiTheme="majorBidi" w:hAnsiTheme="majorBidi" w:cstheme="majorBidi"/>
          <w:sz w:val="21"/>
        </w:rPr>
        <w:t xml:space="preserve"> </w:t>
      </w:r>
      <w:r w:rsidRPr="00066AAA">
        <w:rPr>
          <w:rFonts w:asciiTheme="majorBidi" w:hAnsiTheme="majorBidi" w:cstheme="majorBidi"/>
          <w:sz w:val="21"/>
          <w:rtl/>
        </w:rPr>
        <w:t>‏</w:t>
      </w:r>
      <w:r w:rsidRPr="00066AAA">
        <w:rPr>
          <w:rFonts w:asciiTheme="majorBidi" w:hAnsiTheme="majorBidi" w:cstheme="majorBidi"/>
          <w:sz w:val="21"/>
        </w:rPr>
        <w:t>have verified the determination and existence of controls and procedures under my supervision, which are designed to provide reasonable assurance regarding the reliability of financial reporting and preparation of the financial statements in accordance with the provisions of the law, including in accordance with generally accepted accounting principles.</w:t>
      </w:r>
    </w:p>
    <w:p w14:paraId="29376773" w14:textId="77777777" w:rsidR="00066AAA" w:rsidRPr="00066AAA" w:rsidRDefault="00066AAA" w:rsidP="00066AAA">
      <w:pPr>
        <w:tabs>
          <w:tab w:val="left" w:pos="425"/>
        </w:tabs>
        <w:spacing w:before="0" w:after="0"/>
        <w:contextualSpacing/>
        <w:rPr>
          <w:rFonts w:asciiTheme="majorBidi" w:hAnsiTheme="majorBidi" w:cstheme="majorBidi"/>
          <w:sz w:val="21"/>
          <w:szCs w:val="21"/>
        </w:rPr>
      </w:pPr>
      <w:r w:rsidRPr="00066AAA">
        <w:rPr>
          <w:rFonts w:asciiTheme="majorBidi" w:hAnsiTheme="majorBidi" w:cstheme="majorBidi"/>
          <w:sz w:val="21"/>
        </w:rPr>
        <w:t>(c)</w:t>
      </w:r>
      <w:r w:rsidRPr="00066AAA">
        <w:rPr>
          <w:rFonts w:asciiTheme="majorBidi" w:hAnsiTheme="majorBidi" w:cstheme="majorBidi"/>
          <w:sz w:val="21"/>
        </w:rPr>
        <w:tab/>
        <w:t xml:space="preserve">No event or matter that occurred during the period from the last Quarterly Report and the date of this Report was brought to my attention, which could change the conclusions of the board of directors and the management regarding the effectiveness of the internal control over and disclosure of the Corporation’s financial reporting.  </w:t>
      </w:r>
    </w:p>
    <w:p w14:paraId="4D887141" w14:textId="77777777" w:rsidR="00066AAA" w:rsidRPr="00066AAA" w:rsidRDefault="00066AAA" w:rsidP="00066AAA">
      <w:pPr>
        <w:tabs>
          <w:tab w:val="left" w:pos="425"/>
        </w:tabs>
        <w:contextualSpacing/>
        <w:rPr>
          <w:rFonts w:asciiTheme="majorBidi" w:hAnsiTheme="majorBidi" w:cstheme="majorBidi"/>
          <w:sz w:val="21"/>
          <w:szCs w:val="21"/>
        </w:rPr>
      </w:pPr>
      <w:r w:rsidRPr="00066AAA">
        <w:rPr>
          <w:rFonts w:asciiTheme="majorBidi" w:hAnsiTheme="majorBidi" w:cstheme="majorBidi"/>
          <w:sz w:val="21"/>
        </w:rPr>
        <w:t>Nothing stated above detracts from my responsibility or the responsibility of any other person under any law.</w:t>
      </w:r>
    </w:p>
    <w:p w14:paraId="066DB996" w14:textId="77777777" w:rsidR="00066AAA" w:rsidRPr="00066AAA" w:rsidRDefault="00066AAA" w:rsidP="00066AAA">
      <w:pPr>
        <w:pStyle w:val="ListParagraph"/>
        <w:tabs>
          <w:tab w:val="left" w:pos="425"/>
        </w:tabs>
        <w:ind w:left="0"/>
        <w:rPr>
          <w:rFonts w:asciiTheme="majorBidi" w:hAnsiTheme="majorBidi" w:cstheme="majorBidi"/>
          <w:sz w:val="21"/>
          <w:szCs w:val="21"/>
        </w:rPr>
      </w:pPr>
    </w:p>
    <w:p w14:paraId="3A756358" w14:textId="77777777" w:rsidR="00066AAA" w:rsidRPr="00066AAA" w:rsidRDefault="00066AAA" w:rsidP="00066AAA">
      <w:pPr>
        <w:pStyle w:val="ListParagraph"/>
        <w:tabs>
          <w:tab w:val="left" w:pos="425"/>
        </w:tabs>
        <w:ind w:left="0"/>
        <w:rPr>
          <w:rFonts w:asciiTheme="majorBidi" w:hAnsiTheme="majorBidi" w:cstheme="majorBidi"/>
          <w:sz w:val="21"/>
          <w:szCs w:val="21"/>
          <w:rtl/>
        </w:rPr>
      </w:pPr>
    </w:p>
    <w:tbl>
      <w:tblPr>
        <w:tblStyle w:val="TableGrid"/>
        <w:tblW w:w="0" w:type="auto"/>
        <w:tblBorders>
          <w:top w:val="none" w:sz="0" w:space="0" w:color="auto"/>
          <w:left w:val="none" w:sz="0" w:space="0" w:color="auto"/>
          <w:bottom w:val="none" w:sz="0" w:space="0" w:color="auto"/>
          <w:right w:val="none" w:sz="0" w:space="0" w:color="auto"/>
          <w:insideH w:val="nil"/>
          <w:insideV w:val="nil"/>
        </w:tblBorders>
        <w:tblCellMar>
          <w:left w:w="28" w:type="dxa"/>
          <w:right w:w="28" w:type="dxa"/>
        </w:tblCellMar>
        <w:tblLook w:val="04A0" w:firstRow="1" w:lastRow="0" w:firstColumn="1" w:lastColumn="0" w:noHBand="0" w:noVBand="1"/>
      </w:tblPr>
      <w:tblGrid>
        <w:gridCol w:w="3311"/>
        <w:gridCol w:w="3297"/>
        <w:gridCol w:w="3313"/>
      </w:tblGrid>
      <w:tr w:rsidR="00066AAA" w:rsidRPr="00066AAA" w14:paraId="51201803" w14:textId="77777777" w:rsidTr="00066AAA">
        <w:trPr>
          <w:cantSplit/>
          <w:trHeight w:val="454"/>
        </w:trPr>
        <w:tc>
          <w:tcPr>
            <w:tcW w:w="3329" w:type="dxa"/>
            <w:tcBorders>
              <w:top w:val="nil"/>
              <w:left w:val="nil"/>
              <w:bottom w:val="nil"/>
              <w:right w:val="nil"/>
            </w:tcBorders>
            <w:vAlign w:val="bottom"/>
            <w:hideMark/>
          </w:tcPr>
          <w:p w14:paraId="4470F51E" w14:textId="6F9515F6" w:rsidR="00066AAA" w:rsidRPr="00066AAA" w:rsidRDefault="00066AAA">
            <w:pPr>
              <w:pStyle w:val="ListParagraph"/>
              <w:keepNext/>
              <w:tabs>
                <w:tab w:val="left" w:pos="425"/>
              </w:tabs>
              <w:spacing w:line="240" w:lineRule="auto"/>
              <w:ind w:left="0"/>
              <w:jc w:val="left"/>
              <w:rPr>
                <w:rFonts w:asciiTheme="majorBidi" w:hAnsiTheme="majorBidi" w:cstheme="majorBidi"/>
                <w:rtl/>
              </w:rPr>
            </w:pPr>
            <w:r w:rsidRPr="00066AAA">
              <w:rPr>
                <w:rFonts w:asciiTheme="majorBidi" w:hAnsiTheme="majorBidi" w:cstheme="majorBidi"/>
              </w:rPr>
              <w:t>August 14, 2024</w:t>
            </w:r>
          </w:p>
        </w:tc>
        <w:tc>
          <w:tcPr>
            <w:tcW w:w="3319" w:type="dxa"/>
            <w:tcBorders>
              <w:top w:val="nil"/>
              <w:left w:val="nil"/>
              <w:bottom w:val="nil"/>
              <w:right w:val="nil"/>
            </w:tcBorders>
          </w:tcPr>
          <w:p w14:paraId="3C786B0C" w14:textId="77777777" w:rsidR="00066AAA" w:rsidRPr="00066AAA" w:rsidRDefault="00066AAA">
            <w:pPr>
              <w:pStyle w:val="ListParagraph"/>
              <w:keepNext/>
              <w:tabs>
                <w:tab w:val="left" w:pos="425"/>
              </w:tabs>
              <w:spacing w:line="240" w:lineRule="auto"/>
              <w:ind w:left="0"/>
              <w:rPr>
                <w:rFonts w:asciiTheme="majorBidi" w:hAnsiTheme="majorBidi" w:cstheme="majorBidi"/>
              </w:rPr>
            </w:pPr>
          </w:p>
        </w:tc>
        <w:tc>
          <w:tcPr>
            <w:tcW w:w="3329" w:type="dxa"/>
            <w:tcBorders>
              <w:top w:val="nil"/>
              <w:left w:val="nil"/>
              <w:bottom w:val="single" w:sz="4" w:space="0" w:color="auto"/>
              <w:right w:val="nil"/>
            </w:tcBorders>
          </w:tcPr>
          <w:p w14:paraId="72AF7B74" w14:textId="77777777" w:rsidR="00066AAA" w:rsidRPr="00066AAA" w:rsidRDefault="00066AAA">
            <w:pPr>
              <w:pStyle w:val="ListParagraph"/>
              <w:keepNext/>
              <w:tabs>
                <w:tab w:val="left" w:pos="425"/>
              </w:tabs>
              <w:spacing w:line="240" w:lineRule="auto"/>
              <w:ind w:left="0"/>
              <w:rPr>
                <w:rFonts w:asciiTheme="majorBidi" w:hAnsiTheme="majorBidi" w:cstheme="majorBidi"/>
                <w:rtl/>
              </w:rPr>
            </w:pPr>
          </w:p>
        </w:tc>
      </w:tr>
      <w:tr w:rsidR="00066AAA" w:rsidRPr="00066AAA" w14:paraId="2767BF62" w14:textId="77777777" w:rsidTr="00066AAA">
        <w:trPr>
          <w:cantSplit/>
        </w:trPr>
        <w:tc>
          <w:tcPr>
            <w:tcW w:w="3329" w:type="dxa"/>
            <w:tcBorders>
              <w:top w:val="nil"/>
              <w:left w:val="nil"/>
              <w:bottom w:val="nil"/>
              <w:right w:val="nil"/>
            </w:tcBorders>
          </w:tcPr>
          <w:p w14:paraId="57460321" w14:textId="77777777" w:rsidR="00066AAA" w:rsidRPr="00066AAA" w:rsidRDefault="00066AAA">
            <w:pPr>
              <w:pStyle w:val="ListParagraph"/>
              <w:keepNext/>
              <w:tabs>
                <w:tab w:val="left" w:pos="425"/>
              </w:tabs>
              <w:spacing w:line="240" w:lineRule="auto"/>
              <w:ind w:left="0"/>
              <w:rPr>
                <w:rFonts w:asciiTheme="majorBidi" w:hAnsiTheme="majorBidi" w:cstheme="majorBidi"/>
                <w:rtl/>
              </w:rPr>
            </w:pPr>
          </w:p>
        </w:tc>
        <w:tc>
          <w:tcPr>
            <w:tcW w:w="3319" w:type="dxa"/>
            <w:tcBorders>
              <w:top w:val="nil"/>
              <w:left w:val="nil"/>
              <w:bottom w:val="nil"/>
              <w:right w:val="nil"/>
            </w:tcBorders>
          </w:tcPr>
          <w:p w14:paraId="33F2F33D" w14:textId="77777777" w:rsidR="00066AAA" w:rsidRPr="00066AAA" w:rsidRDefault="00066AAA">
            <w:pPr>
              <w:pStyle w:val="ListParagraph"/>
              <w:keepNext/>
              <w:tabs>
                <w:tab w:val="left" w:pos="425"/>
              </w:tabs>
              <w:spacing w:line="240" w:lineRule="auto"/>
              <w:ind w:left="0"/>
              <w:rPr>
                <w:rFonts w:asciiTheme="majorBidi" w:hAnsiTheme="majorBidi" w:cstheme="majorBidi"/>
                <w:rtl/>
              </w:rPr>
            </w:pPr>
          </w:p>
        </w:tc>
        <w:tc>
          <w:tcPr>
            <w:tcW w:w="3329" w:type="dxa"/>
            <w:tcBorders>
              <w:top w:val="single" w:sz="4" w:space="0" w:color="auto"/>
              <w:left w:val="nil"/>
              <w:bottom w:val="nil"/>
              <w:right w:val="nil"/>
            </w:tcBorders>
            <w:hideMark/>
          </w:tcPr>
          <w:p w14:paraId="0A6A345E" w14:textId="77777777" w:rsidR="00066AAA" w:rsidRPr="00066AAA" w:rsidRDefault="00066AAA">
            <w:pPr>
              <w:pStyle w:val="ListParagraph"/>
              <w:keepNext/>
              <w:tabs>
                <w:tab w:val="left" w:pos="425"/>
              </w:tabs>
              <w:spacing w:line="240" w:lineRule="auto"/>
              <w:ind w:left="0"/>
              <w:jc w:val="center"/>
              <w:rPr>
                <w:rFonts w:asciiTheme="majorBidi" w:hAnsiTheme="majorBidi" w:cstheme="majorBidi"/>
                <w:rtl/>
              </w:rPr>
            </w:pPr>
            <w:r w:rsidRPr="00066AAA">
              <w:rPr>
                <w:rFonts w:asciiTheme="majorBidi" w:hAnsiTheme="majorBidi" w:cstheme="majorBidi"/>
              </w:rPr>
              <w:t>Chaim Katzman, CEO and Vice Chairman of the Board of Directors;</w:t>
            </w:r>
          </w:p>
        </w:tc>
      </w:tr>
    </w:tbl>
    <w:p w14:paraId="5225E625" w14:textId="77777777" w:rsidR="00066AAA" w:rsidRPr="00066AAA" w:rsidRDefault="00066AAA" w:rsidP="00066AAA">
      <w:pPr>
        <w:tabs>
          <w:tab w:val="left" w:pos="425"/>
        </w:tabs>
        <w:contextualSpacing/>
        <w:jc w:val="left"/>
        <w:rPr>
          <w:rFonts w:asciiTheme="majorBidi" w:hAnsiTheme="majorBidi" w:cstheme="majorBidi"/>
          <w:b/>
          <w:bCs/>
          <w:sz w:val="21"/>
          <w:szCs w:val="21"/>
        </w:rPr>
      </w:pPr>
      <w:r w:rsidRPr="00066AAA">
        <w:rPr>
          <w:rFonts w:asciiTheme="majorBidi" w:hAnsiTheme="majorBidi" w:cstheme="majorBidi"/>
        </w:rPr>
        <w:br w:type="page"/>
      </w:r>
    </w:p>
    <w:p w14:paraId="12FB0797" w14:textId="77777777" w:rsidR="00066AAA" w:rsidRPr="00066AAA" w:rsidRDefault="00066AAA" w:rsidP="00066AAA">
      <w:pPr>
        <w:pStyle w:val="ListParagraph"/>
        <w:numPr>
          <w:ilvl w:val="0"/>
          <w:numId w:val="70"/>
        </w:numPr>
        <w:tabs>
          <w:tab w:val="left" w:pos="425"/>
        </w:tabs>
        <w:spacing w:before="60" w:after="60" w:line="276" w:lineRule="auto"/>
        <w:outlineLvl w:val="3"/>
        <w:rPr>
          <w:rFonts w:asciiTheme="majorBidi" w:hAnsiTheme="majorBidi" w:cstheme="majorBidi"/>
          <w:b/>
          <w:sz w:val="21"/>
        </w:rPr>
      </w:pPr>
      <w:bookmarkStart w:id="208" w:name="H4_הצהרת_נושא_המשרה_הבכיר_ביותר_בתחום_הכ"/>
      <w:r w:rsidRPr="00066AAA">
        <w:rPr>
          <w:rFonts w:asciiTheme="majorBidi" w:hAnsiTheme="majorBidi" w:cstheme="majorBidi"/>
          <w:b/>
          <w:sz w:val="21"/>
        </w:rPr>
        <w:lastRenderedPageBreak/>
        <w:t>Declaration of the Chief Finance Officer of the Corporation pursuant to Regulation 38C(d)(2):</w:t>
      </w:r>
    </w:p>
    <w:p w14:paraId="435EDFC8" w14:textId="77777777" w:rsidR="00066AAA" w:rsidRPr="00066AAA" w:rsidRDefault="00066AAA" w:rsidP="00066AAA">
      <w:pPr>
        <w:pStyle w:val="ListParagraph"/>
        <w:tabs>
          <w:tab w:val="left" w:pos="425"/>
        </w:tabs>
        <w:ind w:left="0"/>
        <w:jc w:val="center"/>
        <w:outlineLvl w:val="4"/>
        <w:rPr>
          <w:rFonts w:asciiTheme="majorBidi" w:hAnsiTheme="majorBidi" w:cstheme="majorBidi"/>
          <w:b/>
          <w:sz w:val="21"/>
        </w:rPr>
      </w:pPr>
      <w:bookmarkStart w:id="209" w:name="H5_הצהרת_מנהליםהצהרת_נושא_המשרה_הבכיר_בי"/>
      <w:bookmarkEnd w:id="208"/>
    </w:p>
    <w:p w14:paraId="29BBD0C7" w14:textId="77777777" w:rsidR="00066AAA" w:rsidRPr="00066AAA" w:rsidRDefault="00066AAA" w:rsidP="00066AAA">
      <w:pPr>
        <w:pStyle w:val="ListParagraph"/>
        <w:tabs>
          <w:tab w:val="left" w:pos="425"/>
        </w:tabs>
        <w:ind w:left="0"/>
        <w:jc w:val="center"/>
        <w:outlineLvl w:val="4"/>
        <w:rPr>
          <w:rFonts w:asciiTheme="majorBidi" w:hAnsiTheme="majorBidi" w:cstheme="majorBidi"/>
          <w:b/>
          <w:bCs/>
          <w:sz w:val="22"/>
          <w:szCs w:val="22"/>
        </w:rPr>
      </w:pPr>
      <w:r w:rsidRPr="00066AAA">
        <w:rPr>
          <w:rFonts w:asciiTheme="majorBidi" w:hAnsiTheme="majorBidi" w:cstheme="majorBidi"/>
          <w:b/>
          <w:sz w:val="22"/>
          <w:szCs w:val="22"/>
        </w:rPr>
        <w:t>Officers’ Declaration</w:t>
      </w:r>
      <w:r w:rsidRPr="00066AAA">
        <w:rPr>
          <w:rFonts w:asciiTheme="majorBidi" w:hAnsiTheme="majorBidi" w:cstheme="majorBidi"/>
          <w:b/>
          <w:sz w:val="22"/>
          <w:szCs w:val="22"/>
        </w:rPr>
        <w:br/>
        <w:t>Declaration of the Chief Finance Officer</w:t>
      </w:r>
    </w:p>
    <w:p w14:paraId="254522F5" w14:textId="77777777" w:rsidR="00066AAA" w:rsidRPr="00066AAA" w:rsidRDefault="00066AAA" w:rsidP="00066AAA">
      <w:pPr>
        <w:pStyle w:val="ListParagraph"/>
        <w:tabs>
          <w:tab w:val="left" w:pos="425"/>
        </w:tabs>
        <w:ind w:left="0"/>
        <w:jc w:val="center"/>
        <w:outlineLvl w:val="4"/>
        <w:rPr>
          <w:rFonts w:asciiTheme="majorBidi" w:hAnsiTheme="majorBidi" w:cstheme="majorBidi"/>
          <w:b/>
          <w:bCs/>
          <w:sz w:val="22"/>
          <w:szCs w:val="22"/>
        </w:rPr>
      </w:pPr>
    </w:p>
    <w:bookmarkEnd w:id="209"/>
    <w:p w14:paraId="685AE17A" w14:textId="77777777" w:rsidR="00066AAA" w:rsidRPr="00066AAA" w:rsidRDefault="00066AAA" w:rsidP="00066AAA">
      <w:pPr>
        <w:tabs>
          <w:tab w:val="left" w:pos="425"/>
        </w:tabs>
        <w:rPr>
          <w:rFonts w:asciiTheme="majorBidi" w:hAnsiTheme="majorBidi" w:cstheme="majorBidi"/>
          <w:sz w:val="21"/>
          <w:szCs w:val="21"/>
        </w:rPr>
      </w:pPr>
      <w:r w:rsidRPr="00066AAA">
        <w:rPr>
          <w:rFonts w:asciiTheme="majorBidi" w:hAnsiTheme="majorBidi" w:cstheme="majorBidi"/>
          <w:sz w:val="21"/>
        </w:rPr>
        <w:t>I, Gil Kotler, hereby declare that:</w:t>
      </w:r>
    </w:p>
    <w:p w14:paraId="0188E24F" w14:textId="77777777" w:rsidR="00066AAA" w:rsidRPr="00066AAA" w:rsidRDefault="00066AAA" w:rsidP="00066AAA">
      <w:pPr>
        <w:pStyle w:val="ListParagraph"/>
        <w:numPr>
          <w:ilvl w:val="0"/>
          <w:numId w:val="71"/>
        </w:numPr>
        <w:tabs>
          <w:tab w:val="left" w:pos="425"/>
        </w:tabs>
        <w:spacing w:before="60" w:after="60" w:line="276" w:lineRule="auto"/>
        <w:ind w:left="0" w:firstLine="0"/>
        <w:rPr>
          <w:rFonts w:asciiTheme="majorBidi" w:hAnsiTheme="majorBidi" w:cstheme="majorBidi"/>
          <w:sz w:val="21"/>
          <w:szCs w:val="21"/>
        </w:rPr>
      </w:pPr>
      <w:r w:rsidRPr="00066AAA">
        <w:rPr>
          <w:rFonts w:asciiTheme="majorBidi" w:hAnsiTheme="majorBidi" w:cstheme="majorBidi"/>
          <w:sz w:val="21"/>
        </w:rPr>
        <w:t>I have reviewed the interim financial statements and other financial information contained in the reports of the interim period of G City Ltd. (the “Corporation”) for the second quarter of 2024 (the “Financial Statements” or the “Interim Periodic Reports”);</w:t>
      </w:r>
    </w:p>
    <w:p w14:paraId="7B5EB422" w14:textId="77777777" w:rsidR="00066AAA" w:rsidRPr="00066AAA" w:rsidRDefault="00066AAA" w:rsidP="00066AAA">
      <w:pPr>
        <w:pStyle w:val="ListParagraph"/>
        <w:numPr>
          <w:ilvl w:val="0"/>
          <w:numId w:val="71"/>
        </w:numPr>
        <w:tabs>
          <w:tab w:val="left" w:pos="425"/>
        </w:tabs>
        <w:spacing w:before="60" w:after="60" w:line="276" w:lineRule="auto"/>
        <w:ind w:left="0" w:firstLine="0"/>
        <w:rPr>
          <w:rFonts w:asciiTheme="majorBidi" w:hAnsiTheme="majorBidi" w:cstheme="majorBidi"/>
          <w:sz w:val="21"/>
          <w:szCs w:val="21"/>
        </w:rPr>
      </w:pPr>
      <w:r w:rsidRPr="00066AAA">
        <w:rPr>
          <w:rFonts w:asciiTheme="majorBidi" w:hAnsiTheme="majorBidi" w:cstheme="majorBidi"/>
          <w:sz w:val="21"/>
        </w:rPr>
        <w:t>As far as I am aware, the interim financial statements and other financial information for the interim period included in the Statements do not include any misrepresentation of a material fact and no representation of a material fact that is required has been omitted, so that the representations included therein, in light of the circumstances in which such representations were included, will not be misleading with reference to the period covered by the Financial Statements;</w:t>
      </w:r>
    </w:p>
    <w:p w14:paraId="7B316879" w14:textId="77777777" w:rsidR="00066AAA" w:rsidRPr="00066AAA" w:rsidRDefault="00066AAA" w:rsidP="00066AAA">
      <w:pPr>
        <w:pStyle w:val="ListParagraph"/>
        <w:numPr>
          <w:ilvl w:val="0"/>
          <w:numId w:val="71"/>
        </w:numPr>
        <w:tabs>
          <w:tab w:val="left" w:pos="425"/>
        </w:tabs>
        <w:spacing w:before="60" w:after="60" w:line="276" w:lineRule="auto"/>
        <w:ind w:left="0" w:firstLine="0"/>
        <w:rPr>
          <w:rFonts w:asciiTheme="majorBidi" w:hAnsiTheme="majorBidi" w:cstheme="majorBidi"/>
          <w:sz w:val="21"/>
          <w:szCs w:val="21"/>
        </w:rPr>
      </w:pPr>
      <w:r w:rsidRPr="00066AAA">
        <w:rPr>
          <w:rFonts w:asciiTheme="majorBidi" w:hAnsiTheme="majorBidi" w:cstheme="majorBidi"/>
          <w:sz w:val="21"/>
        </w:rPr>
        <w:t>As far as I am aware, the interim financial statements and other financial information included in the Interim Periodic Reports properly reflect, in all material respects, the Corporation's financial position, results of operations and cash flows as of the dates and for the periods to which the Financial Statements relate;</w:t>
      </w:r>
    </w:p>
    <w:p w14:paraId="3181D388" w14:textId="77777777" w:rsidR="00066AAA" w:rsidRPr="00066AAA" w:rsidRDefault="00066AAA" w:rsidP="00066AAA">
      <w:pPr>
        <w:pStyle w:val="ListParagraph"/>
        <w:numPr>
          <w:ilvl w:val="0"/>
          <w:numId w:val="71"/>
        </w:numPr>
        <w:tabs>
          <w:tab w:val="left" w:pos="425"/>
        </w:tabs>
        <w:spacing w:before="60" w:after="60" w:line="276" w:lineRule="auto"/>
        <w:ind w:left="0" w:firstLine="0"/>
        <w:rPr>
          <w:rFonts w:asciiTheme="majorBidi" w:hAnsiTheme="majorBidi" w:cstheme="majorBidi"/>
          <w:sz w:val="21"/>
          <w:szCs w:val="21"/>
        </w:rPr>
      </w:pPr>
      <w:r w:rsidRPr="00066AAA">
        <w:rPr>
          <w:rFonts w:asciiTheme="majorBidi" w:hAnsiTheme="majorBidi" w:cstheme="majorBidi"/>
          <w:sz w:val="21"/>
        </w:rPr>
        <w:t>I have disclosed to the Corporation's auditors, the Board of Directors and the Audit Committee of the Board of Directors, based on my most up-to-date evaluation with respect to internal control over the Corporation's financial reporting and disclosure:</w:t>
      </w:r>
    </w:p>
    <w:p w14:paraId="5C9CDFB2" w14:textId="77777777" w:rsidR="00066AAA" w:rsidRPr="00066AAA" w:rsidRDefault="00066AAA" w:rsidP="00066AAA">
      <w:pPr>
        <w:pStyle w:val="ListParagraph"/>
        <w:numPr>
          <w:ilvl w:val="1"/>
          <w:numId w:val="71"/>
        </w:numPr>
        <w:tabs>
          <w:tab w:val="left" w:pos="425"/>
        </w:tabs>
        <w:spacing w:before="60" w:after="60" w:line="276" w:lineRule="auto"/>
        <w:ind w:left="0" w:firstLine="0"/>
        <w:rPr>
          <w:rFonts w:asciiTheme="majorBidi" w:hAnsiTheme="majorBidi" w:cstheme="majorBidi"/>
          <w:sz w:val="21"/>
          <w:szCs w:val="21"/>
        </w:rPr>
      </w:pPr>
      <w:r w:rsidRPr="00066AAA">
        <w:rPr>
          <w:rFonts w:asciiTheme="majorBidi" w:hAnsiTheme="majorBidi" w:cstheme="majorBidi"/>
          <w:sz w:val="21"/>
        </w:rPr>
        <w:t xml:space="preserve">All significant deficiencies and material weaknesses in the determination or operation of internal control over financial reporting and disclosure to the extent it relates to the interim financial statements and the other financial information included in the interim Financial Statements, which could reasonably have an adverse impact on the Corporation's ability to gather, process, summarize or report financial information in such a manner that could cause doubt with respect to the reliability of financial reporting and preparation of the financial statements in accordance with the provisions of the law; and </w:t>
      </w:r>
      <w:r w:rsidRPr="00066AAA">
        <w:rPr>
          <w:rFonts w:asciiTheme="majorBidi" w:hAnsiTheme="majorBidi" w:cstheme="majorBidi"/>
          <w:sz w:val="21"/>
          <w:rtl/>
        </w:rPr>
        <w:t>‏</w:t>
      </w:r>
      <w:r w:rsidRPr="00066AAA">
        <w:rPr>
          <w:rFonts w:asciiTheme="majorBidi" w:hAnsiTheme="majorBidi" w:cstheme="majorBidi"/>
          <w:sz w:val="21"/>
        </w:rPr>
        <w:t>-</w:t>
      </w:r>
    </w:p>
    <w:p w14:paraId="093EA0F6" w14:textId="77777777" w:rsidR="00066AAA" w:rsidRPr="00066AAA" w:rsidRDefault="00066AAA" w:rsidP="00066AAA">
      <w:pPr>
        <w:pStyle w:val="ListParagraph"/>
        <w:numPr>
          <w:ilvl w:val="1"/>
          <w:numId w:val="71"/>
        </w:numPr>
        <w:tabs>
          <w:tab w:val="left" w:pos="425"/>
        </w:tabs>
        <w:spacing w:before="60" w:after="60" w:line="276" w:lineRule="auto"/>
        <w:ind w:left="0" w:firstLine="0"/>
        <w:rPr>
          <w:rFonts w:asciiTheme="majorBidi" w:hAnsiTheme="majorBidi" w:cstheme="majorBidi"/>
          <w:sz w:val="21"/>
          <w:szCs w:val="21"/>
        </w:rPr>
      </w:pPr>
      <w:r w:rsidRPr="00066AAA">
        <w:rPr>
          <w:rFonts w:asciiTheme="majorBidi" w:hAnsiTheme="majorBidi" w:cstheme="majorBidi"/>
          <w:sz w:val="21"/>
        </w:rPr>
        <w:t>Any fraud, whether or not significant, wherein the CEO is involved or a party under his direct supervision or other employees are involved that have a significant function in internal control over financial reporting and disclosure;</w:t>
      </w:r>
    </w:p>
    <w:p w14:paraId="42B1A30E" w14:textId="77777777" w:rsidR="00066AAA" w:rsidRPr="00066AAA" w:rsidRDefault="00066AAA" w:rsidP="00066AAA">
      <w:pPr>
        <w:pStyle w:val="ListParagraph"/>
        <w:numPr>
          <w:ilvl w:val="0"/>
          <w:numId w:val="71"/>
        </w:numPr>
        <w:tabs>
          <w:tab w:val="left" w:pos="425"/>
        </w:tabs>
        <w:spacing w:before="60" w:after="60" w:line="276" w:lineRule="auto"/>
        <w:ind w:left="0" w:firstLine="0"/>
        <w:rPr>
          <w:rFonts w:asciiTheme="majorBidi" w:hAnsiTheme="majorBidi" w:cstheme="majorBidi"/>
          <w:sz w:val="21"/>
          <w:szCs w:val="21"/>
        </w:rPr>
      </w:pPr>
      <w:r w:rsidRPr="00066AAA">
        <w:rPr>
          <w:rFonts w:asciiTheme="majorBidi" w:hAnsiTheme="majorBidi" w:cstheme="majorBidi"/>
          <w:sz w:val="21"/>
        </w:rPr>
        <w:t>I, alone or together with others in the Corporation:</w:t>
      </w:r>
    </w:p>
    <w:p w14:paraId="33C937F0" w14:textId="77777777" w:rsidR="00066AAA" w:rsidRPr="00066AAA" w:rsidRDefault="00066AAA" w:rsidP="00066AAA">
      <w:pPr>
        <w:pStyle w:val="ListParagraph"/>
        <w:numPr>
          <w:ilvl w:val="1"/>
          <w:numId w:val="71"/>
        </w:numPr>
        <w:tabs>
          <w:tab w:val="left" w:pos="425"/>
        </w:tabs>
        <w:spacing w:before="60" w:after="60" w:line="276" w:lineRule="auto"/>
        <w:ind w:left="0" w:firstLine="0"/>
        <w:rPr>
          <w:rFonts w:asciiTheme="majorBidi" w:hAnsiTheme="majorBidi" w:cstheme="majorBidi"/>
          <w:sz w:val="21"/>
          <w:szCs w:val="21"/>
        </w:rPr>
      </w:pPr>
      <w:r w:rsidRPr="00066AAA">
        <w:rPr>
          <w:rFonts w:asciiTheme="majorBidi" w:hAnsiTheme="majorBidi" w:cstheme="majorBidi"/>
          <w:sz w:val="21"/>
        </w:rPr>
        <w:t>Have determined controls and procedures, or</w:t>
      </w:r>
      <w:r w:rsidRPr="00066AAA">
        <w:rPr>
          <w:rFonts w:asciiTheme="majorBidi" w:hAnsiTheme="majorBidi" w:cstheme="majorBidi"/>
          <w:sz w:val="21"/>
          <w:rtl/>
        </w:rPr>
        <w:t>‏ ‏</w:t>
      </w:r>
      <w:r w:rsidRPr="00066AAA">
        <w:rPr>
          <w:rFonts w:asciiTheme="majorBidi" w:hAnsiTheme="majorBidi" w:cstheme="majorBidi"/>
          <w:sz w:val="21"/>
        </w:rPr>
        <w:t>have verified the determination and existence of controls and procedures under my supervision, which are designed to ensure that significant information relating to the Corporation, including subsidiaries as defined in the Securities Regulations (Annual Financial Statements), 2010, is brought to my attention by others in the Corporation and the subsidiaries, particularly during the period of preparation of the financial statements; and -</w:t>
      </w:r>
    </w:p>
    <w:p w14:paraId="4973C296" w14:textId="77777777" w:rsidR="00066AAA" w:rsidRPr="00066AAA" w:rsidRDefault="00066AAA" w:rsidP="00066AAA">
      <w:pPr>
        <w:pStyle w:val="ListParagraph"/>
        <w:numPr>
          <w:ilvl w:val="1"/>
          <w:numId w:val="71"/>
        </w:numPr>
        <w:tabs>
          <w:tab w:val="left" w:pos="425"/>
        </w:tabs>
        <w:spacing w:before="60" w:after="60" w:line="276" w:lineRule="auto"/>
        <w:ind w:left="0" w:firstLine="0"/>
        <w:rPr>
          <w:rFonts w:asciiTheme="majorBidi" w:hAnsiTheme="majorBidi" w:cstheme="majorBidi"/>
          <w:sz w:val="21"/>
          <w:szCs w:val="21"/>
        </w:rPr>
      </w:pPr>
      <w:r w:rsidRPr="00066AAA">
        <w:rPr>
          <w:rFonts w:asciiTheme="majorBidi" w:hAnsiTheme="majorBidi" w:cstheme="majorBidi"/>
          <w:sz w:val="21"/>
        </w:rPr>
        <w:t>Have determined controls and procedures, or</w:t>
      </w:r>
      <w:r w:rsidRPr="00066AAA">
        <w:rPr>
          <w:rFonts w:asciiTheme="majorBidi" w:hAnsiTheme="majorBidi" w:cstheme="majorBidi"/>
          <w:sz w:val="21"/>
          <w:rtl/>
        </w:rPr>
        <w:t>‏ ‏</w:t>
      </w:r>
      <w:r w:rsidRPr="00066AAA">
        <w:rPr>
          <w:rFonts w:asciiTheme="majorBidi" w:hAnsiTheme="majorBidi" w:cstheme="majorBidi"/>
          <w:sz w:val="21"/>
        </w:rPr>
        <w:t>have verified the determination and existence of controls and procedures under my supervision, which are designed to provide reasonable assurance regarding the reliability of financial reporting and preparation of the financial statements in accordance with the provisions of the law, including in accordance with generally accepted accounting principles.</w:t>
      </w:r>
    </w:p>
    <w:p w14:paraId="78FCCA82" w14:textId="421BAD57" w:rsidR="00066AAA" w:rsidRPr="00066AAA" w:rsidRDefault="00066AAA" w:rsidP="00066AAA">
      <w:pPr>
        <w:pStyle w:val="ListParagraph"/>
        <w:numPr>
          <w:ilvl w:val="1"/>
          <w:numId w:val="71"/>
        </w:numPr>
        <w:tabs>
          <w:tab w:val="left" w:pos="425"/>
        </w:tabs>
        <w:spacing w:before="60" w:after="60" w:line="276" w:lineRule="auto"/>
        <w:ind w:left="0" w:firstLine="0"/>
        <w:rPr>
          <w:rFonts w:asciiTheme="majorBidi" w:hAnsiTheme="majorBidi" w:cstheme="majorBidi"/>
          <w:sz w:val="21"/>
          <w:szCs w:val="21"/>
        </w:rPr>
      </w:pPr>
      <w:r w:rsidRPr="00066AAA">
        <w:rPr>
          <w:rFonts w:asciiTheme="majorBidi" w:hAnsiTheme="majorBidi" w:cstheme="majorBidi"/>
          <w:sz w:val="21"/>
        </w:rPr>
        <w:t>No event or matter that occurred during the period from the last Quarterly Report and the date of this Report that relates to the interim Financial Statements and to all other financial information contained in the interim Financial Statements, was brought to my attention, which could change, in my opinion, the conclusions of the board of directors and the management regarding the effectiveness of the internal control over and disclosure of the Corporation’s financial reporting.</w:t>
      </w:r>
    </w:p>
    <w:p w14:paraId="14F1CB26" w14:textId="77777777" w:rsidR="00066AAA" w:rsidRPr="00066AAA" w:rsidRDefault="00066AAA" w:rsidP="00066AAA">
      <w:pPr>
        <w:tabs>
          <w:tab w:val="left" w:pos="425"/>
        </w:tabs>
        <w:rPr>
          <w:rFonts w:asciiTheme="majorBidi" w:hAnsiTheme="majorBidi" w:cstheme="majorBidi"/>
          <w:sz w:val="21"/>
          <w:szCs w:val="21"/>
        </w:rPr>
      </w:pPr>
      <w:r w:rsidRPr="00066AAA">
        <w:rPr>
          <w:rFonts w:asciiTheme="majorBidi" w:hAnsiTheme="majorBidi" w:cstheme="majorBidi"/>
          <w:sz w:val="21"/>
        </w:rPr>
        <w:t>Nothing stated above detracts from my responsibility or the responsibility of any other person under any law.</w:t>
      </w:r>
    </w:p>
    <w:tbl>
      <w:tblPr>
        <w:tblStyle w:val="TableGrid"/>
        <w:tblW w:w="0" w:type="auto"/>
        <w:tblBorders>
          <w:top w:val="none" w:sz="0" w:space="0" w:color="auto"/>
          <w:left w:val="none" w:sz="0" w:space="0" w:color="auto"/>
          <w:bottom w:val="none" w:sz="0" w:space="0" w:color="auto"/>
          <w:right w:val="none" w:sz="0" w:space="0" w:color="auto"/>
          <w:insideH w:val="nil"/>
          <w:insideV w:val="nil"/>
        </w:tblBorders>
        <w:tblCellMar>
          <w:left w:w="28" w:type="dxa"/>
          <w:right w:w="28" w:type="dxa"/>
        </w:tblCellMar>
        <w:tblLook w:val="04A0" w:firstRow="1" w:lastRow="0" w:firstColumn="1" w:lastColumn="0" w:noHBand="0" w:noVBand="1"/>
      </w:tblPr>
      <w:tblGrid>
        <w:gridCol w:w="3310"/>
        <w:gridCol w:w="3298"/>
        <w:gridCol w:w="3313"/>
      </w:tblGrid>
      <w:tr w:rsidR="00066AAA" w:rsidRPr="00066AAA" w14:paraId="70A061AB" w14:textId="77777777" w:rsidTr="00066AAA">
        <w:trPr>
          <w:cantSplit/>
          <w:trHeight w:val="454"/>
        </w:trPr>
        <w:tc>
          <w:tcPr>
            <w:tcW w:w="3327" w:type="dxa"/>
            <w:tcBorders>
              <w:top w:val="nil"/>
              <w:left w:val="nil"/>
              <w:bottom w:val="nil"/>
              <w:right w:val="nil"/>
            </w:tcBorders>
            <w:vAlign w:val="bottom"/>
            <w:hideMark/>
          </w:tcPr>
          <w:p w14:paraId="1B0B3644" w14:textId="1070C2BC" w:rsidR="00066AAA" w:rsidRPr="00066AAA" w:rsidRDefault="00066AAA">
            <w:pPr>
              <w:pStyle w:val="ListParagraph"/>
              <w:keepNext/>
              <w:tabs>
                <w:tab w:val="left" w:pos="425"/>
              </w:tabs>
              <w:ind w:left="0"/>
              <w:jc w:val="left"/>
              <w:rPr>
                <w:rFonts w:asciiTheme="majorBidi" w:hAnsiTheme="majorBidi" w:cstheme="majorBidi"/>
              </w:rPr>
            </w:pPr>
            <w:r w:rsidRPr="00066AAA">
              <w:rPr>
                <w:rFonts w:asciiTheme="majorBidi" w:hAnsiTheme="majorBidi" w:cstheme="majorBidi"/>
              </w:rPr>
              <w:t>August 14, 2024</w:t>
            </w:r>
          </w:p>
        </w:tc>
        <w:tc>
          <w:tcPr>
            <w:tcW w:w="3319" w:type="dxa"/>
            <w:tcBorders>
              <w:top w:val="nil"/>
              <w:left w:val="nil"/>
              <w:bottom w:val="nil"/>
              <w:right w:val="nil"/>
            </w:tcBorders>
            <w:vAlign w:val="bottom"/>
          </w:tcPr>
          <w:p w14:paraId="182D90CB" w14:textId="77777777" w:rsidR="00066AAA" w:rsidRPr="00066AAA" w:rsidRDefault="00066AAA">
            <w:pPr>
              <w:pStyle w:val="ListParagraph"/>
              <w:keepNext/>
              <w:tabs>
                <w:tab w:val="left" w:pos="425"/>
              </w:tabs>
              <w:ind w:left="0"/>
              <w:jc w:val="left"/>
              <w:rPr>
                <w:rFonts w:asciiTheme="majorBidi" w:hAnsiTheme="majorBidi" w:cstheme="majorBidi"/>
              </w:rPr>
            </w:pPr>
          </w:p>
        </w:tc>
        <w:tc>
          <w:tcPr>
            <w:tcW w:w="3331" w:type="dxa"/>
            <w:tcBorders>
              <w:top w:val="nil"/>
              <w:left w:val="nil"/>
              <w:bottom w:val="single" w:sz="4" w:space="0" w:color="auto"/>
              <w:right w:val="nil"/>
            </w:tcBorders>
            <w:vAlign w:val="bottom"/>
          </w:tcPr>
          <w:p w14:paraId="2718772B" w14:textId="77777777" w:rsidR="00066AAA" w:rsidRPr="00066AAA" w:rsidRDefault="00066AAA">
            <w:pPr>
              <w:pStyle w:val="ListParagraph"/>
              <w:keepNext/>
              <w:tabs>
                <w:tab w:val="left" w:pos="425"/>
              </w:tabs>
              <w:ind w:left="0"/>
              <w:jc w:val="left"/>
              <w:rPr>
                <w:rFonts w:asciiTheme="majorBidi" w:hAnsiTheme="majorBidi" w:cstheme="majorBidi"/>
                <w:rtl/>
              </w:rPr>
            </w:pPr>
          </w:p>
        </w:tc>
      </w:tr>
      <w:tr w:rsidR="00066AAA" w:rsidRPr="00066AAA" w14:paraId="7B04E6BF" w14:textId="77777777" w:rsidTr="00066AAA">
        <w:trPr>
          <w:cantSplit/>
        </w:trPr>
        <w:tc>
          <w:tcPr>
            <w:tcW w:w="3327" w:type="dxa"/>
            <w:tcBorders>
              <w:top w:val="nil"/>
              <w:left w:val="nil"/>
              <w:bottom w:val="nil"/>
              <w:right w:val="nil"/>
            </w:tcBorders>
          </w:tcPr>
          <w:p w14:paraId="53CFCE0A" w14:textId="77777777" w:rsidR="00066AAA" w:rsidRPr="00066AAA" w:rsidRDefault="00066AAA">
            <w:pPr>
              <w:pStyle w:val="ListParagraph"/>
              <w:keepNext/>
              <w:tabs>
                <w:tab w:val="left" w:pos="425"/>
              </w:tabs>
              <w:ind w:left="0"/>
              <w:rPr>
                <w:rFonts w:asciiTheme="majorBidi" w:hAnsiTheme="majorBidi" w:cstheme="majorBidi"/>
                <w:rtl/>
              </w:rPr>
            </w:pPr>
          </w:p>
        </w:tc>
        <w:tc>
          <w:tcPr>
            <w:tcW w:w="3319" w:type="dxa"/>
            <w:tcBorders>
              <w:top w:val="nil"/>
              <w:left w:val="nil"/>
              <w:bottom w:val="nil"/>
              <w:right w:val="nil"/>
            </w:tcBorders>
          </w:tcPr>
          <w:p w14:paraId="66202548" w14:textId="77777777" w:rsidR="00066AAA" w:rsidRPr="00066AAA" w:rsidRDefault="00066AAA">
            <w:pPr>
              <w:pStyle w:val="ListParagraph"/>
              <w:keepNext/>
              <w:tabs>
                <w:tab w:val="left" w:pos="425"/>
              </w:tabs>
              <w:ind w:left="0"/>
              <w:rPr>
                <w:rFonts w:asciiTheme="majorBidi" w:hAnsiTheme="majorBidi" w:cstheme="majorBidi"/>
                <w:rtl/>
              </w:rPr>
            </w:pPr>
          </w:p>
        </w:tc>
        <w:tc>
          <w:tcPr>
            <w:tcW w:w="3331" w:type="dxa"/>
            <w:tcBorders>
              <w:top w:val="single" w:sz="4" w:space="0" w:color="auto"/>
              <w:left w:val="nil"/>
              <w:bottom w:val="nil"/>
              <w:right w:val="nil"/>
            </w:tcBorders>
            <w:hideMark/>
          </w:tcPr>
          <w:p w14:paraId="7A431837" w14:textId="77777777" w:rsidR="00066AAA" w:rsidRPr="00066AAA" w:rsidRDefault="00066AAA">
            <w:pPr>
              <w:keepNext/>
              <w:tabs>
                <w:tab w:val="left" w:pos="425"/>
              </w:tabs>
              <w:spacing w:before="0"/>
              <w:contextualSpacing/>
              <w:jc w:val="center"/>
              <w:rPr>
                <w:rFonts w:asciiTheme="majorBidi" w:hAnsiTheme="majorBidi" w:cstheme="majorBidi"/>
                <w:rtl/>
              </w:rPr>
            </w:pPr>
            <w:r w:rsidRPr="00066AAA">
              <w:rPr>
                <w:rFonts w:asciiTheme="majorBidi" w:hAnsiTheme="majorBidi" w:cstheme="majorBidi"/>
              </w:rPr>
              <w:t>Gil Kotler, CFO</w:t>
            </w:r>
          </w:p>
        </w:tc>
      </w:tr>
    </w:tbl>
    <w:p w14:paraId="06151577" w14:textId="77777777" w:rsidR="00066AAA" w:rsidRDefault="00066AAA" w:rsidP="00066AAA">
      <w:pPr>
        <w:tabs>
          <w:tab w:val="left" w:pos="425"/>
        </w:tabs>
        <w:spacing w:before="0" w:after="0"/>
        <w:contextualSpacing/>
        <w:rPr>
          <w:rFonts w:ascii="Ploni ML Medium AAA Medium" w:hAnsi="Ploni ML Medium AAA Medium" w:cs="Ploni ML Medium AAA Medium"/>
          <w:sz w:val="21"/>
          <w:szCs w:val="21"/>
        </w:rPr>
      </w:pPr>
    </w:p>
    <w:p w14:paraId="3A88CAB5" w14:textId="71E5353E" w:rsidR="0087141C" w:rsidRDefault="0087141C" w:rsidP="002459BC">
      <w:pPr>
        <w:pStyle w:val="Normal19"/>
        <w:rPr>
          <w:color w:val="000000"/>
          <w:lang w:bidi="ar-SA"/>
        </w:rPr>
      </w:pPr>
    </w:p>
    <w:p w14:paraId="3D1D263B" w14:textId="1DB1A28F" w:rsidR="00AC70AE" w:rsidRPr="00AC70AE" w:rsidRDefault="00AC70AE" w:rsidP="002459FE">
      <w:pPr>
        <w:spacing w:before="0" w:after="200"/>
        <w:jc w:val="left"/>
        <w:rPr>
          <w:rFonts w:eastAsia="Calibri"/>
          <w:vanish/>
          <w:bdr w:val="nil"/>
        </w:rPr>
      </w:pPr>
    </w:p>
    <w:p w14:paraId="239FFF5C" w14:textId="77777777" w:rsidR="00814ACA" w:rsidRPr="00E7186C" w:rsidRDefault="00814ACA" w:rsidP="00652D7B">
      <w:pPr>
        <w:pBdr>
          <w:top w:val="nil"/>
          <w:left w:val="nil"/>
          <w:bottom w:val="nil"/>
          <w:right w:val="nil"/>
          <w:between w:val="nil"/>
          <w:bar w:val="nil"/>
        </w:pBdr>
        <w:spacing w:before="0" w:after="0"/>
        <w:rPr>
          <w:rFonts w:eastAsia="Calibri"/>
          <w:vanish/>
          <w:bdr w:val="nil"/>
        </w:rPr>
      </w:pPr>
    </w:p>
    <w:sectPr w:rsidR="00814ACA" w:rsidRPr="00E7186C" w:rsidSect="0087141C">
      <w:headerReference w:type="default" r:id="rId101"/>
      <w:footnotePr>
        <w:numRestart w:val="eachPage"/>
      </w:footnotePr>
      <w:pgSz w:w="11906" w:h="16838"/>
      <w:pgMar w:top="1418" w:right="1134" w:bottom="1134" w:left="851" w:header="567" w:footer="567" w:gutter="0"/>
      <w:pgBorders>
        <w:top w:val="nil"/>
        <w:left w:val="nil"/>
        <w:bottom w:val="nil"/>
        <w:right w:val="nil"/>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750D" w14:textId="77777777" w:rsidR="008A4B1F" w:rsidRDefault="008A4B1F">
      <w:pPr>
        <w:spacing w:before="0" w:after="0" w:line="240" w:lineRule="auto"/>
      </w:pPr>
      <w:r>
        <w:separator/>
      </w:r>
    </w:p>
  </w:endnote>
  <w:endnote w:type="continuationSeparator" w:id="0">
    <w:p w14:paraId="0E95E49F" w14:textId="77777777" w:rsidR="008A4B1F" w:rsidRDefault="008A4B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Text">
    <w:charset w:val="00"/>
    <w:family w:val="roman"/>
    <w:pitch w:val="variable"/>
    <w:sig w:usb0="8000002F" w:usb1="0000000A" w:usb2="00000000" w:usb3="00000000" w:csb0="00000001" w:csb1="00000000"/>
  </w:font>
  <w:font w:name="Ploni ML Medium AAA Medium">
    <w:altName w:val="Arial"/>
    <w:panose1 w:val="00000600000000000000"/>
    <w:charset w:val="00"/>
    <w:family w:val="auto"/>
    <w:pitch w:val="variable"/>
    <w:sig w:usb0="00000A07" w:usb1="42000000" w:usb2="00000000" w:usb3="00000000" w:csb0="000000B7"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avid">
    <w:panose1 w:val="020E0502060401010101"/>
    <w:charset w:val="00"/>
    <w:family w:val="swiss"/>
    <w:pitch w:val="variable"/>
    <w:sig w:usb0="00000803" w:usb1="00000000" w:usb2="00000000" w:usb3="00000000" w:csb0="00000021" w:csb1="00000000"/>
  </w:font>
  <w:font w:name="inherit">
    <w:altName w:val="Cambria"/>
    <w:panose1 w:val="00000000000000000000"/>
    <w:charset w:val="00"/>
    <w:family w:val="roman"/>
    <w:notTrueType/>
    <w:pitch w:val="default"/>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AF0F" w14:textId="77777777" w:rsidR="0085581F" w:rsidRDefault="0085581F"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1B37CDC9" w14:textId="77777777" w:rsidR="0085581F" w:rsidRPr="00B31614" w:rsidRDefault="0085581F"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8</w:t>
    </w:r>
    <w:r w:rsidRPr="00B31614">
      <w:rPr>
        <w:rFonts w:ascii="Ploni ML Medium AAA Medium" w:eastAsia="Times New Roman" w:hAnsi="Ploni ML Medium AAA Medium" w:cs="Ploni ML Medium AAA Medium"/>
        <w:color w:val="000031"/>
        <w:sz w:val="2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20B9" w14:textId="77777777" w:rsidR="00213131" w:rsidRDefault="00213131"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5AC4307F" w14:textId="77777777" w:rsidR="00213131" w:rsidRPr="00B31614" w:rsidRDefault="00213131"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4</w:t>
    </w:r>
    <w:r w:rsidRPr="00B31614">
      <w:rPr>
        <w:rFonts w:ascii="Ploni ML Medium AAA Medium" w:eastAsia="Times New Roman" w:hAnsi="Ploni ML Medium AAA Medium" w:cs="Ploni ML Medium AAA Medium"/>
        <w:color w:val="000031"/>
        <w:sz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6D04" w14:textId="77777777" w:rsidR="00213131" w:rsidRDefault="00213131"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16A4F3F1" w14:textId="77777777" w:rsidR="00213131" w:rsidRPr="00B31614" w:rsidRDefault="00213131"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4</w:t>
    </w:r>
    <w:r w:rsidRPr="00B31614">
      <w:rPr>
        <w:rFonts w:ascii="Ploni ML Medium AAA Medium" w:eastAsia="Times New Roman" w:hAnsi="Ploni ML Medium AAA Medium" w:cs="Ploni ML Medium AAA Medium"/>
        <w:color w:val="000031"/>
        <w:sz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1A01" w14:textId="77777777" w:rsidR="00213131" w:rsidRDefault="00213131"/>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9E9A" w14:textId="77777777" w:rsidR="00213131" w:rsidRDefault="00213131"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40C97760" w14:textId="77777777" w:rsidR="00213131" w:rsidRPr="00B31614" w:rsidRDefault="00213131"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1</w:t>
    </w:r>
    <w:r w:rsidRPr="00B31614">
      <w:rPr>
        <w:rFonts w:ascii="Ploni ML Medium AAA Medium" w:eastAsia="Times New Roman" w:hAnsi="Ploni ML Medium AAA Medium" w:cs="Ploni ML Medium AAA Medium"/>
        <w:color w:val="000031"/>
        <w:sz w:val="21"/>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F47F" w14:textId="77777777" w:rsidR="00213131" w:rsidRDefault="00213131"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59618A9F" w14:textId="77777777" w:rsidR="00213131" w:rsidRPr="00B31614" w:rsidRDefault="00213131"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5</w:t>
    </w:r>
    <w:r w:rsidRPr="00B31614">
      <w:rPr>
        <w:rFonts w:ascii="Ploni ML Medium AAA Medium" w:eastAsia="Times New Roman" w:hAnsi="Ploni ML Medium AAA Medium" w:cs="Ploni ML Medium AAA Medium"/>
        <w:color w:val="000031"/>
        <w:sz w:val="21"/>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6EAE" w14:textId="77777777" w:rsidR="00213131" w:rsidRDefault="00213131"/>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23BF" w14:textId="77777777" w:rsidR="00213131" w:rsidRDefault="00213131"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15061182" w14:textId="77777777" w:rsidR="00213131" w:rsidRPr="00B31614" w:rsidRDefault="00213131"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6</w:t>
    </w:r>
    <w:r w:rsidRPr="00B31614">
      <w:rPr>
        <w:rFonts w:ascii="Ploni ML Medium AAA Medium" w:eastAsia="Times New Roman" w:hAnsi="Ploni ML Medium AAA Medium" w:cs="Ploni ML Medium AAA Medium"/>
        <w:color w:val="000031"/>
        <w:sz w:val="21"/>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B0BE" w14:textId="77777777" w:rsidR="00213131" w:rsidRDefault="00213131"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464845BF" w14:textId="77777777" w:rsidR="00213131" w:rsidRPr="00B31614" w:rsidRDefault="00213131"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6</w:t>
    </w:r>
    <w:r w:rsidRPr="00B31614">
      <w:rPr>
        <w:rFonts w:ascii="Ploni ML Medium AAA Medium" w:eastAsia="Times New Roman" w:hAnsi="Ploni ML Medium AAA Medium" w:cs="Ploni ML Medium AAA Medium"/>
        <w:color w:val="000031"/>
        <w:sz w:val="21"/>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0BBA" w14:textId="77777777" w:rsidR="00213131" w:rsidRDefault="00213131"/>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512" w14:textId="77777777" w:rsidR="00213131" w:rsidRDefault="00213131"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3A04EA14" w14:textId="77777777" w:rsidR="00213131" w:rsidRPr="00B31614" w:rsidRDefault="00213131"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10</w:t>
    </w:r>
    <w:r w:rsidRPr="00B31614">
      <w:rPr>
        <w:rFonts w:ascii="Ploni ML Medium AAA Medium" w:eastAsia="Times New Roman" w:hAnsi="Ploni ML Medium AAA Medium" w:cs="Ploni ML Medium AAA Medium"/>
        <w:color w:val="000031"/>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5A1A" w14:textId="77777777" w:rsidR="0085581F" w:rsidRDefault="0085581F"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181B73AF" w14:textId="77777777" w:rsidR="0085581F" w:rsidRPr="00B31614" w:rsidRDefault="0085581F"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37</w:t>
    </w:r>
    <w:r w:rsidRPr="00B31614">
      <w:rPr>
        <w:rFonts w:ascii="Ploni ML Medium AAA Medium" w:eastAsia="Times New Roman" w:hAnsi="Ploni ML Medium AAA Medium" w:cs="Ploni ML Medium AAA Medium"/>
        <w:color w:val="000031"/>
        <w:sz w:val="21"/>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96E7" w14:textId="77777777" w:rsidR="00213131" w:rsidRDefault="00213131"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5764D7EF" w14:textId="77777777" w:rsidR="00213131" w:rsidRPr="00B31614" w:rsidRDefault="00213131"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11</w:t>
    </w:r>
    <w:r w:rsidRPr="00B31614">
      <w:rPr>
        <w:rFonts w:ascii="Ploni ML Medium AAA Medium" w:eastAsia="Times New Roman" w:hAnsi="Ploni ML Medium AAA Medium" w:cs="Ploni ML Medium AAA Medium"/>
        <w:color w:val="000031"/>
        <w:sz w:val="21"/>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2B39" w14:textId="77777777" w:rsidR="00213131" w:rsidRDefault="00213131"/>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1FDE" w14:textId="77777777" w:rsidR="00213131" w:rsidRDefault="00213131"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17747246" w14:textId="77777777" w:rsidR="00213131" w:rsidRPr="00B31614" w:rsidRDefault="00213131"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14</w:t>
    </w:r>
    <w:r w:rsidRPr="00B31614">
      <w:rPr>
        <w:rFonts w:ascii="Ploni ML Medium AAA Medium" w:eastAsia="Times New Roman" w:hAnsi="Ploni ML Medium AAA Medium" w:cs="Ploni ML Medium AAA Medium"/>
        <w:color w:val="000031"/>
        <w:sz w:val="21"/>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E866" w14:textId="77777777" w:rsidR="00213131" w:rsidRDefault="00213131"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3EB0625A" w14:textId="77777777" w:rsidR="00213131" w:rsidRPr="00B31614" w:rsidRDefault="00213131"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14</w:t>
    </w:r>
    <w:r w:rsidRPr="00B31614">
      <w:rPr>
        <w:rFonts w:ascii="Ploni ML Medium AAA Medium" w:eastAsia="Times New Roman" w:hAnsi="Ploni ML Medium AAA Medium" w:cs="Ploni ML Medium AAA Medium"/>
        <w:color w:val="000031"/>
        <w:sz w:val="21"/>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CEBE" w14:textId="77777777" w:rsidR="00213131" w:rsidRDefault="00213131"/>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DD5E" w14:textId="77777777" w:rsidR="007F4C68" w:rsidRDefault="007F4C68"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7F0C16D1" w14:textId="77777777" w:rsidR="007F4C68" w:rsidRPr="00B31614" w:rsidRDefault="007F4C68"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2</w:t>
    </w:r>
    <w:r w:rsidRPr="00B31614">
      <w:rPr>
        <w:rFonts w:ascii="Ploni ML Medium AAA Medium" w:eastAsia="Times New Roman" w:hAnsi="Ploni ML Medium AAA Medium" w:cs="Ploni ML Medium AAA Medium"/>
        <w:color w:val="000031"/>
        <w:sz w:val="21"/>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7687" w14:textId="77777777" w:rsidR="007F4C68" w:rsidRDefault="007F4C68"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528DE3D2" w14:textId="77777777" w:rsidR="007F4C68" w:rsidRPr="00B31614" w:rsidRDefault="007F4C68"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3</w:t>
    </w:r>
    <w:r w:rsidRPr="00B31614">
      <w:rPr>
        <w:rFonts w:ascii="Ploni ML Medium AAA Medium" w:eastAsia="Times New Roman" w:hAnsi="Ploni ML Medium AAA Medium" w:cs="Ploni ML Medium AAA Medium"/>
        <w:color w:val="000031"/>
        <w:sz w:val="21"/>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6E1C" w14:textId="77777777" w:rsidR="007F4C68" w:rsidRDefault="007F4C68"/>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496E" w14:textId="77777777" w:rsidR="007F4C68" w:rsidRDefault="007F4C68"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4230D34F" w14:textId="77777777" w:rsidR="007F4C68" w:rsidRPr="00B31614" w:rsidRDefault="007F4C68"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4</w:t>
    </w:r>
    <w:r w:rsidRPr="00B31614">
      <w:rPr>
        <w:rFonts w:ascii="Ploni ML Medium AAA Medium" w:eastAsia="Times New Roman" w:hAnsi="Ploni ML Medium AAA Medium" w:cs="Ploni ML Medium AAA Medium"/>
        <w:color w:val="000031"/>
        <w:sz w:val="21"/>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53C5" w14:textId="77777777" w:rsidR="007F4C68" w:rsidRDefault="007F4C68"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75395553" w14:textId="77777777" w:rsidR="007F4C68" w:rsidRPr="00B31614" w:rsidRDefault="007F4C68"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5</w:t>
    </w:r>
    <w:r w:rsidRPr="00B31614">
      <w:rPr>
        <w:rFonts w:ascii="Ploni ML Medium AAA Medium" w:eastAsia="Times New Roman" w:hAnsi="Ploni ML Medium AAA Medium" w:cs="Ploni ML Medium AAA Medium"/>
        <w:color w:val="000031"/>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F5F9" w14:textId="77777777" w:rsidR="0085581F" w:rsidRDefault="0085581F"/>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40CE" w14:textId="77777777" w:rsidR="007F4C68" w:rsidRDefault="007F4C68"/>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DA4A" w14:textId="77777777" w:rsidR="007F4C68" w:rsidRDefault="007F4C68"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3D8D06B3" w14:textId="77777777" w:rsidR="007F4C68" w:rsidRPr="00B31614" w:rsidRDefault="007F4C68"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6</w:t>
    </w:r>
    <w:r w:rsidRPr="00B31614">
      <w:rPr>
        <w:rFonts w:ascii="Ploni ML Medium AAA Medium" w:eastAsia="Times New Roman" w:hAnsi="Ploni ML Medium AAA Medium" w:cs="Ploni ML Medium AAA Medium"/>
        <w:color w:val="000031"/>
        <w:sz w:val="21"/>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205" w14:textId="77777777" w:rsidR="007F4C68" w:rsidRDefault="007F4C68"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460D4561" w14:textId="77777777" w:rsidR="007F4C68" w:rsidRPr="00B31614" w:rsidRDefault="007F4C68"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6</w:t>
    </w:r>
    <w:r w:rsidRPr="00B31614">
      <w:rPr>
        <w:rFonts w:ascii="Ploni ML Medium AAA Medium" w:eastAsia="Times New Roman" w:hAnsi="Ploni ML Medium AAA Medium" w:cs="Ploni ML Medium AAA Medium"/>
        <w:color w:val="000031"/>
        <w:sz w:val="21"/>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7C57" w14:textId="77777777" w:rsidR="007F4C68" w:rsidRDefault="007F4C68"/>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D3E" w14:textId="77777777" w:rsidR="007F4C68" w:rsidRDefault="007F4C68"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040C4B02" w14:textId="77777777" w:rsidR="007F4C68" w:rsidRPr="00B31614" w:rsidRDefault="007F4C68"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1</w:t>
    </w:r>
    <w:r w:rsidRPr="00B31614">
      <w:rPr>
        <w:rFonts w:ascii="Ploni ML Medium AAA Medium" w:eastAsia="Times New Roman" w:hAnsi="Ploni ML Medium AAA Medium" w:cs="Ploni ML Medium AAA Medium"/>
        <w:color w:val="000031"/>
        <w:sz w:val="21"/>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2CAF" w14:textId="77777777" w:rsidR="007F4C68" w:rsidRDefault="007F4C68"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3AF9F4BD" w14:textId="77777777" w:rsidR="007F4C68" w:rsidRPr="00B31614" w:rsidRDefault="007F4C68"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7</w:t>
    </w:r>
    <w:r w:rsidRPr="00B31614">
      <w:rPr>
        <w:rFonts w:ascii="Ploni ML Medium AAA Medium" w:eastAsia="Times New Roman" w:hAnsi="Ploni ML Medium AAA Medium" w:cs="Ploni ML Medium AAA Medium"/>
        <w:color w:val="000031"/>
        <w:sz w:val="21"/>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0AE0" w14:textId="77777777" w:rsidR="007F4C68" w:rsidRDefault="007F4C68"/>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9D01" w14:textId="77777777" w:rsidR="007F4C68" w:rsidRDefault="007F4C68"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4095F02D" w14:textId="77777777" w:rsidR="007F4C68" w:rsidRPr="00B31614" w:rsidRDefault="007F4C68"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10</w:t>
    </w:r>
    <w:r w:rsidRPr="00B31614">
      <w:rPr>
        <w:rFonts w:ascii="Ploni ML Medium AAA Medium" w:eastAsia="Times New Roman" w:hAnsi="Ploni ML Medium AAA Medium" w:cs="Ploni ML Medium AAA Medium"/>
        <w:color w:val="000031"/>
        <w:sz w:val="21"/>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0338" w14:textId="77777777" w:rsidR="007F4C68" w:rsidRDefault="007F4C68"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089765E5" w14:textId="77777777" w:rsidR="007F4C68" w:rsidRPr="00B31614" w:rsidRDefault="007F4C68"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10</w:t>
    </w:r>
    <w:r w:rsidRPr="00B31614">
      <w:rPr>
        <w:rFonts w:ascii="Ploni ML Medium AAA Medium" w:eastAsia="Times New Roman" w:hAnsi="Ploni ML Medium AAA Medium" w:cs="Ploni ML Medium AAA Medium"/>
        <w:color w:val="000031"/>
        <w:sz w:val="21"/>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5E5A" w14:textId="77777777" w:rsidR="007F4C68" w:rsidRDefault="007F4C6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09DF" w14:textId="77777777" w:rsidR="00792589" w:rsidRPr="00B576A5" w:rsidRDefault="00774C54" w:rsidP="00B576A5">
    <w:pPr>
      <w:pStyle w:val="Header0"/>
      <w:pBdr>
        <w:top w:val="nil"/>
        <w:left w:val="nil"/>
        <w:bottom w:val="nil"/>
        <w:right w:val="nil"/>
        <w:between w:val="nil"/>
        <w:bar w:val="nil"/>
      </w:pBdr>
      <w:jc w:val="center"/>
      <w:rPr>
        <w:rFonts w:eastAsia="Times New Roman"/>
        <w:bdr w:val="nil"/>
      </w:rPr>
    </w:pPr>
    <w:r>
      <w:rPr>
        <w:rFonts w:eastAsia="Times New Roman"/>
        <w:bdr w:val="nil"/>
      </w:rPr>
      <w:fldChar w:fldCharType="begin"/>
    </w:r>
    <w:r>
      <w:rPr>
        <w:rFonts w:eastAsia="Times New Roman"/>
        <w:bdr w:val="nil"/>
      </w:rPr>
      <w:instrText xml:space="preserve"> PAGE  \* Arabic  \* MERGEFORMAT </w:instrText>
    </w:r>
    <w:r>
      <w:rPr>
        <w:rFonts w:eastAsia="Times New Roman"/>
        <w:bdr w:val="nil"/>
      </w:rPr>
      <w:fldChar w:fldCharType="separate"/>
    </w:r>
    <w:r>
      <w:rPr>
        <w:rFonts w:eastAsia="Times New Roman"/>
        <w:bdr w:val="nil"/>
      </w:rPr>
      <w:t>1</w:t>
    </w:r>
    <w:r>
      <w:rPr>
        <w:rFonts w:eastAsia="Times New Roman"/>
        <w:bdr w:val="nil"/>
      </w:rPr>
      <w:fldChar w:fldCharType="end"/>
    </w:r>
    <w:r>
      <w:rPr>
        <w:rFonts w:eastAsia="Times New Roman"/>
        <w:noProof/>
        <w:bdr w:val="nil"/>
      </w:rPr>
      <w:t xml:space="preserve"> </w:t>
    </w:r>
  </w:p>
  <w:p w14:paraId="39B8EE20" w14:textId="77777777" w:rsidR="00F04E1C" w:rsidRDefault="00F04E1C"/>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3800" w14:textId="77777777" w:rsidR="007F4C68" w:rsidRDefault="007F4C68"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2575489F" w14:textId="77777777" w:rsidR="007F4C68" w:rsidRPr="00B31614" w:rsidRDefault="007F4C68"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12</w:t>
    </w:r>
    <w:r w:rsidRPr="00B31614">
      <w:rPr>
        <w:rFonts w:ascii="Ploni ML Medium AAA Medium" w:eastAsia="Times New Roman" w:hAnsi="Ploni ML Medium AAA Medium" w:cs="Ploni ML Medium AAA Medium"/>
        <w:color w:val="000031"/>
        <w:sz w:val="21"/>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2872" w14:textId="77777777" w:rsidR="007F4C68" w:rsidRDefault="007F4C68"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333B6A71" w14:textId="77777777" w:rsidR="007F4C68" w:rsidRPr="00B31614" w:rsidRDefault="007F4C68"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13</w:t>
    </w:r>
    <w:r w:rsidRPr="00B31614">
      <w:rPr>
        <w:rFonts w:ascii="Ploni ML Medium AAA Medium" w:eastAsia="Times New Roman" w:hAnsi="Ploni ML Medium AAA Medium" w:cs="Ploni ML Medium AAA Medium"/>
        <w:color w:val="000031"/>
        <w:sz w:val="21"/>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F5AB" w14:textId="77777777" w:rsidR="007F4C68" w:rsidRDefault="007F4C6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3BDE" w14:textId="77777777" w:rsidR="00792589" w:rsidRPr="00B576A5" w:rsidRDefault="00774C54" w:rsidP="00B576A5">
    <w:pPr>
      <w:pStyle w:val="Header0"/>
      <w:pBdr>
        <w:top w:val="nil"/>
        <w:left w:val="nil"/>
        <w:bottom w:val="nil"/>
        <w:right w:val="nil"/>
        <w:between w:val="nil"/>
        <w:bar w:val="nil"/>
      </w:pBdr>
      <w:jc w:val="center"/>
      <w:rPr>
        <w:rFonts w:eastAsia="Times New Roman"/>
        <w:bdr w:val="nil"/>
      </w:rPr>
    </w:pPr>
    <w:r>
      <w:rPr>
        <w:rFonts w:eastAsia="Times New Roman"/>
        <w:bdr w:val="nil"/>
      </w:rPr>
      <w:fldChar w:fldCharType="begin"/>
    </w:r>
    <w:r>
      <w:rPr>
        <w:rFonts w:eastAsia="Times New Roman"/>
        <w:bdr w:val="nil"/>
      </w:rPr>
      <w:instrText xml:space="preserve"> PAGE  \* Arabic  \* MERGEFORMAT </w:instrText>
    </w:r>
    <w:r>
      <w:rPr>
        <w:rFonts w:eastAsia="Times New Roman"/>
        <w:bdr w:val="nil"/>
      </w:rPr>
      <w:fldChar w:fldCharType="separate"/>
    </w:r>
    <w:r>
      <w:rPr>
        <w:rFonts w:eastAsia="Times New Roman"/>
        <w:noProof/>
        <w:bdr w:val="nil"/>
      </w:rPr>
      <w:t>31</w:t>
    </w:r>
    <w:r>
      <w:rPr>
        <w:rFonts w:eastAsia="Times New Roman"/>
        <w:bdr w:val="nil"/>
      </w:rPr>
      <w:fldChar w:fldCharType="end"/>
    </w:r>
    <w:r>
      <w:rPr>
        <w:rFonts w:eastAsia="Times New Roman"/>
        <w:noProof/>
        <w:bdr w:val="nil"/>
      </w:rPr>
      <w:t xml:space="preserve"> </w:t>
    </w:r>
  </w:p>
  <w:p w14:paraId="6748CDD8" w14:textId="77777777" w:rsidR="00F04E1C" w:rsidRDefault="00F04E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73F7" w14:textId="77777777" w:rsidR="00B80A62" w:rsidRDefault="00B80A62">
    <w:pPr>
      <w:pStyle w:val="Normal11"/>
    </w:pPr>
  </w:p>
  <w:p w14:paraId="0F32459B" w14:textId="77777777" w:rsidR="00F04E1C" w:rsidRDefault="00F04E1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F790" w14:textId="77777777" w:rsidR="00213131" w:rsidRDefault="00213131"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72D02DDF" w14:textId="77777777" w:rsidR="00213131" w:rsidRPr="00B31614" w:rsidRDefault="00213131"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2</w:t>
    </w:r>
    <w:r w:rsidRPr="00B31614">
      <w:rPr>
        <w:rFonts w:ascii="Ploni ML Medium AAA Medium" w:eastAsia="Times New Roman" w:hAnsi="Ploni ML Medium AAA Medium" w:cs="Ploni ML Medium AAA Medium"/>
        <w:color w:val="000031"/>
        <w:sz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B6AF" w14:textId="77777777" w:rsidR="00213131" w:rsidRDefault="00213131" w:rsidP="00BA4626">
    <w:pPr>
      <w:pBdr>
        <w:top w:val="nil"/>
        <w:left w:val="nil"/>
        <w:bottom w:val="nil"/>
        <w:right w:val="nil"/>
        <w:between w:val="nil"/>
        <w:bar w:val="nil"/>
      </w:pBdr>
      <w:tabs>
        <w:tab w:val="right" w:pos="4959"/>
      </w:tabs>
      <w:spacing w:before="0" w:after="0"/>
      <w:jc w:val="right"/>
      <w:rPr>
        <w:rFonts w:ascii="Ploni ML Medium AAA Medium" w:eastAsia="Times New Roman" w:hAnsi="Ploni ML Medium AAA Medium" w:cs="Ploni ML Medium AAA Medium"/>
        <w:b/>
        <w:bCs/>
        <w:color w:val="222A35"/>
        <w:sz w:val="21"/>
        <w:szCs w:val="21"/>
      </w:rPr>
    </w:pPr>
    <w:r>
      <w:rPr>
        <w:rFonts w:ascii="Ploni ML Medium AAA Medium" w:hAnsi="Ploni ML Medium AAA Medium"/>
        <w:b/>
        <w:color w:val="1877F2"/>
        <w:sz w:val="21"/>
      </w:rPr>
      <w:t>G City Ltd. |</w:t>
    </w:r>
    <w:r>
      <w:rPr>
        <w:rFonts w:ascii="Ploni ML Medium AAA Medium" w:hAnsi="Ploni ML Medium AAA Medium"/>
        <w:b/>
        <w:color w:val="FF0000"/>
        <w:sz w:val="21"/>
      </w:rPr>
      <w:t xml:space="preserve"> </w:t>
    </w:r>
    <w:r>
      <w:rPr>
        <w:rFonts w:ascii="Ploni ML Medium AAA Medium" w:hAnsi="Ploni ML Medium AAA Medium"/>
        <w:b/>
        <w:color w:val="000031"/>
        <w:sz w:val="21"/>
      </w:rPr>
      <w:t>Quarterly Report Q2 2024</w:t>
    </w:r>
  </w:p>
  <w:p w14:paraId="43541E02" w14:textId="77777777" w:rsidR="00213131" w:rsidRPr="00B31614" w:rsidRDefault="00213131" w:rsidP="00BA4626">
    <w:pPr>
      <w:pBdr>
        <w:top w:val="nil"/>
        <w:left w:val="nil"/>
        <w:bottom w:val="nil"/>
        <w:right w:val="nil"/>
        <w:between w:val="nil"/>
        <w:bar w:val="nil"/>
      </w:pBdr>
      <w:tabs>
        <w:tab w:val="right" w:pos="4959"/>
      </w:tabs>
      <w:spacing w:before="0" w:after="0"/>
      <w:jc w:val="center"/>
      <w:rPr>
        <w:rFonts w:ascii="Ploni ML Medium AAA Medium" w:eastAsia="Times New Roman" w:hAnsi="Ploni ML Medium AAA Medium" w:cs="Ploni ML Medium AAA Medium"/>
        <w:b/>
        <w:bCs/>
        <w:color w:val="000031"/>
        <w:sz w:val="21"/>
        <w:szCs w:val="21"/>
      </w:rPr>
    </w:pPr>
    <w:r w:rsidRPr="00B31614">
      <w:rPr>
        <w:rFonts w:ascii="Ploni ML Medium AAA Medium" w:eastAsia="Times New Roman" w:hAnsi="Ploni ML Medium AAA Medium" w:cs="Ploni ML Medium AAA Medium"/>
        <w:color w:val="000031"/>
        <w:sz w:val="21"/>
      </w:rPr>
      <w:fldChar w:fldCharType="begin"/>
    </w:r>
    <w:r w:rsidRPr="00B31614">
      <w:rPr>
        <w:rFonts w:ascii="Ploni ML Medium AAA Medium" w:eastAsia="Times New Roman" w:hAnsi="Ploni ML Medium AAA Medium" w:cs="Ploni ML Medium AAA Medium"/>
        <w:color w:val="000031"/>
        <w:sz w:val="21"/>
      </w:rPr>
      <w:instrText xml:space="preserve"> PAGE  \* Arabic  \* MERGEFORMAT </w:instrText>
    </w:r>
    <w:r w:rsidRPr="00B31614">
      <w:rPr>
        <w:rFonts w:ascii="Ploni ML Medium AAA Medium" w:eastAsia="Times New Roman" w:hAnsi="Ploni ML Medium AAA Medium" w:cs="Ploni ML Medium AAA Medium"/>
        <w:color w:val="000031"/>
        <w:sz w:val="21"/>
      </w:rPr>
      <w:fldChar w:fldCharType="separate"/>
    </w:r>
    <w:r w:rsidRPr="00B31614">
      <w:rPr>
        <w:rFonts w:ascii="Ploni ML Medium AAA Medium" w:eastAsia="Times New Roman" w:hAnsi="Ploni ML Medium AAA Medium" w:cs="Ploni ML Medium AAA Medium"/>
        <w:color w:val="000031"/>
        <w:sz w:val="21"/>
      </w:rPr>
      <w:t>2</w:t>
    </w:r>
    <w:r w:rsidRPr="00B31614">
      <w:rPr>
        <w:rFonts w:ascii="Ploni ML Medium AAA Medium" w:eastAsia="Times New Roman" w:hAnsi="Ploni ML Medium AAA Medium" w:cs="Ploni ML Medium AAA Medium"/>
        <w:color w:val="000031"/>
        <w:sz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67AC" w14:textId="77777777" w:rsidR="00213131" w:rsidRDefault="002131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216B" w14:textId="77777777" w:rsidR="008A4B1F" w:rsidRDefault="008A4B1F">
      <w:pPr>
        <w:spacing w:before="0" w:after="0" w:line="240" w:lineRule="auto"/>
      </w:pPr>
      <w:r>
        <w:separator/>
      </w:r>
    </w:p>
  </w:footnote>
  <w:footnote w:type="continuationSeparator" w:id="0">
    <w:p w14:paraId="445C1275" w14:textId="77777777" w:rsidR="008A4B1F" w:rsidRDefault="008A4B1F">
      <w:pPr>
        <w:spacing w:before="0" w:after="0" w:line="240" w:lineRule="auto"/>
      </w:pPr>
      <w:r>
        <w:continuationSeparator/>
      </w:r>
    </w:p>
  </w:footnote>
  <w:footnote w:id="1">
    <w:p w14:paraId="682208F7" w14:textId="77777777" w:rsidR="0085581F" w:rsidRPr="008174FD" w:rsidRDefault="0085581F" w:rsidP="0085581F">
      <w:pPr>
        <w:pStyle w:val="FootnoteText"/>
        <w:jc w:val="left"/>
        <w:rPr>
          <w:rFonts w:asciiTheme="majorBidi" w:hAnsiTheme="majorBidi" w:cstheme="majorBidi"/>
          <w:vertAlign w:val="subscript"/>
        </w:rPr>
      </w:pPr>
      <w:r w:rsidRPr="008174FD">
        <w:rPr>
          <w:rStyle w:val="FootnoteReference"/>
          <w:rFonts w:asciiTheme="majorBidi" w:hAnsiTheme="majorBidi" w:cstheme="majorBidi"/>
        </w:rPr>
        <w:footnoteRef/>
      </w:r>
      <w:r w:rsidRPr="008174FD">
        <w:rPr>
          <w:rFonts w:asciiTheme="majorBidi" w:hAnsiTheme="majorBidi" w:cstheme="majorBidi"/>
        </w:rPr>
        <w:tab/>
        <w:t>‏</w:t>
      </w:r>
      <w:r w:rsidRPr="008174FD">
        <w:rPr>
          <w:rFonts w:asciiTheme="majorBidi" w:hAnsiTheme="majorBidi" w:cstheme="majorBidi"/>
          <w:vertAlign w:val="subscript"/>
        </w:rPr>
        <w:t>Unless stated otherwise, reference to affiliates includes companies that are fully consolidated by the Company and companies that are presented according to the equity method.</w:t>
      </w:r>
    </w:p>
  </w:footnote>
  <w:footnote w:id="2">
    <w:p w14:paraId="7CBED66D" w14:textId="77777777" w:rsidR="0085581F" w:rsidRDefault="0085581F" w:rsidP="009C24EF">
      <w:pPr>
        <w:pStyle w:val="FootnoteText"/>
        <w:jc w:val="left"/>
      </w:pPr>
      <w:r w:rsidRPr="008174FD">
        <w:rPr>
          <w:rStyle w:val="FootnoteReference"/>
          <w:rFonts w:asciiTheme="majorBidi" w:hAnsiTheme="majorBidi" w:cstheme="majorBidi"/>
        </w:rPr>
        <w:footnoteRef/>
      </w:r>
      <w:r w:rsidRPr="008174FD">
        <w:rPr>
          <w:vertAlign w:val="subscript"/>
        </w:rPr>
        <w:tab/>
        <w:t xml:space="preserve">‘FII’ – Fundo De </w:t>
      </w:r>
      <w:proofErr w:type="spellStart"/>
      <w:r w:rsidRPr="008174FD">
        <w:rPr>
          <w:vertAlign w:val="subscript"/>
        </w:rPr>
        <w:t>Investimento</w:t>
      </w:r>
      <w:proofErr w:type="spellEnd"/>
      <w:r w:rsidRPr="008174FD">
        <w:rPr>
          <w:vertAlign w:val="subscript"/>
        </w:rPr>
        <w:t xml:space="preserve"> </w:t>
      </w:r>
      <w:proofErr w:type="spellStart"/>
      <w:r w:rsidRPr="008174FD">
        <w:rPr>
          <w:vertAlign w:val="subscript"/>
        </w:rPr>
        <w:t>Imobiliario</w:t>
      </w:r>
      <w:proofErr w:type="spellEnd"/>
      <w:r w:rsidRPr="008174FD">
        <w:rPr>
          <w:vertAlign w:val="subscript"/>
        </w:rPr>
        <w:t>.</w:t>
      </w:r>
      <w:r>
        <w:rPr>
          <w:rFonts w:ascii="David" w:hAnsi="David"/>
        </w:rPr>
        <w:tab/>
      </w:r>
    </w:p>
  </w:footnote>
  <w:footnote w:id="3">
    <w:p w14:paraId="4035069D" w14:textId="77777777" w:rsidR="0085581F" w:rsidRPr="009C24EF" w:rsidRDefault="0085581F" w:rsidP="0085581F">
      <w:pPr>
        <w:pStyle w:val="FootnoteText"/>
        <w:rPr>
          <w:rFonts w:asciiTheme="majorBidi" w:eastAsia="Calibri" w:hAnsiTheme="majorBidi" w:cstheme="majorBidi"/>
          <w:vertAlign w:val="subscript"/>
        </w:rPr>
      </w:pPr>
      <w:r w:rsidRPr="009A026B">
        <w:rPr>
          <w:rStyle w:val="FootnoteReference"/>
          <w:rFonts w:asciiTheme="majorBidi" w:hAnsiTheme="majorBidi" w:cstheme="majorBidi"/>
        </w:rPr>
        <w:footnoteRef/>
      </w:r>
      <w:r>
        <w:tab/>
      </w:r>
      <w:r w:rsidRPr="009C24EF">
        <w:rPr>
          <w:rFonts w:asciiTheme="majorBidi" w:hAnsiTheme="majorBidi" w:cstheme="majorBidi"/>
          <w:vertAlign w:val="subscript"/>
        </w:rPr>
        <w:t xml:space="preserve">For further information see immediate reports dated December 31, 2023, January 28, 2024 and February 1, 2024 (Ref. Nos.: 2023-01-118024, 2024-01-010548, and 2024-01-012318, respectively) noted herein by way of reference. </w:t>
      </w:r>
    </w:p>
  </w:footnote>
  <w:footnote w:id="4">
    <w:p w14:paraId="74E3A494" w14:textId="063FDECE" w:rsidR="000227DA" w:rsidRDefault="000227DA">
      <w:pPr>
        <w:pStyle w:val="FootnoteText"/>
      </w:pPr>
      <w:r>
        <w:rPr>
          <w:rStyle w:val="FootnoteReference"/>
        </w:rPr>
        <w:footnoteRef/>
      </w:r>
      <w:r>
        <w:t xml:space="preserve"> </w:t>
      </w:r>
      <w:r>
        <w:rPr>
          <w:rFonts w:asciiTheme="majorBidi" w:hAnsiTheme="majorBidi" w:cstheme="majorBidi"/>
          <w:sz w:val="21"/>
          <w:vertAlign w:val="subscript"/>
        </w:rPr>
        <w:t>In</w:t>
      </w:r>
      <w:r w:rsidRPr="0085581F">
        <w:rPr>
          <w:rFonts w:asciiTheme="majorBidi" w:hAnsiTheme="majorBidi" w:cstheme="majorBidi"/>
          <w:sz w:val="21"/>
          <w:vertAlign w:val="subscript"/>
        </w:rPr>
        <w:t>cluding extensions to income-generating assets</w:t>
      </w:r>
      <w:r w:rsidRPr="009A026B">
        <w:rPr>
          <w:rFonts w:asciiTheme="majorBidi" w:hAnsiTheme="majorBidi" w:cstheme="majorBidi"/>
          <w:sz w:val="21"/>
          <w:vertAlign w:val="subscript"/>
        </w:rPr>
        <w:t>.</w:t>
      </w:r>
    </w:p>
  </w:footnote>
  <w:footnote w:id="5">
    <w:p w14:paraId="25A3A67B" w14:textId="05CB6868" w:rsidR="000227DA" w:rsidRDefault="000227DA">
      <w:pPr>
        <w:pStyle w:val="FootnoteText"/>
      </w:pPr>
      <w:r>
        <w:rPr>
          <w:rStyle w:val="FootnoteReference"/>
        </w:rPr>
        <w:footnoteRef/>
      </w:r>
      <w:r>
        <w:t xml:space="preserve"> </w:t>
      </w:r>
      <w:r w:rsidRPr="000227DA">
        <w:rPr>
          <w:vertAlign w:val="subscript"/>
        </w:rPr>
        <w:t xml:space="preserve">The balance of the </w:t>
      </w:r>
      <w:r>
        <w:rPr>
          <w:vertAlign w:val="subscript"/>
        </w:rPr>
        <w:t>income-producing</w:t>
      </w:r>
      <w:r w:rsidRPr="000227DA">
        <w:rPr>
          <w:vertAlign w:val="subscript"/>
        </w:rPr>
        <w:t xml:space="preserve"> properties attributed to the expanded Solo (not including CTY), an amount of NIS 1 billion is attributed to vacant spaces. For calculating the value attributed to vacant spaces, vacant space was defined as space that did not generate rent during the reporting period. The value of the vacant spaces was calculated in proportion to the value The relevant property (as long as it has not been assigned a separate value in the valuation of the property). The value of the vacant space is not reviewed or audited by the company's accountants.</w:t>
      </w:r>
    </w:p>
  </w:footnote>
  <w:footnote w:id="6">
    <w:p w14:paraId="4D4B87FB" w14:textId="63E73031" w:rsidR="0085581F" w:rsidRDefault="0085581F" w:rsidP="0085581F">
      <w:pPr>
        <w:pStyle w:val="FootnoteText"/>
      </w:pPr>
      <w:r w:rsidRPr="001B632E">
        <w:rPr>
          <w:rStyle w:val="FootnoteReference"/>
          <w:rFonts w:asciiTheme="majorBidi" w:hAnsiTheme="majorBidi" w:cstheme="majorBidi"/>
          <w:sz w:val="21"/>
          <w:szCs w:val="21"/>
        </w:rPr>
        <w:footnoteRef/>
      </w:r>
      <w:r w:rsidRPr="009C24EF">
        <w:rPr>
          <w:vertAlign w:val="subscript"/>
        </w:rPr>
        <w:tab/>
        <w:t xml:space="preserve">Signed credit lines with financial institutions, secured by properties, pursuant to which these institutions are obligated to provide the Group with the foregoing credit subject to complying with the terms prescribed in the agreements and with respect to which the Group </w:t>
      </w:r>
      <w:r w:rsidR="00C56200" w:rsidRPr="009C24EF">
        <w:rPr>
          <w:vertAlign w:val="subscript"/>
        </w:rPr>
        <w:t>Companies pay</w:t>
      </w:r>
      <w:r w:rsidRPr="009C24EF">
        <w:rPr>
          <w:vertAlign w:val="subscript"/>
        </w:rPr>
        <w:t xml:space="preserve"> various commissions, including a credit allocation fee.</w:t>
      </w:r>
    </w:p>
  </w:footnote>
  <w:footnote w:id="7">
    <w:p w14:paraId="09A36CD0" w14:textId="484B05B8" w:rsidR="009C24EF" w:rsidRDefault="009C24EF" w:rsidP="009C24EF">
      <w:pPr>
        <w:pStyle w:val="FootnoteText"/>
        <w:ind w:left="284" w:hanging="284"/>
        <w:rPr>
          <w:rFonts w:ascii="Ploni ML Medium AAA Medium" w:hAnsi="Ploni ML Medium AAA Medium" w:cs="Ploni ML Medium AAA Medium"/>
          <w:vertAlign w:val="subscript"/>
        </w:rPr>
      </w:pPr>
      <w:r>
        <w:rPr>
          <w:rStyle w:val="FootnoteReference"/>
        </w:rPr>
        <w:footnoteRef/>
      </w:r>
      <w:r>
        <w:tab/>
      </w:r>
      <w:r w:rsidRPr="000B7121">
        <w:rPr>
          <w:vertAlign w:val="subscript"/>
        </w:rPr>
        <w:t xml:space="preserve">Based on, among other things, data and forecasts published by the Bank of Israel, including its announcement of </w:t>
      </w:r>
      <w:r w:rsidR="006E4BB6">
        <w:rPr>
          <w:vertAlign w:val="subscript"/>
        </w:rPr>
        <w:t>July</w:t>
      </w:r>
      <w:r w:rsidRPr="000B7121">
        <w:rPr>
          <w:vertAlign w:val="subscript"/>
        </w:rPr>
        <w:t xml:space="preserve"> 8, 2024 (www.BOI.org.il).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84F1" w14:textId="77777777" w:rsidR="0085581F" w:rsidRPr="00B33111" w:rsidRDefault="0085581F" w:rsidP="00B86194">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color w:val="000031"/>
        <w:sz w:val="21"/>
        <w:szCs w:val="21"/>
      </w:rPr>
    </w:pPr>
    <w:r>
      <w:rPr>
        <w:rFonts w:ascii="Ploni ML Medium AAA Medium" w:hAnsi="Ploni ML Medium AAA Medium"/>
        <w:b/>
        <w:color w:val="000031"/>
        <w:sz w:val="21"/>
      </w:rPr>
      <w:t>Board of Directors Report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F1DB" w14:textId="7790F690" w:rsidR="001015E6" w:rsidRPr="001015E6" w:rsidRDefault="001015E6" w:rsidP="001015E6">
    <w:pPr>
      <w:pBdr>
        <w:top w:val="nil"/>
        <w:left w:val="nil"/>
        <w:bottom w:val="nil"/>
        <w:right w:val="nil"/>
        <w:between w:val="nil"/>
        <w:bar w:val="nil"/>
      </w:pBdr>
      <w:spacing w:before="0" w:after="0" w:line="240" w:lineRule="auto"/>
      <w:rPr>
        <w:rtl/>
      </w:rPr>
    </w:pPr>
    <w:r w:rsidRPr="001015E6">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9398" w14:textId="77777777" w:rsidR="00213131" w:rsidRPr="00DC09A5" w:rsidRDefault="00213131" w:rsidP="00393F42">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color w:val="000031"/>
        <w:sz w:val="21"/>
        <w:szCs w:val="21"/>
      </w:rPr>
    </w:pPr>
    <w:r>
      <w:rPr>
        <w:rFonts w:ascii="Ploni ML Medium AAA Medium" w:hAnsi="Ploni ML Medium AAA Medium"/>
        <w:b/>
        <w:color w:val="000031"/>
        <w:sz w:val="21"/>
      </w:rPr>
      <w:t>Condensed Consolidated Statements of Financial Position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CA74" w14:textId="77777777" w:rsidR="00213131" w:rsidRPr="001015E6" w:rsidRDefault="00213131" w:rsidP="00393F42">
    <w:pPr>
      <w:pBdr>
        <w:top w:val="nil"/>
        <w:left w:val="nil"/>
        <w:bottom w:val="nil"/>
        <w:right w:val="nil"/>
        <w:between w:val="nil"/>
        <w:bar w:val="nil"/>
      </w:pBdr>
      <w:spacing w:before="0" w:after="0" w:line="240" w:lineRule="auto"/>
      <w:rPr>
        <w:rFonts w:asciiTheme="majorBidi" w:eastAsia="Calibri" w:hAnsiTheme="majorBidi" w:cstheme="majorBidi"/>
        <w:b/>
        <w:bCs/>
        <w:caps/>
        <w:color w:val="000031"/>
        <w:sz w:val="21"/>
        <w:szCs w:val="21"/>
      </w:rPr>
    </w:pPr>
    <w:r w:rsidRPr="001015E6">
      <w:rPr>
        <w:rFonts w:asciiTheme="majorBidi" w:hAnsiTheme="majorBidi" w:cstheme="majorBidi"/>
        <w:b/>
        <w:caps/>
        <w:color w:val="000031"/>
        <w:sz w:val="21"/>
      </w:rPr>
      <w:t>Condensed Consolidated Statements of Financial Position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244C" w14:textId="77777777" w:rsidR="00213131" w:rsidRDefault="0021313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395F" w14:textId="77777777" w:rsidR="00213131" w:rsidRPr="00DA63E9" w:rsidRDefault="00213131" w:rsidP="00E0031C">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color w:val="000031"/>
      </w:rPr>
    </w:pPr>
    <w:r>
      <w:rPr>
        <w:rFonts w:ascii="Ploni ML Medium AAA Medium" w:hAnsi="Ploni ML Medium AAA Medium"/>
        <w:b/>
        <w:color w:val="000031"/>
      </w:rPr>
      <w:t>Condensed Consolidated Statements of Income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0B4C" w14:textId="77777777" w:rsidR="00213131" w:rsidRPr="001015E6" w:rsidRDefault="00213131" w:rsidP="00E0031C">
    <w:pPr>
      <w:pBdr>
        <w:top w:val="nil"/>
        <w:left w:val="nil"/>
        <w:bottom w:val="nil"/>
        <w:right w:val="nil"/>
        <w:between w:val="nil"/>
        <w:bar w:val="nil"/>
      </w:pBdr>
      <w:spacing w:before="0" w:after="0" w:line="240" w:lineRule="auto"/>
      <w:rPr>
        <w:rFonts w:asciiTheme="majorBidi" w:eastAsia="Calibri" w:hAnsiTheme="majorBidi" w:cstheme="majorBidi"/>
        <w:b/>
        <w:bCs/>
        <w:caps/>
        <w:color w:val="000031"/>
      </w:rPr>
    </w:pPr>
    <w:r w:rsidRPr="001015E6">
      <w:rPr>
        <w:rFonts w:asciiTheme="majorBidi" w:hAnsiTheme="majorBidi" w:cstheme="majorBidi"/>
        <w:b/>
        <w:caps/>
        <w:color w:val="000031"/>
      </w:rPr>
      <w:t>Condensed Consolidated Statements of Income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F563" w14:textId="77777777" w:rsidR="00213131" w:rsidRDefault="00213131"/>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C73C" w14:textId="77777777" w:rsidR="00213131" w:rsidRPr="00494055" w:rsidRDefault="00213131" w:rsidP="00A91D20">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color w:val="000031"/>
        <w:sz w:val="21"/>
        <w:szCs w:val="21"/>
      </w:rPr>
    </w:pPr>
    <w:r>
      <w:rPr>
        <w:rFonts w:ascii="Ploni ML Medium AAA Medium" w:hAnsi="Ploni ML Medium AAA Medium"/>
        <w:b/>
        <w:color w:val="000031"/>
        <w:sz w:val="21"/>
      </w:rPr>
      <w:t>Condensed Consolidated Statements of Comprehensive Income</w:t>
    </w:r>
  </w:p>
  <w:p w14:paraId="7C143225" w14:textId="77777777" w:rsidR="00213131" w:rsidRPr="00DE2137" w:rsidRDefault="00213131" w:rsidP="002C24EE">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sz w:val="21"/>
        <w:szCs w:val="21"/>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B54C" w14:textId="77777777" w:rsidR="00213131" w:rsidRPr="001015E6" w:rsidRDefault="00213131" w:rsidP="00A91D20">
    <w:pPr>
      <w:pBdr>
        <w:top w:val="nil"/>
        <w:left w:val="nil"/>
        <w:bottom w:val="nil"/>
        <w:right w:val="nil"/>
        <w:between w:val="nil"/>
        <w:bar w:val="nil"/>
      </w:pBdr>
      <w:spacing w:before="0" w:after="0" w:line="240" w:lineRule="auto"/>
      <w:rPr>
        <w:rFonts w:asciiTheme="majorBidi" w:eastAsia="Calibri" w:hAnsiTheme="majorBidi" w:cstheme="majorBidi"/>
        <w:b/>
        <w:bCs/>
        <w:caps/>
        <w:color w:val="000031"/>
        <w:sz w:val="21"/>
        <w:szCs w:val="21"/>
      </w:rPr>
    </w:pPr>
    <w:r w:rsidRPr="001015E6">
      <w:rPr>
        <w:rFonts w:asciiTheme="majorBidi" w:hAnsiTheme="majorBidi" w:cstheme="majorBidi"/>
        <w:b/>
        <w:caps/>
        <w:color w:val="000031"/>
        <w:sz w:val="21"/>
      </w:rPr>
      <w:t>Condensed Consolidated Statements of Comprehensive Income</w:t>
    </w:r>
  </w:p>
  <w:p w14:paraId="58B1FAA0" w14:textId="77777777" w:rsidR="00213131" w:rsidRPr="00DE2137" w:rsidRDefault="00213131" w:rsidP="002C24EE">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sz w:val="21"/>
        <w:szCs w:val="21"/>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B240" w14:textId="77777777" w:rsidR="00213131" w:rsidRDefault="002131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3351" w14:textId="29CDAD10" w:rsidR="0085581F" w:rsidRPr="00213131" w:rsidRDefault="00213131" w:rsidP="00B86194">
    <w:pPr>
      <w:pBdr>
        <w:top w:val="nil"/>
        <w:left w:val="nil"/>
        <w:bottom w:val="nil"/>
        <w:right w:val="nil"/>
        <w:between w:val="nil"/>
        <w:bar w:val="nil"/>
      </w:pBdr>
      <w:spacing w:before="0" w:after="0" w:line="240" w:lineRule="auto"/>
      <w:rPr>
        <w:rFonts w:asciiTheme="majorBidi" w:eastAsia="Calibri" w:hAnsiTheme="majorBidi" w:cstheme="majorBidi"/>
        <w:b/>
        <w:bCs/>
        <w:color w:val="000031"/>
        <w:sz w:val="21"/>
        <w:szCs w:val="21"/>
      </w:rPr>
    </w:pPr>
    <w:bookmarkStart w:id="110" w:name="_Hlk174894963"/>
    <w:bookmarkStart w:id="111" w:name="_Hlk174894964"/>
    <w:r w:rsidRPr="00213131">
      <w:rPr>
        <w:rFonts w:asciiTheme="majorBidi" w:hAnsiTheme="majorBidi" w:cstheme="majorBidi"/>
        <w:b/>
        <w:color w:val="000031"/>
        <w:sz w:val="21"/>
      </w:rPr>
      <w:t>DIRECTOR’S REPORT ON THE COMPANY’S BUISNESS</w:t>
    </w:r>
    <w:bookmarkEnd w:id="110"/>
    <w:bookmarkEnd w:id="111"/>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E451" w14:textId="77777777" w:rsidR="00213131" w:rsidRPr="006B2C26" w:rsidRDefault="00213131" w:rsidP="00634D04">
    <w:pPr>
      <w:pBdr>
        <w:top w:val="nil"/>
        <w:left w:val="nil"/>
        <w:bottom w:val="nil"/>
        <w:right w:val="nil"/>
        <w:between w:val="nil"/>
        <w:bar w:val="nil"/>
      </w:pBdr>
      <w:spacing w:before="0" w:after="0" w:line="240" w:lineRule="auto"/>
      <w:jc w:val="left"/>
      <w:rPr>
        <w:rFonts w:ascii="Ploni ML Medium AAA Medium" w:eastAsia="Calibri" w:hAnsi="Ploni ML Medium AAA Medium" w:cs="Ploni ML Medium AAA Medium"/>
        <w:b/>
        <w:bCs/>
        <w:color w:val="000031"/>
        <w:sz w:val="21"/>
        <w:szCs w:val="21"/>
      </w:rPr>
    </w:pPr>
    <w:r>
      <w:rPr>
        <w:rFonts w:ascii="Ploni ML Medium AAA Medium" w:hAnsi="Ploni ML Medium AAA Medium"/>
        <w:b/>
        <w:color w:val="000031"/>
        <w:sz w:val="21"/>
      </w:rPr>
      <w:t>Condensed Consolidated Statements of Changes in Equity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E21D" w14:textId="77777777" w:rsidR="00213131" w:rsidRPr="00BA0DC2" w:rsidRDefault="00213131" w:rsidP="00634D04">
    <w:pPr>
      <w:pBdr>
        <w:top w:val="nil"/>
        <w:left w:val="nil"/>
        <w:bottom w:val="nil"/>
        <w:right w:val="nil"/>
        <w:between w:val="nil"/>
        <w:bar w:val="nil"/>
      </w:pBdr>
      <w:spacing w:before="0" w:after="0" w:line="240" w:lineRule="auto"/>
      <w:jc w:val="left"/>
      <w:rPr>
        <w:rFonts w:asciiTheme="majorBidi" w:eastAsia="Calibri" w:hAnsiTheme="majorBidi" w:cstheme="majorBidi"/>
        <w:b/>
        <w:bCs/>
        <w:caps/>
        <w:color w:val="000031"/>
        <w:sz w:val="21"/>
        <w:szCs w:val="21"/>
      </w:rPr>
    </w:pPr>
    <w:r w:rsidRPr="00BA0DC2">
      <w:rPr>
        <w:rFonts w:asciiTheme="majorBidi" w:hAnsiTheme="majorBidi" w:cstheme="majorBidi"/>
        <w:b/>
        <w:caps/>
        <w:color w:val="000031"/>
        <w:sz w:val="21"/>
      </w:rPr>
      <w:t>Condensed Consolidated Statements of Changes in Equity</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1BB6" w14:textId="77777777" w:rsidR="00213131" w:rsidRDefault="00213131"/>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CA97" w14:textId="77777777" w:rsidR="00213131" w:rsidRPr="0091033E" w:rsidRDefault="00213131" w:rsidP="00D13F4F">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color w:val="000031"/>
        <w:sz w:val="21"/>
        <w:szCs w:val="21"/>
      </w:rPr>
    </w:pPr>
    <w:r>
      <w:rPr>
        <w:rFonts w:ascii="Ploni ML Medium AAA Medium" w:hAnsi="Ploni ML Medium AAA Medium"/>
        <w:b/>
        <w:color w:val="000031"/>
        <w:sz w:val="21"/>
      </w:rPr>
      <w:t>Condensed Consolidated Statements of Cash Flows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101A" w14:textId="77777777" w:rsidR="00213131" w:rsidRPr="005432E6" w:rsidRDefault="00213131" w:rsidP="00D13F4F">
    <w:pPr>
      <w:pBdr>
        <w:top w:val="nil"/>
        <w:left w:val="nil"/>
        <w:bottom w:val="nil"/>
        <w:right w:val="nil"/>
        <w:between w:val="nil"/>
        <w:bar w:val="nil"/>
      </w:pBdr>
      <w:spacing w:before="0" w:after="0" w:line="240" w:lineRule="auto"/>
      <w:rPr>
        <w:rFonts w:asciiTheme="majorBidi" w:eastAsia="Calibri" w:hAnsiTheme="majorBidi" w:cstheme="majorBidi"/>
        <w:b/>
        <w:bCs/>
        <w:caps/>
        <w:color w:val="000031"/>
        <w:sz w:val="21"/>
        <w:szCs w:val="21"/>
      </w:rPr>
    </w:pPr>
    <w:r w:rsidRPr="005432E6">
      <w:rPr>
        <w:rFonts w:asciiTheme="majorBidi" w:hAnsiTheme="majorBidi" w:cstheme="majorBidi"/>
        <w:b/>
        <w:caps/>
        <w:color w:val="000031"/>
        <w:sz w:val="21"/>
      </w:rPr>
      <w:t>Condensed Consolidated Statements of Cash Flows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6423" w14:textId="77777777" w:rsidR="00213131" w:rsidRDefault="00213131"/>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64D4" w14:textId="77777777" w:rsidR="007F4C68" w:rsidRPr="00B02B51" w:rsidRDefault="007F4C68" w:rsidP="00B02B51">
    <w:pPr>
      <w:pBdr>
        <w:top w:val="nil"/>
        <w:left w:val="nil"/>
        <w:bottom w:val="nil"/>
        <w:right w:val="nil"/>
        <w:between w:val="nil"/>
        <w:bar w:val="nil"/>
      </w:pBdr>
      <w:spacing w:before="0" w:after="0" w:line="240" w:lineRule="auto"/>
      <w:rPr>
        <w:rFonts w:eastAsia="Calibri" w:cs="Arial"/>
      </w:rPr>
    </w:pPr>
    <w:r>
      <w:rPr>
        <w:rFonts w:ascii="Arial" w:hAnsi="Arial"/>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D114" w14:textId="25DAD4C4" w:rsidR="00561CA6" w:rsidRDefault="00F04E1C" w:rsidP="00B02B51">
    <w:pPr>
      <w:pBdr>
        <w:top w:val="nil"/>
        <w:left w:val="nil"/>
        <w:bottom w:val="nil"/>
        <w:right w:val="nil"/>
        <w:between w:val="nil"/>
        <w:bar w:val="nil"/>
      </w:pBdr>
      <w:spacing w:before="0" w:after="0" w:line="240" w:lineRule="auto"/>
      <w:rPr>
        <w:rFonts w:asciiTheme="majorBidi" w:hAnsiTheme="majorBidi" w:cstheme="majorBidi"/>
        <w:b/>
        <w:caps/>
        <w:color w:val="000031"/>
        <w:sz w:val="21"/>
        <w:rtl/>
      </w:rPr>
    </w:pPr>
    <w:r>
      <w:rPr>
        <w:rFonts w:asciiTheme="majorBidi" w:hAnsiTheme="majorBidi" w:cstheme="majorBidi"/>
        <w:b/>
        <w:caps/>
        <w:color w:val="000031"/>
        <w:sz w:val="21"/>
      </w:rPr>
      <w:t>CONDENSED CONSOLIDATED STATEMENTS OF FINANCIAL POSTION</w:t>
    </w:r>
  </w:p>
  <w:p w14:paraId="287F4A03" w14:textId="77777777" w:rsidR="00F04E1C" w:rsidRPr="005432E6" w:rsidRDefault="00F04E1C" w:rsidP="00B02B51">
    <w:pPr>
      <w:pBdr>
        <w:top w:val="nil"/>
        <w:left w:val="nil"/>
        <w:bottom w:val="nil"/>
        <w:right w:val="nil"/>
        <w:between w:val="nil"/>
        <w:bar w:val="nil"/>
      </w:pBdr>
      <w:spacing w:before="0" w:after="0" w:line="240" w:lineRule="auto"/>
      <w:rPr>
        <w:rFonts w:asciiTheme="majorBidi" w:hAnsiTheme="majorBidi" w:cstheme="majorBidi"/>
        <w:b/>
        <w:caps/>
        <w:color w:val="000031"/>
        <w:sz w:val="21"/>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F64B" w14:textId="77777777" w:rsidR="007F4C68" w:rsidRDefault="007F4C68"/>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656E" w14:textId="77777777" w:rsidR="00200E0C" w:rsidRPr="005432E6" w:rsidRDefault="00200E0C" w:rsidP="00B02B51">
    <w:pPr>
      <w:pBdr>
        <w:top w:val="nil"/>
        <w:left w:val="nil"/>
        <w:bottom w:val="nil"/>
        <w:right w:val="nil"/>
        <w:between w:val="nil"/>
        <w:bar w:val="nil"/>
      </w:pBdr>
      <w:spacing w:before="0" w:after="0" w:line="240" w:lineRule="auto"/>
      <w:rPr>
        <w:rFonts w:asciiTheme="majorBidi" w:hAnsiTheme="majorBidi" w:cstheme="majorBidi"/>
        <w:b/>
        <w:caps/>
        <w:color w:val="000031"/>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A0B1" w14:textId="77777777" w:rsidR="0085581F" w:rsidRDefault="0085581F"/>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EB50" w14:textId="77777777" w:rsidR="007F4C68" w:rsidRPr="00A31B49" w:rsidRDefault="007F4C68" w:rsidP="00032851">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color w:val="000031"/>
        <w:sz w:val="21"/>
        <w:szCs w:val="21"/>
      </w:rPr>
    </w:pPr>
    <w:r>
      <w:rPr>
        <w:rFonts w:ascii="Ploni ML Medium AAA Medium" w:hAnsi="Ploni ML Medium AAA Medium"/>
        <w:b/>
        <w:color w:val="000031"/>
        <w:sz w:val="21"/>
      </w:rPr>
      <w:t>Financial Information from the Condensed Consolidated Statement of Financial Position attributable to the Company</w:t>
    </w:r>
  </w:p>
  <w:p w14:paraId="248C2259" w14:textId="77777777" w:rsidR="007F4C68" w:rsidRPr="00EA70DD" w:rsidRDefault="007F4C68" w:rsidP="002C24EE">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sz w:val="21"/>
        <w:szCs w:val="21"/>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74C8" w14:textId="77777777" w:rsidR="007F4C68" w:rsidRPr="00A65C56" w:rsidRDefault="007F4C68" w:rsidP="00032851">
    <w:pPr>
      <w:pBdr>
        <w:top w:val="nil"/>
        <w:left w:val="nil"/>
        <w:bottom w:val="nil"/>
        <w:right w:val="nil"/>
        <w:between w:val="nil"/>
        <w:bar w:val="nil"/>
      </w:pBdr>
      <w:spacing w:before="0" w:after="0" w:line="240" w:lineRule="auto"/>
      <w:rPr>
        <w:rFonts w:asciiTheme="majorBidi" w:eastAsia="Calibri" w:hAnsiTheme="majorBidi" w:cstheme="majorBidi"/>
        <w:b/>
        <w:bCs/>
        <w:caps/>
        <w:color w:val="000031"/>
        <w:sz w:val="21"/>
        <w:szCs w:val="21"/>
      </w:rPr>
    </w:pPr>
    <w:r w:rsidRPr="00A65C56">
      <w:rPr>
        <w:rFonts w:asciiTheme="majorBidi" w:hAnsiTheme="majorBidi" w:cstheme="majorBidi"/>
        <w:b/>
        <w:caps/>
        <w:color w:val="000031"/>
        <w:sz w:val="21"/>
      </w:rPr>
      <w:t>Financial Information from the Condensed Consolidated Statement of Financial Position attributable to the Company</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EE3A" w14:textId="77777777" w:rsidR="007F4C68" w:rsidRDefault="007F4C68"/>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A6D1" w14:textId="77777777" w:rsidR="007F4C68" w:rsidRPr="00E72375" w:rsidRDefault="007F4C68" w:rsidP="00962D15">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color w:val="000031"/>
        <w:sz w:val="21"/>
        <w:szCs w:val="21"/>
      </w:rPr>
    </w:pPr>
    <w:r>
      <w:rPr>
        <w:rFonts w:ascii="Ploni ML Medium AAA Medium" w:hAnsi="Ploni ML Medium AAA Medium"/>
        <w:b/>
        <w:color w:val="000031"/>
        <w:sz w:val="21"/>
      </w:rPr>
      <w:t>Financial Information from the Condensed Consolidated Statement of Income attributable to the Company</w:t>
    </w:r>
  </w:p>
  <w:p w14:paraId="3782677C" w14:textId="77777777" w:rsidR="007F4C68" w:rsidRPr="00B55267" w:rsidRDefault="007F4C68" w:rsidP="002C24EE">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sz w:val="21"/>
        <w:szCs w:val="21"/>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EE71" w14:textId="77777777" w:rsidR="007F4C68" w:rsidRPr="00A65C56" w:rsidRDefault="007F4C68" w:rsidP="00962D15">
    <w:pPr>
      <w:pBdr>
        <w:top w:val="nil"/>
        <w:left w:val="nil"/>
        <w:bottom w:val="nil"/>
        <w:right w:val="nil"/>
        <w:between w:val="nil"/>
        <w:bar w:val="nil"/>
      </w:pBdr>
      <w:spacing w:before="0" w:after="0" w:line="240" w:lineRule="auto"/>
      <w:rPr>
        <w:rFonts w:asciiTheme="majorBidi" w:hAnsiTheme="majorBidi" w:cstheme="majorBidi"/>
        <w:b/>
        <w:caps/>
        <w:color w:val="000031"/>
        <w:sz w:val="21"/>
      </w:rPr>
    </w:pPr>
    <w:r w:rsidRPr="00A65C56">
      <w:rPr>
        <w:rFonts w:asciiTheme="majorBidi" w:hAnsiTheme="majorBidi" w:cstheme="majorBidi"/>
        <w:b/>
        <w:caps/>
        <w:color w:val="000031"/>
        <w:sz w:val="21"/>
      </w:rPr>
      <w:t>Financial Information from the Condensed Consolidated Statement of Income attributable to the Company</w:t>
    </w:r>
  </w:p>
  <w:p w14:paraId="42AA4AF4" w14:textId="77777777" w:rsidR="007F4C68" w:rsidRPr="00B55267" w:rsidRDefault="007F4C68" w:rsidP="002C24EE">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sz w:val="21"/>
        <w:szCs w:val="21"/>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3744" w14:textId="77777777" w:rsidR="007F4C68" w:rsidRDefault="007F4C68"/>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72AB" w14:textId="77777777" w:rsidR="007F4C68" w:rsidRPr="00953583" w:rsidRDefault="007F4C68" w:rsidP="00D852CD">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color w:val="000031"/>
        <w:sz w:val="21"/>
        <w:szCs w:val="21"/>
      </w:rPr>
    </w:pPr>
    <w:r>
      <w:rPr>
        <w:rFonts w:ascii="Ploni ML Medium AAA Medium" w:hAnsi="Ploni ML Medium AAA Medium"/>
        <w:b/>
        <w:color w:val="000031"/>
        <w:sz w:val="21"/>
      </w:rPr>
      <w:t>Financial Information from the Condensed Consolidated Statement of Comprehensive Income attributable to the Company</w:t>
    </w:r>
  </w:p>
  <w:p w14:paraId="2D07E7A2" w14:textId="77777777" w:rsidR="007F4C68" w:rsidRPr="0091003F" w:rsidRDefault="007F4C68" w:rsidP="002C24EE">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sz w:val="21"/>
        <w:szCs w:val="21"/>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6BAB" w14:textId="77777777" w:rsidR="007F4C68" w:rsidRPr="00A65C56" w:rsidRDefault="007F4C68" w:rsidP="00D852CD">
    <w:pPr>
      <w:pBdr>
        <w:top w:val="nil"/>
        <w:left w:val="nil"/>
        <w:bottom w:val="nil"/>
        <w:right w:val="nil"/>
        <w:between w:val="nil"/>
        <w:bar w:val="nil"/>
      </w:pBdr>
      <w:spacing w:before="0" w:after="0" w:line="240" w:lineRule="auto"/>
      <w:rPr>
        <w:rFonts w:asciiTheme="majorBidi" w:hAnsiTheme="majorBidi" w:cstheme="majorBidi"/>
        <w:b/>
        <w:caps/>
        <w:color w:val="000031"/>
        <w:sz w:val="21"/>
      </w:rPr>
    </w:pPr>
    <w:r w:rsidRPr="00A65C56">
      <w:rPr>
        <w:rFonts w:asciiTheme="majorBidi" w:hAnsiTheme="majorBidi" w:cstheme="majorBidi"/>
        <w:b/>
        <w:caps/>
        <w:color w:val="000031"/>
        <w:sz w:val="21"/>
      </w:rPr>
      <w:t>Financial Information from the Condensed Consolidated Statement of Comprehensive Income attributable to the Company</w:t>
    </w:r>
  </w:p>
  <w:p w14:paraId="6ECA3956" w14:textId="77777777" w:rsidR="007F4C68" w:rsidRPr="0091003F" w:rsidRDefault="007F4C68" w:rsidP="002C24EE">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sz w:val="21"/>
        <w:szCs w:val="21"/>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A805" w14:textId="77777777" w:rsidR="007F4C68" w:rsidRDefault="007F4C68"/>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527B" w14:textId="77777777" w:rsidR="007F4C68" w:rsidRPr="0071171E" w:rsidRDefault="007F4C68" w:rsidP="00CE7B8C">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color w:val="000031"/>
        <w:sz w:val="21"/>
        <w:szCs w:val="21"/>
      </w:rPr>
    </w:pPr>
    <w:r>
      <w:rPr>
        <w:rFonts w:ascii="Ploni ML Medium AAA Medium" w:hAnsi="Ploni ML Medium AAA Medium"/>
        <w:b/>
        <w:color w:val="000031"/>
        <w:sz w:val="21"/>
      </w:rPr>
      <w:t>Financial Information from the Condensed Consolidated Statement of Cash Flows attributable to the Company</w:t>
    </w:r>
  </w:p>
  <w:p w14:paraId="16AF185F" w14:textId="77777777" w:rsidR="007F4C68" w:rsidRPr="00C24610" w:rsidRDefault="007F4C68" w:rsidP="002C24EE">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DCDE" w14:textId="77777777" w:rsidR="00792589" w:rsidRPr="006A6BB4" w:rsidRDefault="00774C54" w:rsidP="006A6BB4">
    <w:pPr>
      <w:pStyle w:val="Normal11"/>
      <w:pBdr>
        <w:top w:val="nil"/>
        <w:left w:val="nil"/>
        <w:bottom w:val="nil"/>
        <w:right w:val="nil"/>
        <w:between w:val="nil"/>
        <w:bar w:val="nil"/>
      </w:pBdr>
      <w:jc w:val="right"/>
      <w:rPr>
        <w:rFonts w:eastAsia="Calibri"/>
        <w:b/>
        <w:bCs/>
        <w:bdr w:val="nil"/>
      </w:rPr>
    </w:pPr>
    <w:r w:rsidRPr="00CA610A">
      <w:rPr>
        <w:rFonts w:eastAsia="Calibri"/>
        <w:b/>
        <w:bCs/>
        <w:sz w:val="20"/>
        <w:szCs w:val="20"/>
        <w:bdr w:val="nil"/>
      </w:rPr>
      <w:t>GAZIT-GLOBE LTD.</w:t>
    </w:r>
  </w:p>
  <w:p w14:paraId="389DEFD0" w14:textId="77777777" w:rsidR="00792589" w:rsidRDefault="00792589" w:rsidP="00360D52">
    <w:pPr>
      <w:pStyle w:val="Normal11"/>
      <w:pBdr>
        <w:top w:val="nil"/>
        <w:left w:val="nil"/>
        <w:bottom w:val="nil"/>
        <w:right w:val="nil"/>
        <w:between w:val="nil"/>
        <w:bar w:val="nil"/>
      </w:pBdr>
      <w:jc w:val="both"/>
      <w:rPr>
        <w:rFonts w:eastAsia="Calibri"/>
        <w:b/>
        <w:bCs/>
        <w:bdr w:val="nil"/>
      </w:rPr>
    </w:pPr>
  </w:p>
  <w:p w14:paraId="1E05DD20" w14:textId="77777777" w:rsidR="00792589" w:rsidRDefault="00774C54" w:rsidP="00474E4D">
    <w:pPr>
      <w:pStyle w:val="Normal11"/>
      <w:pBdr>
        <w:top w:val="nil"/>
        <w:left w:val="nil"/>
        <w:bottom w:val="single" w:sz="12" w:space="1" w:color="auto"/>
        <w:right w:val="nil"/>
        <w:between w:val="nil"/>
        <w:bar w:val="nil"/>
      </w:pBdr>
      <w:jc w:val="both"/>
      <w:rPr>
        <w:rFonts w:eastAsia="Calibri"/>
        <w:b/>
        <w:bCs/>
        <w:bdr w:val="nil"/>
      </w:rPr>
    </w:pPr>
    <w:r w:rsidRPr="00474E4D">
      <w:rPr>
        <w:rFonts w:eastAsia="Calibri"/>
        <w:b/>
        <w:bCs/>
        <w:sz w:val="20"/>
        <w:szCs w:val="20"/>
        <w:bdr w:val="nil"/>
      </w:rPr>
      <w:t>DIRECTORS' REPORT ON THE COMPANY'S BUSINESS</w:t>
    </w:r>
  </w:p>
  <w:p w14:paraId="6200D0F1" w14:textId="77777777" w:rsidR="00792589" w:rsidRPr="006A6BB4" w:rsidRDefault="00792589" w:rsidP="006A6BB4">
    <w:pPr>
      <w:pStyle w:val="Normal11"/>
      <w:pBdr>
        <w:top w:val="nil"/>
        <w:left w:val="nil"/>
        <w:bottom w:val="nil"/>
        <w:right w:val="nil"/>
        <w:between w:val="nil"/>
        <w:bar w:val="nil"/>
      </w:pBdr>
      <w:jc w:val="both"/>
      <w:rPr>
        <w:rFonts w:eastAsia="Calibri"/>
        <w:b/>
        <w:bCs/>
        <w:bdr w:val="nil"/>
      </w:rPr>
    </w:pPr>
  </w:p>
  <w:p w14:paraId="602715CB" w14:textId="77777777" w:rsidR="00F04E1C" w:rsidRDefault="00F04E1C"/>
  <w:p w14:paraId="567BFF29" w14:textId="77777777" w:rsidR="00792589" w:rsidRPr="006A6BB4" w:rsidRDefault="00774C54" w:rsidP="006A6BB4">
    <w:pPr>
      <w:pStyle w:val="Normal11"/>
      <w:pBdr>
        <w:top w:val="nil"/>
        <w:left w:val="nil"/>
        <w:bottom w:val="nil"/>
        <w:right w:val="nil"/>
        <w:between w:val="nil"/>
        <w:bar w:val="nil"/>
      </w:pBdr>
      <w:jc w:val="right"/>
      <w:rPr>
        <w:rFonts w:eastAsia="Calibri"/>
        <w:b/>
        <w:bCs/>
        <w:bdr w:val="nil"/>
      </w:rPr>
    </w:pPr>
    <w:r w:rsidRPr="00CA610A">
      <w:rPr>
        <w:rFonts w:eastAsia="Calibri"/>
        <w:b/>
        <w:bCs/>
        <w:sz w:val="20"/>
        <w:szCs w:val="20"/>
        <w:bdr w:val="nil"/>
      </w:rPr>
      <w:t>G</w:t>
    </w:r>
    <w:r w:rsidR="00ED077B">
      <w:rPr>
        <w:rFonts w:eastAsia="Calibri"/>
        <w:b/>
        <w:bCs/>
        <w:sz w:val="20"/>
        <w:szCs w:val="20"/>
        <w:bdr w:val="nil"/>
      </w:rPr>
      <w:t xml:space="preserve"> </w:t>
    </w:r>
    <w:r w:rsidR="00F82516">
      <w:rPr>
        <w:rFonts w:eastAsia="Calibri"/>
        <w:b/>
        <w:bCs/>
        <w:sz w:val="20"/>
        <w:szCs w:val="20"/>
        <w:bdr w:val="nil"/>
      </w:rPr>
      <w:t>CITY</w:t>
    </w:r>
    <w:r w:rsidRPr="00CA610A">
      <w:rPr>
        <w:rFonts w:eastAsia="Calibri"/>
        <w:b/>
        <w:bCs/>
        <w:sz w:val="20"/>
        <w:szCs w:val="20"/>
        <w:bdr w:val="nil"/>
      </w:rPr>
      <w:t xml:space="preserve"> LTD.</w:t>
    </w:r>
  </w:p>
  <w:p w14:paraId="6DF8AFBE" w14:textId="77777777" w:rsidR="00792589" w:rsidRDefault="00792589" w:rsidP="00360D52">
    <w:pPr>
      <w:pStyle w:val="Normal11"/>
      <w:pBdr>
        <w:top w:val="nil"/>
        <w:left w:val="nil"/>
        <w:bottom w:val="nil"/>
        <w:right w:val="nil"/>
        <w:between w:val="nil"/>
        <w:bar w:val="nil"/>
      </w:pBdr>
      <w:jc w:val="both"/>
      <w:rPr>
        <w:rFonts w:eastAsia="Calibri"/>
        <w:b/>
        <w:bCs/>
        <w:bdr w:val="nil"/>
      </w:rPr>
    </w:pPr>
  </w:p>
  <w:p w14:paraId="787B02C8" w14:textId="77777777" w:rsidR="00792589" w:rsidRDefault="00774C54" w:rsidP="00474E4D">
    <w:pPr>
      <w:pStyle w:val="Normal11"/>
      <w:pBdr>
        <w:top w:val="nil"/>
        <w:left w:val="nil"/>
        <w:bottom w:val="single" w:sz="12" w:space="1" w:color="auto"/>
        <w:right w:val="nil"/>
        <w:between w:val="nil"/>
        <w:bar w:val="nil"/>
      </w:pBdr>
      <w:jc w:val="both"/>
      <w:rPr>
        <w:rFonts w:eastAsia="Calibri"/>
        <w:b/>
        <w:bCs/>
        <w:bdr w:val="nil"/>
      </w:rPr>
    </w:pPr>
    <w:r w:rsidRPr="00474E4D">
      <w:rPr>
        <w:rFonts w:eastAsia="Calibri"/>
        <w:b/>
        <w:bCs/>
        <w:sz w:val="20"/>
        <w:szCs w:val="20"/>
        <w:bdr w:val="nil"/>
      </w:rPr>
      <w:t>DIRECTORS' REPORT ON THE COMPANY'S BUSINESS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296D" w14:textId="77777777" w:rsidR="007F4C68" w:rsidRPr="00A65C56" w:rsidRDefault="007F4C68" w:rsidP="00CE7B8C">
    <w:pPr>
      <w:pBdr>
        <w:top w:val="nil"/>
        <w:left w:val="nil"/>
        <w:bottom w:val="nil"/>
        <w:right w:val="nil"/>
        <w:between w:val="nil"/>
        <w:bar w:val="nil"/>
      </w:pBdr>
      <w:spacing w:before="0" w:after="0" w:line="240" w:lineRule="auto"/>
      <w:rPr>
        <w:rFonts w:asciiTheme="majorBidi" w:hAnsiTheme="majorBidi" w:cstheme="majorBidi"/>
        <w:b/>
        <w:caps/>
        <w:color w:val="000031"/>
        <w:sz w:val="21"/>
      </w:rPr>
    </w:pPr>
    <w:r w:rsidRPr="00A65C56">
      <w:rPr>
        <w:rFonts w:asciiTheme="majorBidi" w:hAnsiTheme="majorBidi" w:cstheme="majorBidi"/>
        <w:b/>
        <w:caps/>
        <w:color w:val="000031"/>
        <w:sz w:val="21"/>
      </w:rPr>
      <w:t>Financial Information from the Condensed Consolidated Statement of Cash Flows attributable to the Company</w:t>
    </w:r>
  </w:p>
  <w:p w14:paraId="0A0A21ED" w14:textId="77777777" w:rsidR="007F4C68" w:rsidRPr="00C24610" w:rsidRDefault="007F4C68" w:rsidP="002C24EE">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sz w:val="21"/>
        <w:szCs w:val="21"/>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5F65" w14:textId="77777777" w:rsidR="007F4C68" w:rsidRDefault="007F4C68"/>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EC5A" w14:textId="77777777" w:rsidR="007F4C68" w:rsidRPr="001E4E78" w:rsidRDefault="007F4C68" w:rsidP="005013A0">
    <w:pPr>
      <w:pBdr>
        <w:top w:val="nil"/>
        <w:left w:val="nil"/>
        <w:bottom w:val="nil"/>
        <w:right w:val="nil"/>
        <w:between w:val="nil"/>
        <w:bar w:val="nil"/>
      </w:pBdr>
      <w:spacing w:before="0" w:after="0" w:line="240" w:lineRule="auto"/>
      <w:rPr>
        <w:rFonts w:ascii="Ploni ML Medium AAA Medium" w:eastAsia="Calibri" w:hAnsi="Ploni ML Medium AAA Medium" w:cs="Ploni ML Medium AAA Medium"/>
        <w:b/>
        <w:bCs/>
        <w:color w:val="000031"/>
        <w:sz w:val="21"/>
        <w:szCs w:val="21"/>
      </w:rPr>
    </w:pPr>
    <w:r>
      <w:rPr>
        <w:rFonts w:ascii="Ploni ML Medium AAA Medium" w:hAnsi="Ploni ML Medium AAA Medium"/>
        <w:b/>
        <w:color w:val="000031"/>
        <w:sz w:val="21"/>
      </w:rPr>
      <w:t>GAZIT-GLOBE LTD.</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81EC" w14:textId="74C32779" w:rsidR="002459BC" w:rsidRPr="002459BC" w:rsidRDefault="002459BC" w:rsidP="002459BC">
    <w:pPr>
      <w:pBdr>
        <w:top w:val="nil"/>
        <w:left w:val="nil"/>
        <w:bottom w:val="nil"/>
        <w:right w:val="nil"/>
        <w:between w:val="nil"/>
        <w:bar w:val="nil"/>
      </w:pBdr>
      <w:spacing w:before="0" w:after="0" w:line="240" w:lineRule="auto"/>
      <w:rPr>
        <w:rFonts w:asciiTheme="majorBidi" w:hAnsiTheme="majorBidi" w:cstheme="majorBidi"/>
        <w:b/>
        <w:caps/>
        <w:color w:val="000031"/>
        <w:sz w:val="21"/>
      </w:rPr>
    </w:pPr>
    <w:r w:rsidRPr="002459BC">
      <w:rPr>
        <w:rFonts w:asciiTheme="majorBidi" w:hAnsiTheme="majorBidi" w:cstheme="majorBidi"/>
        <w:b/>
        <w:caps/>
        <w:color w:val="000031"/>
        <w:sz w:val="21"/>
      </w:rPr>
      <w:t xml:space="preserve">Additional </w:t>
    </w:r>
    <w:r>
      <w:rPr>
        <w:rFonts w:asciiTheme="majorBidi" w:hAnsiTheme="majorBidi" w:cstheme="majorBidi"/>
        <w:b/>
        <w:caps/>
        <w:color w:val="000031"/>
        <w:sz w:val="21"/>
      </w:rPr>
      <w:t>information</w:t>
    </w:r>
    <w:r w:rsidRPr="002459BC">
      <w:rPr>
        <w:rFonts w:asciiTheme="majorBidi" w:hAnsiTheme="majorBidi" w:cstheme="majorBidi"/>
        <w:b/>
        <w:caps/>
        <w:color w:val="000031"/>
        <w:sz w:val="21"/>
      </w:rPr>
      <w:t xml:space="preserve"> to the Separate Financial </w:t>
    </w:r>
    <w:r>
      <w:rPr>
        <w:rFonts w:asciiTheme="majorBidi" w:hAnsiTheme="majorBidi" w:cstheme="majorBidi"/>
        <w:b/>
        <w:caps/>
        <w:color w:val="000031"/>
        <w:sz w:val="21"/>
      </w:rPr>
      <w:t>statemets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709C" w14:textId="77777777" w:rsidR="007F4C68" w:rsidRDefault="007F4C68"/>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AD29" w14:textId="77777777" w:rsidR="00066AAA" w:rsidRDefault="00066AAA" w:rsidP="00742448">
    <w:pPr>
      <w:pStyle w:val="Normal27"/>
      <w:pBdr>
        <w:top w:val="nil"/>
        <w:left w:val="nil"/>
        <w:bottom w:val="nil"/>
        <w:right w:val="nil"/>
        <w:between w:val="nil"/>
        <w:bar w:val="nil"/>
      </w:pBdr>
      <w:tabs>
        <w:tab w:val="left" w:pos="2041"/>
      </w:tabs>
      <w:jc w:val="both"/>
      <w:rPr>
        <w:rFonts w:eastAsia="Calibri"/>
        <w:b/>
        <w:bCs/>
        <w:bdr w:val="nil"/>
      </w:rPr>
    </w:pPr>
    <w:r>
      <w:rPr>
        <w:rFonts w:eastAsia="Calibri"/>
        <w:b/>
        <w:bCs/>
        <w:bdr w:val="nil"/>
      </w:rPr>
      <w:tab/>
    </w:r>
  </w:p>
  <w:p w14:paraId="0DB6FA94" w14:textId="77777777" w:rsidR="00066AAA" w:rsidRPr="002459BC" w:rsidRDefault="00066AAA" w:rsidP="002459BC">
    <w:pPr>
      <w:pBdr>
        <w:top w:val="nil"/>
        <w:left w:val="nil"/>
        <w:bottom w:val="nil"/>
        <w:right w:val="nil"/>
        <w:between w:val="nil"/>
        <w:bar w:val="nil"/>
      </w:pBdr>
      <w:spacing w:before="0" w:after="0" w:line="240" w:lineRule="auto"/>
      <w:rPr>
        <w:rFonts w:asciiTheme="majorBidi" w:hAnsiTheme="majorBidi" w:cstheme="majorBidi"/>
        <w:b/>
        <w:caps/>
        <w:color w:val="000031"/>
        <w:sz w:val="21"/>
      </w:rPr>
    </w:pPr>
    <w:r w:rsidRPr="002459BC">
      <w:rPr>
        <w:rFonts w:asciiTheme="majorBidi" w:hAnsiTheme="majorBidi" w:cstheme="majorBidi"/>
        <w:b/>
        <w:caps/>
        <w:color w:val="000031"/>
        <w:sz w:val="21"/>
      </w:rPr>
      <w:t xml:space="preserve">Quarterly Report regarding Effectiveness of the Internal Control over the Financial Reporting and the Disclosure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BA12" w14:textId="77777777" w:rsidR="00213131" w:rsidRPr="00213131" w:rsidRDefault="00213131" w:rsidP="00213131">
    <w:pPr>
      <w:pBdr>
        <w:top w:val="nil"/>
        <w:left w:val="nil"/>
        <w:bottom w:val="nil"/>
        <w:right w:val="nil"/>
        <w:between w:val="nil"/>
        <w:bar w:val="nil"/>
      </w:pBdr>
      <w:spacing w:before="0" w:after="0" w:line="240" w:lineRule="auto"/>
      <w:rPr>
        <w:rFonts w:asciiTheme="majorBidi" w:eastAsia="Calibri" w:hAnsiTheme="majorBidi" w:cstheme="majorBidi"/>
        <w:b/>
        <w:bCs/>
        <w:color w:val="000031"/>
        <w:sz w:val="21"/>
        <w:szCs w:val="21"/>
      </w:rPr>
    </w:pPr>
    <w:r w:rsidRPr="00213131">
      <w:rPr>
        <w:rFonts w:asciiTheme="majorBidi" w:hAnsiTheme="majorBidi" w:cstheme="majorBidi"/>
        <w:b/>
        <w:color w:val="000031"/>
        <w:sz w:val="21"/>
      </w:rPr>
      <w:t>DIRECTOR’S REPORT ON THE COMPANY’S BUISNESS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7C74" w14:textId="77777777" w:rsidR="00B80A62" w:rsidRDefault="00B80A62">
    <w:pPr>
      <w:pStyle w:val="Normal11"/>
    </w:pPr>
  </w:p>
  <w:p w14:paraId="44D31780" w14:textId="77777777" w:rsidR="00F04E1C" w:rsidRDefault="00F04E1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A15D" w14:textId="77777777" w:rsidR="00213131" w:rsidRPr="00F70F6C" w:rsidRDefault="00213131" w:rsidP="004C4268">
    <w:pPr>
      <w:pBdr>
        <w:top w:val="nil"/>
        <w:left w:val="nil"/>
        <w:bottom w:val="nil"/>
        <w:right w:val="nil"/>
        <w:between w:val="nil"/>
        <w:bar w:val="nil"/>
      </w:pBdr>
      <w:spacing w:before="0" w:after="0" w:line="240" w:lineRule="auto"/>
      <w:rPr>
        <w:rFonts w:eastAsia="Calibri"/>
        <w:b/>
        <w:bCs/>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23E0" w14:textId="28D4BEB0" w:rsidR="00213131" w:rsidRPr="001015E6" w:rsidRDefault="001015E6" w:rsidP="001015E6">
    <w:pPr>
      <w:pBdr>
        <w:top w:val="nil"/>
        <w:left w:val="nil"/>
        <w:bottom w:val="nil"/>
        <w:right w:val="nil"/>
        <w:between w:val="nil"/>
        <w:bar w:val="nil"/>
      </w:pBdr>
      <w:spacing w:before="0" w:after="0" w:line="240" w:lineRule="auto"/>
      <w:rPr>
        <w:rtl/>
      </w:rPr>
    </w:pPr>
    <w:r w:rsidRPr="001015E6">
      <w:rPr>
        <w:rFonts w:asciiTheme="majorBidi" w:hAnsiTheme="majorBidi" w:cstheme="majorBidi"/>
        <w:b/>
        <w:color w:val="000031"/>
        <w:sz w:val="21"/>
      </w:rPr>
      <w:t>UPDATE TO THE DESCRIPTION OF THE COMPANY’S BUSINESS</w:t>
    </w:r>
    <w:r w:rsidR="007C36D2" w:rsidRPr="001015E6">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796B" w14:textId="77777777" w:rsidR="00213131" w:rsidRDefault="002131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5EA5E0A"/>
    <w:lvl w:ilvl="0">
      <w:start w:val="1"/>
      <w:numFmt w:val="hebrew1"/>
      <w:lvlText w:val="%1."/>
      <w:lvlJc w:val="left"/>
      <w:pPr>
        <w:ind w:left="1080" w:hanging="360"/>
      </w:pPr>
      <w:rPr>
        <w:rFonts w:hint="default"/>
      </w:rPr>
    </w:lvl>
    <w:lvl w:ilvl="1">
      <w:start w:val="1"/>
      <w:numFmt w:val="hebrew1"/>
      <w:lvlText w:val="%2."/>
      <w:lvlJc w:val="center"/>
      <w:pPr>
        <w:ind w:left="1800" w:hanging="360"/>
      </w:pPr>
      <w:rPr>
        <w:rFonts w:hint="default"/>
        <w:lang w:bidi="he-IL"/>
      </w:rPr>
    </w:lvl>
    <w:lvl w:ilvl="2">
      <w:start w:val="1"/>
      <w:numFmt w:val="decimal"/>
      <w:lvlText w:val="%3."/>
      <w:lvlJc w:val="left"/>
      <w:pPr>
        <w:ind w:left="861" w:hanging="360"/>
      </w:pPr>
      <w:rPr>
        <w:rFonts w:ascii="Tahoma" w:hAnsi="Tahoma" w:cs="Tahoma" w:hint="default"/>
      </w:rPr>
    </w:lvl>
    <w:lvl w:ilvl="3">
      <w:start w:val="1"/>
      <w:numFmt w:val="hebrew1"/>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000001B"/>
    <w:multiLevelType w:val="hybridMultilevel"/>
    <w:tmpl w:val="199E25DC"/>
    <w:lvl w:ilvl="0" w:tplc="04090019">
      <w:start w:val="1"/>
      <w:numFmt w:val="lowerLetter"/>
      <w:lvlText w:val="%1."/>
      <w:lvlJc w:val="left"/>
      <w:pPr>
        <w:ind w:left="1494" w:hanging="360"/>
      </w:pPr>
      <w:rPr>
        <w:rFonts w:hint="default"/>
      </w:rPr>
    </w:lvl>
    <w:lvl w:ilvl="1" w:tplc="C844806C" w:tentative="1">
      <w:start w:val="1"/>
      <w:numFmt w:val="lowerLetter"/>
      <w:lvlText w:val="%2."/>
      <w:lvlJc w:val="left"/>
      <w:pPr>
        <w:ind w:left="2214" w:hanging="360"/>
      </w:pPr>
    </w:lvl>
    <w:lvl w:ilvl="2" w:tplc="453EB2A6" w:tentative="1">
      <w:start w:val="1"/>
      <w:numFmt w:val="lowerRoman"/>
      <w:lvlText w:val="%3."/>
      <w:lvlJc w:val="right"/>
      <w:pPr>
        <w:ind w:left="2934" w:hanging="180"/>
      </w:pPr>
    </w:lvl>
    <w:lvl w:ilvl="3" w:tplc="FDE262AC" w:tentative="1">
      <w:start w:val="1"/>
      <w:numFmt w:val="decimal"/>
      <w:lvlText w:val="%4."/>
      <w:lvlJc w:val="left"/>
      <w:pPr>
        <w:ind w:left="3654" w:hanging="360"/>
      </w:pPr>
    </w:lvl>
    <w:lvl w:ilvl="4" w:tplc="BAE0B524" w:tentative="1">
      <w:start w:val="1"/>
      <w:numFmt w:val="lowerLetter"/>
      <w:lvlText w:val="%5."/>
      <w:lvlJc w:val="left"/>
      <w:pPr>
        <w:ind w:left="4374" w:hanging="360"/>
      </w:pPr>
    </w:lvl>
    <w:lvl w:ilvl="5" w:tplc="99BEA402" w:tentative="1">
      <w:start w:val="1"/>
      <w:numFmt w:val="lowerRoman"/>
      <w:lvlText w:val="%6."/>
      <w:lvlJc w:val="right"/>
      <w:pPr>
        <w:ind w:left="5094" w:hanging="180"/>
      </w:pPr>
    </w:lvl>
    <w:lvl w:ilvl="6" w:tplc="59046668" w:tentative="1">
      <w:start w:val="1"/>
      <w:numFmt w:val="decimal"/>
      <w:lvlText w:val="%7."/>
      <w:lvlJc w:val="left"/>
      <w:pPr>
        <w:ind w:left="5814" w:hanging="360"/>
      </w:pPr>
    </w:lvl>
    <w:lvl w:ilvl="7" w:tplc="002C17E2" w:tentative="1">
      <w:start w:val="1"/>
      <w:numFmt w:val="lowerLetter"/>
      <w:lvlText w:val="%8."/>
      <w:lvlJc w:val="left"/>
      <w:pPr>
        <w:ind w:left="6534" w:hanging="360"/>
      </w:pPr>
    </w:lvl>
    <w:lvl w:ilvl="8" w:tplc="9D346626" w:tentative="1">
      <w:start w:val="1"/>
      <w:numFmt w:val="lowerRoman"/>
      <w:lvlText w:val="%9."/>
      <w:lvlJc w:val="right"/>
      <w:pPr>
        <w:ind w:left="7254" w:hanging="180"/>
      </w:pPr>
    </w:lvl>
  </w:abstractNum>
  <w:abstractNum w:abstractNumId="2" w15:restartNumberingAfterBreak="0">
    <w:nsid w:val="0000001C"/>
    <w:multiLevelType w:val="hybridMultilevel"/>
    <w:tmpl w:val="138089DE"/>
    <w:lvl w:ilvl="0" w:tplc="81A89BBC">
      <w:start w:val="1"/>
      <w:numFmt w:val="lowerLetter"/>
      <w:lvlText w:val="%1."/>
      <w:lvlJc w:val="left"/>
      <w:pPr>
        <w:ind w:left="720" w:hanging="360"/>
      </w:pPr>
    </w:lvl>
    <w:lvl w:ilvl="1" w:tplc="2516039C">
      <w:start w:val="1"/>
      <w:numFmt w:val="lowerLetter"/>
      <w:lvlText w:val="%2."/>
      <w:lvlJc w:val="left"/>
      <w:pPr>
        <w:tabs>
          <w:tab w:val="num" w:pos="1701"/>
        </w:tabs>
        <w:ind w:left="1701" w:hanging="567"/>
      </w:pPr>
      <w:rPr>
        <w:rFonts w:hint="default"/>
      </w:rPr>
    </w:lvl>
    <w:lvl w:ilvl="2" w:tplc="ED42B400">
      <w:start w:val="1"/>
      <w:numFmt w:val="decimal"/>
      <w:lvlText w:val="%3."/>
      <w:lvlJc w:val="left"/>
      <w:pPr>
        <w:ind w:left="2340" w:hanging="360"/>
      </w:pPr>
      <w:rPr>
        <w:rFonts w:hint="default"/>
      </w:rPr>
    </w:lvl>
    <w:lvl w:ilvl="3" w:tplc="F24CEACE" w:tentative="1">
      <w:start w:val="1"/>
      <w:numFmt w:val="decimal"/>
      <w:lvlText w:val="%4."/>
      <w:lvlJc w:val="left"/>
      <w:pPr>
        <w:ind w:left="2880" w:hanging="360"/>
      </w:pPr>
    </w:lvl>
    <w:lvl w:ilvl="4" w:tplc="9FAE66A6" w:tentative="1">
      <w:start w:val="1"/>
      <w:numFmt w:val="lowerLetter"/>
      <w:lvlText w:val="%5."/>
      <w:lvlJc w:val="left"/>
      <w:pPr>
        <w:ind w:left="3600" w:hanging="360"/>
      </w:pPr>
    </w:lvl>
    <w:lvl w:ilvl="5" w:tplc="499C4932" w:tentative="1">
      <w:start w:val="1"/>
      <w:numFmt w:val="lowerRoman"/>
      <w:lvlText w:val="%6."/>
      <w:lvlJc w:val="right"/>
      <w:pPr>
        <w:ind w:left="4320" w:hanging="180"/>
      </w:pPr>
    </w:lvl>
    <w:lvl w:ilvl="6" w:tplc="61A454C2" w:tentative="1">
      <w:start w:val="1"/>
      <w:numFmt w:val="decimal"/>
      <w:lvlText w:val="%7."/>
      <w:lvlJc w:val="left"/>
      <w:pPr>
        <w:ind w:left="5040" w:hanging="360"/>
      </w:pPr>
    </w:lvl>
    <w:lvl w:ilvl="7" w:tplc="0900AD74" w:tentative="1">
      <w:start w:val="1"/>
      <w:numFmt w:val="lowerLetter"/>
      <w:lvlText w:val="%8."/>
      <w:lvlJc w:val="left"/>
      <w:pPr>
        <w:ind w:left="5760" w:hanging="360"/>
      </w:pPr>
    </w:lvl>
    <w:lvl w:ilvl="8" w:tplc="D1B2283C" w:tentative="1">
      <w:start w:val="1"/>
      <w:numFmt w:val="lowerRoman"/>
      <w:lvlText w:val="%9."/>
      <w:lvlJc w:val="right"/>
      <w:pPr>
        <w:ind w:left="6480" w:hanging="180"/>
      </w:pPr>
    </w:lvl>
  </w:abstractNum>
  <w:abstractNum w:abstractNumId="3" w15:restartNumberingAfterBreak="0">
    <w:nsid w:val="0000001D"/>
    <w:multiLevelType w:val="multilevel"/>
    <w:tmpl w:val="BEFA0F42"/>
    <w:lvl w:ilvl="0">
      <w:start w:val="18"/>
      <w:numFmt w:val="lowerLetter"/>
      <w:lvlText w:val="%1."/>
      <w:lvlJc w:val="left"/>
      <w:pPr>
        <w:tabs>
          <w:tab w:val="num" w:pos="1701"/>
        </w:tabs>
        <w:ind w:left="1701" w:hanging="567"/>
      </w:pPr>
      <w:rPr>
        <w:rFonts w:cs="Times New Roman"/>
      </w:rPr>
    </w:lvl>
    <w:lvl w:ilvl="1">
      <w:start w:val="1"/>
      <w:numFmt w:val="decimal"/>
      <w:lvlText w:val="%2."/>
      <w:lvlJc w:val="left"/>
      <w:pPr>
        <w:tabs>
          <w:tab w:val="num" w:pos="2268"/>
        </w:tabs>
        <w:ind w:left="2268" w:hanging="567"/>
      </w:pPr>
      <w:rPr>
        <w:rFonts w:cs="Times New Roman"/>
      </w:rPr>
    </w:lvl>
    <w:lvl w:ilvl="2">
      <w:start w:val="1"/>
      <w:numFmt w:val="decimal"/>
      <w:lvlText w:val="%3."/>
      <w:lvlJc w:val="left"/>
      <w:pPr>
        <w:tabs>
          <w:tab w:val="num" w:pos="2835"/>
        </w:tabs>
        <w:ind w:left="2835" w:hanging="397"/>
      </w:pPr>
      <w:rPr>
        <w:rFonts w:cs="Times New Roman"/>
      </w:rPr>
    </w:lvl>
    <w:lvl w:ilvl="3">
      <w:start w:val="1"/>
      <w:numFmt w:val="decimal"/>
      <w:lvlText w:val="%4."/>
      <w:lvlJc w:val="left"/>
      <w:pPr>
        <w:ind w:left="3402" w:hanging="567"/>
      </w:pPr>
      <w:rPr>
        <w:rFonts w:cs="Times New Roman"/>
      </w:rPr>
    </w:lvl>
    <w:lvl w:ilvl="4">
      <w:start w:val="1"/>
      <w:numFmt w:val="lowerLetter"/>
      <w:lvlText w:val="%5."/>
      <w:lvlJc w:val="left"/>
      <w:pPr>
        <w:ind w:left="3969" w:hanging="567"/>
      </w:pPr>
      <w:rPr>
        <w:rFonts w:cs="Times New Roman"/>
      </w:rPr>
    </w:lvl>
    <w:lvl w:ilvl="5">
      <w:start w:val="1"/>
      <w:numFmt w:val="lowerRoman"/>
      <w:lvlText w:val="%6."/>
      <w:lvlJc w:val="right"/>
      <w:pPr>
        <w:ind w:left="4536" w:hanging="567"/>
      </w:pPr>
      <w:rPr>
        <w:rFonts w:cs="Times New Roman"/>
      </w:rPr>
    </w:lvl>
    <w:lvl w:ilvl="6">
      <w:start w:val="1"/>
      <w:numFmt w:val="decimal"/>
      <w:lvlText w:val="%7."/>
      <w:lvlJc w:val="left"/>
      <w:pPr>
        <w:ind w:left="5103" w:hanging="567"/>
      </w:pPr>
      <w:rPr>
        <w:rFonts w:cs="Times New Roman"/>
      </w:rPr>
    </w:lvl>
    <w:lvl w:ilvl="7">
      <w:start w:val="1"/>
      <w:numFmt w:val="lowerLetter"/>
      <w:lvlText w:val="%8."/>
      <w:lvlJc w:val="left"/>
      <w:pPr>
        <w:ind w:left="5670" w:hanging="567"/>
      </w:pPr>
      <w:rPr>
        <w:rFonts w:cs="Times New Roman"/>
      </w:rPr>
    </w:lvl>
    <w:lvl w:ilvl="8">
      <w:start w:val="1"/>
      <w:numFmt w:val="lowerRoman"/>
      <w:lvlText w:val="%9."/>
      <w:lvlJc w:val="right"/>
      <w:pPr>
        <w:ind w:left="6237" w:hanging="567"/>
      </w:pPr>
      <w:rPr>
        <w:rFonts w:cs="Times New Roman"/>
      </w:rPr>
    </w:lvl>
  </w:abstractNum>
  <w:abstractNum w:abstractNumId="4" w15:restartNumberingAfterBreak="0">
    <w:nsid w:val="0000001E"/>
    <w:multiLevelType w:val="hybridMultilevel"/>
    <w:tmpl w:val="599AFCF6"/>
    <w:lvl w:ilvl="0" w:tplc="34A4F0B4">
      <w:start w:val="1"/>
      <w:numFmt w:val="lowerLetter"/>
      <w:lvlText w:val="%1."/>
      <w:lvlJc w:val="left"/>
      <w:pPr>
        <w:ind w:left="1080" w:hanging="360"/>
      </w:pPr>
      <w:rPr>
        <w:rFonts w:hint="default"/>
      </w:rPr>
    </w:lvl>
    <w:lvl w:ilvl="1" w:tplc="DF78AB38">
      <w:start w:val="1"/>
      <w:numFmt w:val="decimal"/>
      <w:lvlText w:val="%2."/>
      <w:lvlJc w:val="left"/>
      <w:pPr>
        <w:ind w:left="3195" w:hanging="360"/>
      </w:pPr>
    </w:lvl>
    <w:lvl w:ilvl="2" w:tplc="39606D74" w:tentative="1">
      <w:start w:val="1"/>
      <w:numFmt w:val="lowerRoman"/>
      <w:lvlText w:val="%3."/>
      <w:lvlJc w:val="right"/>
      <w:pPr>
        <w:ind w:left="2520" w:hanging="180"/>
      </w:pPr>
    </w:lvl>
    <w:lvl w:ilvl="3" w:tplc="7C88DDBC" w:tentative="1">
      <w:start w:val="1"/>
      <w:numFmt w:val="decimal"/>
      <w:lvlText w:val="%4."/>
      <w:lvlJc w:val="left"/>
      <w:pPr>
        <w:ind w:left="3240" w:hanging="360"/>
      </w:pPr>
    </w:lvl>
    <w:lvl w:ilvl="4" w:tplc="EF5EAE60" w:tentative="1">
      <w:start w:val="1"/>
      <w:numFmt w:val="lowerLetter"/>
      <w:lvlText w:val="%5."/>
      <w:lvlJc w:val="left"/>
      <w:pPr>
        <w:ind w:left="3960" w:hanging="360"/>
      </w:pPr>
    </w:lvl>
    <w:lvl w:ilvl="5" w:tplc="1A7A37CE" w:tentative="1">
      <w:start w:val="1"/>
      <w:numFmt w:val="lowerRoman"/>
      <w:lvlText w:val="%6."/>
      <w:lvlJc w:val="right"/>
      <w:pPr>
        <w:ind w:left="4680" w:hanging="180"/>
      </w:pPr>
    </w:lvl>
    <w:lvl w:ilvl="6" w:tplc="4894A274" w:tentative="1">
      <w:start w:val="1"/>
      <w:numFmt w:val="decimal"/>
      <w:lvlText w:val="%7."/>
      <w:lvlJc w:val="left"/>
      <w:pPr>
        <w:ind w:left="5400" w:hanging="360"/>
      </w:pPr>
    </w:lvl>
    <w:lvl w:ilvl="7" w:tplc="C99848EC" w:tentative="1">
      <w:start w:val="1"/>
      <w:numFmt w:val="lowerLetter"/>
      <w:lvlText w:val="%8."/>
      <w:lvlJc w:val="left"/>
      <w:pPr>
        <w:ind w:left="6120" w:hanging="360"/>
      </w:pPr>
    </w:lvl>
    <w:lvl w:ilvl="8" w:tplc="027ED7E8" w:tentative="1">
      <w:start w:val="1"/>
      <w:numFmt w:val="lowerRoman"/>
      <w:lvlText w:val="%9."/>
      <w:lvlJc w:val="right"/>
      <w:pPr>
        <w:ind w:left="6840" w:hanging="180"/>
      </w:pPr>
    </w:lvl>
  </w:abstractNum>
  <w:abstractNum w:abstractNumId="5" w15:restartNumberingAfterBreak="0">
    <w:nsid w:val="00000020"/>
    <w:multiLevelType w:val="hybridMultilevel"/>
    <w:tmpl w:val="F1B65FA6"/>
    <w:lvl w:ilvl="0" w:tplc="5BE02CB4">
      <w:start w:val="1"/>
      <w:numFmt w:val="lowerLetter"/>
      <w:lvlText w:val="%1."/>
      <w:lvlJc w:val="left"/>
      <w:pPr>
        <w:ind w:left="720" w:hanging="360"/>
      </w:pPr>
    </w:lvl>
    <w:lvl w:ilvl="1" w:tplc="7848CDF6">
      <w:start w:val="1"/>
      <w:numFmt w:val="lowerLetter"/>
      <w:lvlText w:val="%2."/>
      <w:lvlJc w:val="left"/>
      <w:pPr>
        <w:tabs>
          <w:tab w:val="num" w:pos="1701"/>
        </w:tabs>
        <w:ind w:left="1701" w:hanging="567"/>
      </w:pPr>
      <w:rPr>
        <w:rFonts w:hint="default"/>
      </w:rPr>
    </w:lvl>
    <w:lvl w:ilvl="2" w:tplc="F3C8CFA8" w:tentative="1">
      <w:start w:val="1"/>
      <w:numFmt w:val="lowerRoman"/>
      <w:lvlText w:val="%3."/>
      <w:lvlJc w:val="right"/>
      <w:pPr>
        <w:ind w:left="2160" w:hanging="180"/>
      </w:pPr>
    </w:lvl>
    <w:lvl w:ilvl="3" w:tplc="0B6436FE" w:tentative="1">
      <w:start w:val="1"/>
      <w:numFmt w:val="decimal"/>
      <w:lvlText w:val="%4."/>
      <w:lvlJc w:val="left"/>
      <w:pPr>
        <w:ind w:left="2880" w:hanging="360"/>
      </w:pPr>
    </w:lvl>
    <w:lvl w:ilvl="4" w:tplc="32EE35AE" w:tentative="1">
      <w:start w:val="1"/>
      <w:numFmt w:val="lowerLetter"/>
      <w:lvlText w:val="%5."/>
      <w:lvlJc w:val="left"/>
      <w:pPr>
        <w:ind w:left="3600" w:hanging="360"/>
      </w:pPr>
    </w:lvl>
    <w:lvl w:ilvl="5" w:tplc="B16E65D6" w:tentative="1">
      <w:start w:val="1"/>
      <w:numFmt w:val="lowerRoman"/>
      <w:lvlText w:val="%6."/>
      <w:lvlJc w:val="right"/>
      <w:pPr>
        <w:ind w:left="4320" w:hanging="180"/>
      </w:pPr>
    </w:lvl>
    <w:lvl w:ilvl="6" w:tplc="31CA944E" w:tentative="1">
      <w:start w:val="1"/>
      <w:numFmt w:val="decimal"/>
      <w:lvlText w:val="%7."/>
      <w:lvlJc w:val="left"/>
      <w:pPr>
        <w:ind w:left="5040" w:hanging="360"/>
      </w:pPr>
    </w:lvl>
    <w:lvl w:ilvl="7" w:tplc="141A7894" w:tentative="1">
      <w:start w:val="1"/>
      <w:numFmt w:val="lowerLetter"/>
      <w:lvlText w:val="%8."/>
      <w:lvlJc w:val="left"/>
      <w:pPr>
        <w:ind w:left="5760" w:hanging="360"/>
      </w:pPr>
    </w:lvl>
    <w:lvl w:ilvl="8" w:tplc="45C03232" w:tentative="1">
      <w:start w:val="1"/>
      <w:numFmt w:val="lowerRoman"/>
      <w:lvlText w:val="%9."/>
      <w:lvlJc w:val="right"/>
      <w:pPr>
        <w:ind w:left="6480" w:hanging="180"/>
      </w:pPr>
    </w:lvl>
  </w:abstractNum>
  <w:abstractNum w:abstractNumId="6" w15:restartNumberingAfterBreak="0">
    <w:nsid w:val="00000021"/>
    <w:multiLevelType w:val="hybridMultilevel"/>
    <w:tmpl w:val="4DA2BA80"/>
    <w:lvl w:ilvl="0" w:tplc="856E6E1A">
      <w:start w:val="1"/>
      <w:numFmt w:val="lowerLetter"/>
      <w:lvlText w:val="%1."/>
      <w:lvlJc w:val="left"/>
      <w:pPr>
        <w:ind w:left="720" w:hanging="360"/>
      </w:pPr>
    </w:lvl>
    <w:lvl w:ilvl="1" w:tplc="72127584">
      <w:start w:val="2"/>
      <w:numFmt w:val="lowerLetter"/>
      <w:lvlText w:val="%2."/>
      <w:lvlJc w:val="left"/>
      <w:pPr>
        <w:tabs>
          <w:tab w:val="num" w:pos="1701"/>
        </w:tabs>
        <w:ind w:left="1701" w:hanging="567"/>
      </w:pPr>
      <w:rPr>
        <w:rFonts w:hint="default"/>
      </w:rPr>
    </w:lvl>
    <w:lvl w:ilvl="2" w:tplc="D7BE3580" w:tentative="1">
      <w:start w:val="1"/>
      <w:numFmt w:val="lowerRoman"/>
      <w:lvlText w:val="%3."/>
      <w:lvlJc w:val="right"/>
      <w:pPr>
        <w:ind w:left="2160" w:hanging="180"/>
      </w:pPr>
    </w:lvl>
    <w:lvl w:ilvl="3" w:tplc="C80281D6" w:tentative="1">
      <w:start w:val="1"/>
      <w:numFmt w:val="decimal"/>
      <w:lvlText w:val="%4."/>
      <w:lvlJc w:val="left"/>
      <w:pPr>
        <w:ind w:left="2880" w:hanging="360"/>
      </w:pPr>
    </w:lvl>
    <w:lvl w:ilvl="4" w:tplc="67C0A5FA" w:tentative="1">
      <w:start w:val="1"/>
      <w:numFmt w:val="lowerLetter"/>
      <w:lvlText w:val="%5."/>
      <w:lvlJc w:val="left"/>
      <w:pPr>
        <w:ind w:left="3600" w:hanging="360"/>
      </w:pPr>
    </w:lvl>
    <w:lvl w:ilvl="5" w:tplc="EC1472D2" w:tentative="1">
      <w:start w:val="1"/>
      <w:numFmt w:val="lowerRoman"/>
      <w:lvlText w:val="%6."/>
      <w:lvlJc w:val="right"/>
      <w:pPr>
        <w:ind w:left="4320" w:hanging="180"/>
      </w:pPr>
    </w:lvl>
    <w:lvl w:ilvl="6" w:tplc="591AC05A" w:tentative="1">
      <w:start w:val="1"/>
      <w:numFmt w:val="decimal"/>
      <w:lvlText w:val="%7."/>
      <w:lvlJc w:val="left"/>
      <w:pPr>
        <w:ind w:left="5040" w:hanging="360"/>
      </w:pPr>
    </w:lvl>
    <w:lvl w:ilvl="7" w:tplc="B7B64F16" w:tentative="1">
      <w:start w:val="1"/>
      <w:numFmt w:val="lowerLetter"/>
      <w:lvlText w:val="%8."/>
      <w:lvlJc w:val="left"/>
      <w:pPr>
        <w:ind w:left="5760" w:hanging="360"/>
      </w:pPr>
    </w:lvl>
    <w:lvl w:ilvl="8" w:tplc="78B8966E" w:tentative="1">
      <w:start w:val="1"/>
      <w:numFmt w:val="lowerRoman"/>
      <w:lvlText w:val="%9."/>
      <w:lvlJc w:val="right"/>
      <w:pPr>
        <w:ind w:left="6480" w:hanging="180"/>
      </w:pPr>
    </w:lvl>
  </w:abstractNum>
  <w:abstractNum w:abstractNumId="7" w15:restartNumberingAfterBreak="0">
    <w:nsid w:val="00000022"/>
    <w:multiLevelType w:val="hybridMultilevel"/>
    <w:tmpl w:val="E90896F8"/>
    <w:lvl w:ilvl="0" w:tplc="18F605F4">
      <w:start w:val="1"/>
      <w:numFmt w:val="lowerLetter"/>
      <w:lvlText w:val="%1."/>
      <w:lvlJc w:val="left"/>
      <w:pPr>
        <w:ind w:left="1676" w:hanging="360"/>
      </w:pPr>
    </w:lvl>
    <w:lvl w:ilvl="1" w:tplc="B8261C92">
      <w:start w:val="1"/>
      <w:numFmt w:val="lowerLetter"/>
      <w:lvlText w:val="%2."/>
      <w:lvlJc w:val="left"/>
      <w:pPr>
        <w:ind w:left="2396" w:hanging="360"/>
      </w:pPr>
    </w:lvl>
    <w:lvl w:ilvl="2" w:tplc="5DF87198">
      <w:start w:val="1"/>
      <w:numFmt w:val="lowerRoman"/>
      <w:lvlText w:val="%3."/>
      <w:lvlJc w:val="right"/>
      <w:pPr>
        <w:ind w:left="3116" w:hanging="180"/>
      </w:pPr>
    </w:lvl>
    <w:lvl w:ilvl="3" w:tplc="33D84BE8">
      <w:start w:val="1"/>
      <w:numFmt w:val="decimal"/>
      <w:lvlText w:val="%4."/>
      <w:lvlJc w:val="left"/>
      <w:pPr>
        <w:ind w:left="3836" w:hanging="360"/>
      </w:pPr>
    </w:lvl>
    <w:lvl w:ilvl="4" w:tplc="98267FA4">
      <w:start w:val="1"/>
      <w:numFmt w:val="lowerLetter"/>
      <w:lvlText w:val="%5."/>
      <w:lvlJc w:val="left"/>
      <w:pPr>
        <w:ind w:left="4556" w:hanging="360"/>
      </w:pPr>
    </w:lvl>
    <w:lvl w:ilvl="5" w:tplc="4D6C786A">
      <w:start w:val="1"/>
      <w:numFmt w:val="lowerRoman"/>
      <w:lvlText w:val="%6."/>
      <w:lvlJc w:val="right"/>
      <w:pPr>
        <w:ind w:left="5276" w:hanging="180"/>
      </w:pPr>
    </w:lvl>
    <w:lvl w:ilvl="6" w:tplc="F5BCE4B0">
      <w:start w:val="1"/>
      <w:numFmt w:val="decimal"/>
      <w:lvlText w:val="%7."/>
      <w:lvlJc w:val="left"/>
      <w:pPr>
        <w:ind w:left="5996" w:hanging="360"/>
      </w:pPr>
    </w:lvl>
    <w:lvl w:ilvl="7" w:tplc="EE32BB88">
      <w:start w:val="1"/>
      <w:numFmt w:val="lowerLetter"/>
      <w:lvlText w:val="%8."/>
      <w:lvlJc w:val="left"/>
      <w:pPr>
        <w:ind w:left="6716" w:hanging="360"/>
      </w:pPr>
    </w:lvl>
    <w:lvl w:ilvl="8" w:tplc="05BE9A84">
      <w:start w:val="1"/>
      <w:numFmt w:val="lowerRoman"/>
      <w:lvlText w:val="%9."/>
      <w:lvlJc w:val="right"/>
      <w:pPr>
        <w:ind w:left="7436" w:hanging="180"/>
      </w:pPr>
    </w:lvl>
  </w:abstractNum>
  <w:abstractNum w:abstractNumId="8" w15:restartNumberingAfterBreak="0">
    <w:nsid w:val="00000024"/>
    <w:multiLevelType w:val="hybridMultilevel"/>
    <w:tmpl w:val="F52C19A8"/>
    <w:lvl w:ilvl="0" w:tplc="2290666C">
      <w:start w:val="1"/>
      <w:numFmt w:val="lowerLetter"/>
      <w:lvlText w:val="%1."/>
      <w:lvlJc w:val="left"/>
      <w:pPr>
        <w:tabs>
          <w:tab w:val="num" w:pos="567"/>
        </w:tabs>
        <w:ind w:left="567" w:hanging="567"/>
      </w:pPr>
      <w:rPr>
        <w:rFonts w:hint="default"/>
      </w:rPr>
    </w:lvl>
    <w:lvl w:ilvl="1" w:tplc="AEEAC6FE">
      <w:start w:val="1"/>
      <w:numFmt w:val="decimal"/>
      <w:lvlText w:val="%2."/>
      <w:lvlJc w:val="left"/>
      <w:pPr>
        <w:tabs>
          <w:tab w:val="num" w:pos="1134"/>
        </w:tabs>
        <w:ind w:left="1134" w:hanging="567"/>
      </w:pPr>
      <w:rPr>
        <w:rFonts w:hint="default"/>
      </w:rPr>
    </w:lvl>
    <w:lvl w:ilvl="2" w:tplc="95125C1A">
      <w:start w:val="1"/>
      <w:numFmt w:val="decimal"/>
      <w:lvlText w:val="%3."/>
      <w:lvlJc w:val="left"/>
      <w:pPr>
        <w:ind w:left="1980" w:hanging="360"/>
      </w:pPr>
      <w:rPr>
        <w:rFonts w:hint="default"/>
      </w:rPr>
    </w:lvl>
    <w:lvl w:ilvl="3" w:tplc="B6A2D82C" w:tentative="1">
      <w:start w:val="1"/>
      <w:numFmt w:val="decimal"/>
      <w:lvlText w:val="%4."/>
      <w:lvlJc w:val="left"/>
      <w:pPr>
        <w:ind w:left="2520" w:hanging="360"/>
      </w:pPr>
    </w:lvl>
    <w:lvl w:ilvl="4" w:tplc="8C0ADF96" w:tentative="1">
      <w:start w:val="1"/>
      <w:numFmt w:val="lowerLetter"/>
      <w:lvlText w:val="%5."/>
      <w:lvlJc w:val="left"/>
      <w:pPr>
        <w:ind w:left="3240" w:hanging="360"/>
      </w:pPr>
    </w:lvl>
    <w:lvl w:ilvl="5" w:tplc="174E5A7A" w:tentative="1">
      <w:start w:val="1"/>
      <w:numFmt w:val="lowerRoman"/>
      <w:lvlText w:val="%6."/>
      <w:lvlJc w:val="right"/>
      <w:pPr>
        <w:ind w:left="3960" w:hanging="180"/>
      </w:pPr>
    </w:lvl>
    <w:lvl w:ilvl="6" w:tplc="93E8D90A" w:tentative="1">
      <w:start w:val="1"/>
      <w:numFmt w:val="decimal"/>
      <w:lvlText w:val="%7."/>
      <w:lvlJc w:val="left"/>
      <w:pPr>
        <w:ind w:left="4680" w:hanging="360"/>
      </w:pPr>
    </w:lvl>
    <w:lvl w:ilvl="7" w:tplc="0ED0C802" w:tentative="1">
      <w:start w:val="1"/>
      <w:numFmt w:val="lowerLetter"/>
      <w:lvlText w:val="%8."/>
      <w:lvlJc w:val="left"/>
      <w:pPr>
        <w:ind w:left="5400" w:hanging="360"/>
      </w:pPr>
    </w:lvl>
    <w:lvl w:ilvl="8" w:tplc="9E2C9E20" w:tentative="1">
      <w:start w:val="1"/>
      <w:numFmt w:val="lowerRoman"/>
      <w:lvlText w:val="%9."/>
      <w:lvlJc w:val="right"/>
      <w:pPr>
        <w:ind w:left="6120" w:hanging="180"/>
      </w:pPr>
    </w:lvl>
  </w:abstractNum>
  <w:abstractNum w:abstractNumId="9" w15:restartNumberingAfterBreak="0">
    <w:nsid w:val="00000025"/>
    <w:multiLevelType w:val="hybridMultilevel"/>
    <w:tmpl w:val="DA14B476"/>
    <w:lvl w:ilvl="0" w:tplc="2342E210">
      <w:start w:val="2"/>
      <w:numFmt w:val="decimal"/>
      <w:lvlText w:val="%1."/>
      <w:lvlJc w:val="left"/>
      <w:pPr>
        <w:ind w:left="1080" w:hanging="360"/>
      </w:pPr>
      <w:rPr>
        <w:rFonts w:hint="default"/>
      </w:rPr>
    </w:lvl>
    <w:lvl w:ilvl="1" w:tplc="421EF3A8" w:tentative="1">
      <w:start w:val="1"/>
      <w:numFmt w:val="lowerLetter"/>
      <w:lvlText w:val="%2."/>
      <w:lvlJc w:val="left"/>
      <w:pPr>
        <w:ind w:left="1800" w:hanging="360"/>
      </w:pPr>
    </w:lvl>
    <w:lvl w:ilvl="2" w:tplc="2EF4CF72" w:tentative="1">
      <w:start w:val="1"/>
      <w:numFmt w:val="lowerRoman"/>
      <w:lvlText w:val="%3."/>
      <w:lvlJc w:val="right"/>
      <w:pPr>
        <w:ind w:left="2520" w:hanging="180"/>
      </w:pPr>
    </w:lvl>
    <w:lvl w:ilvl="3" w:tplc="DCFE86D8" w:tentative="1">
      <w:start w:val="1"/>
      <w:numFmt w:val="decimal"/>
      <w:lvlText w:val="%4."/>
      <w:lvlJc w:val="left"/>
      <w:pPr>
        <w:ind w:left="3240" w:hanging="360"/>
      </w:pPr>
    </w:lvl>
    <w:lvl w:ilvl="4" w:tplc="85CA3716" w:tentative="1">
      <w:start w:val="1"/>
      <w:numFmt w:val="lowerLetter"/>
      <w:lvlText w:val="%5."/>
      <w:lvlJc w:val="left"/>
      <w:pPr>
        <w:ind w:left="3960" w:hanging="360"/>
      </w:pPr>
    </w:lvl>
    <w:lvl w:ilvl="5" w:tplc="C9E29070" w:tentative="1">
      <w:start w:val="1"/>
      <w:numFmt w:val="lowerRoman"/>
      <w:lvlText w:val="%6."/>
      <w:lvlJc w:val="right"/>
      <w:pPr>
        <w:ind w:left="4680" w:hanging="180"/>
      </w:pPr>
    </w:lvl>
    <w:lvl w:ilvl="6" w:tplc="A4E8E75E" w:tentative="1">
      <w:start w:val="1"/>
      <w:numFmt w:val="decimal"/>
      <w:lvlText w:val="%7."/>
      <w:lvlJc w:val="left"/>
      <w:pPr>
        <w:ind w:left="5400" w:hanging="360"/>
      </w:pPr>
    </w:lvl>
    <w:lvl w:ilvl="7" w:tplc="BACA55C2" w:tentative="1">
      <w:start w:val="1"/>
      <w:numFmt w:val="lowerLetter"/>
      <w:lvlText w:val="%8."/>
      <w:lvlJc w:val="left"/>
      <w:pPr>
        <w:ind w:left="6120" w:hanging="360"/>
      </w:pPr>
    </w:lvl>
    <w:lvl w:ilvl="8" w:tplc="6EF06604" w:tentative="1">
      <w:start w:val="1"/>
      <w:numFmt w:val="lowerRoman"/>
      <w:lvlText w:val="%9."/>
      <w:lvlJc w:val="right"/>
      <w:pPr>
        <w:ind w:left="6840" w:hanging="180"/>
      </w:pPr>
    </w:lvl>
  </w:abstractNum>
  <w:abstractNum w:abstractNumId="10" w15:restartNumberingAfterBreak="0">
    <w:nsid w:val="00000026"/>
    <w:multiLevelType w:val="hybridMultilevel"/>
    <w:tmpl w:val="D3D419DA"/>
    <w:lvl w:ilvl="0" w:tplc="2300028A">
      <w:start w:val="1"/>
      <w:numFmt w:val="upperLetter"/>
      <w:lvlText w:val="%1)"/>
      <w:lvlJc w:val="left"/>
      <w:pPr>
        <w:ind w:left="720" w:hanging="360"/>
      </w:pPr>
      <w:rPr>
        <w:rFonts w:hint="default"/>
      </w:rPr>
    </w:lvl>
    <w:lvl w:ilvl="1" w:tplc="AB0210A0" w:tentative="1">
      <w:start w:val="1"/>
      <w:numFmt w:val="lowerLetter"/>
      <w:lvlText w:val="%2."/>
      <w:lvlJc w:val="left"/>
      <w:pPr>
        <w:ind w:left="1440" w:hanging="360"/>
      </w:pPr>
    </w:lvl>
    <w:lvl w:ilvl="2" w:tplc="4C68AB42" w:tentative="1">
      <w:start w:val="1"/>
      <w:numFmt w:val="lowerRoman"/>
      <w:lvlText w:val="%3."/>
      <w:lvlJc w:val="right"/>
      <w:pPr>
        <w:ind w:left="2160" w:hanging="180"/>
      </w:pPr>
    </w:lvl>
    <w:lvl w:ilvl="3" w:tplc="A5C4EABC" w:tentative="1">
      <w:start w:val="1"/>
      <w:numFmt w:val="decimal"/>
      <w:lvlText w:val="%4."/>
      <w:lvlJc w:val="left"/>
      <w:pPr>
        <w:ind w:left="2880" w:hanging="360"/>
      </w:pPr>
    </w:lvl>
    <w:lvl w:ilvl="4" w:tplc="DBD29432" w:tentative="1">
      <w:start w:val="1"/>
      <w:numFmt w:val="lowerLetter"/>
      <w:lvlText w:val="%5."/>
      <w:lvlJc w:val="left"/>
      <w:pPr>
        <w:ind w:left="3600" w:hanging="360"/>
      </w:pPr>
    </w:lvl>
    <w:lvl w:ilvl="5" w:tplc="CC56B6D4" w:tentative="1">
      <w:start w:val="1"/>
      <w:numFmt w:val="lowerRoman"/>
      <w:lvlText w:val="%6."/>
      <w:lvlJc w:val="right"/>
      <w:pPr>
        <w:ind w:left="4320" w:hanging="180"/>
      </w:pPr>
    </w:lvl>
    <w:lvl w:ilvl="6" w:tplc="7A1C2668" w:tentative="1">
      <w:start w:val="1"/>
      <w:numFmt w:val="decimal"/>
      <w:lvlText w:val="%7."/>
      <w:lvlJc w:val="left"/>
      <w:pPr>
        <w:ind w:left="5040" w:hanging="360"/>
      </w:pPr>
    </w:lvl>
    <w:lvl w:ilvl="7" w:tplc="CF767A44" w:tentative="1">
      <w:start w:val="1"/>
      <w:numFmt w:val="lowerLetter"/>
      <w:lvlText w:val="%8."/>
      <w:lvlJc w:val="left"/>
      <w:pPr>
        <w:ind w:left="5760" w:hanging="360"/>
      </w:pPr>
    </w:lvl>
    <w:lvl w:ilvl="8" w:tplc="077EC8D0" w:tentative="1">
      <w:start w:val="1"/>
      <w:numFmt w:val="lowerRoman"/>
      <w:lvlText w:val="%9."/>
      <w:lvlJc w:val="right"/>
      <w:pPr>
        <w:ind w:left="6480" w:hanging="180"/>
      </w:pPr>
    </w:lvl>
  </w:abstractNum>
  <w:abstractNum w:abstractNumId="11" w15:restartNumberingAfterBreak="0">
    <w:nsid w:val="00000027"/>
    <w:multiLevelType w:val="hybridMultilevel"/>
    <w:tmpl w:val="06AEB27E"/>
    <w:lvl w:ilvl="0" w:tplc="A8D45114">
      <w:start w:val="1"/>
      <w:numFmt w:val="decimal"/>
      <w:lvlText w:val="(%1)"/>
      <w:lvlJc w:val="left"/>
      <w:pPr>
        <w:tabs>
          <w:tab w:val="num" w:pos="567"/>
        </w:tabs>
        <w:ind w:left="567" w:hanging="567"/>
      </w:pPr>
      <w:rPr>
        <w:rFonts w:hint="default"/>
      </w:rPr>
    </w:lvl>
    <w:lvl w:ilvl="1" w:tplc="FD762C6E" w:tentative="1">
      <w:start w:val="1"/>
      <w:numFmt w:val="lowerLetter"/>
      <w:lvlText w:val="%2."/>
      <w:lvlJc w:val="left"/>
      <w:pPr>
        <w:ind w:left="1080" w:hanging="360"/>
      </w:pPr>
    </w:lvl>
    <w:lvl w:ilvl="2" w:tplc="F1C2321C" w:tentative="1">
      <w:start w:val="1"/>
      <w:numFmt w:val="lowerRoman"/>
      <w:lvlText w:val="%3."/>
      <w:lvlJc w:val="right"/>
      <w:pPr>
        <w:ind w:left="1800" w:hanging="180"/>
      </w:pPr>
    </w:lvl>
    <w:lvl w:ilvl="3" w:tplc="CE40FF74" w:tentative="1">
      <w:start w:val="1"/>
      <w:numFmt w:val="decimal"/>
      <w:lvlText w:val="%4."/>
      <w:lvlJc w:val="left"/>
      <w:pPr>
        <w:ind w:left="2520" w:hanging="360"/>
      </w:pPr>
    </w:lvl>
    <w:lvl w:ilvl="4" w:tplc="B40E13F2" w:tentative="1">
      <w:start w:val="1"/>
      <w:numFmt w:val="lowerLetter"/>
      <w:lvlText w:val="%5."/>
      <w:lvlJc w:val="left"/>
      <w:pPr>
        <w:ind w:left="3240" w:hanging="360"/>
      </w:pPr>
    </w:lvl>
    <w:lvl w:ilvl="5" w:tplc="A5AA09B2" w:tentative="1">
      <w:start w:val="1"/>
      <w:numFmt w:val="lowerRoman"/>
      <w:lvlText w:val="%6."/>
      <w:lvlJc w:val="right"/>
      <w:pPr>
        <w:ind w:left="3960" w:hanging="180"/>
      </w:pPr>
    </w:lvl>
    <w:lvl w:ilvl="6" w:tplc="3F7250F6" w:tentative="1">
      <w:start w:val="1"/>
      <w:numFmt w:val="decimal"/>
      <w:lvlText w:val="%7."/>
      <w:lvlJc w:val="left"/>
      <w:pPr>
        <w:ind w:left="4680" w:hanging="360"/>
      </w:pPr>
    </w:lvl>
    <w:lvl w:ilvl="7" w:tplc="479CB8F4" w:tentative="1">
      <w:start w:val="1"/>
      <w:numFmt w:val="lowerLetter"/>
      <w:lvlText w:val="%8."/>
      <w:lvlJc w:val="left"/>
      <w:pPr>
        <w:ind w:left="5400" w:hanging="360"/>
      </w:pPr>
    </w:lvl>
    <w:lvl w:ilvl="8" w:tplc="F1002D04" w:tentative="1">
      <w:start w:val="1"/>
      <w:numFmt w:val="lowerRoman"/>
      <w:lvlText w:val="%9."/>
      <w:lvlJc w:val="right"/>
      <w:pPr>
        <w:ind w:left="6120" w:hanging="180"/>
      </w:pPr>
    </w:lvl>
  </w:abstractNum>
  <w:abstractNum w:abstractNumId="12" w15:restartNumberingAfterBreak="0">
    <w:nsid w:val="00000028"/>
    <w:multiLevelType w:val="hybridMultilevel"/>
    <w:tmpl w:val="14F43B50"/>
    <w:lvl w:ilvl="0" w:tplc="90BCF2BA">
      <w:start w:val="1"/>
      <w:numFmt w:val="upperLetter"/>
      <w:lvlText w:val="(%1)"/>
      <w:lvlJc w:val="left"/>
      <w:pPr>
        <w:tabs>
          <w:tab w:val="num" w:pos="1134"/>
        </w:tabs>
        <w:ind w:left="1134" w:hanging="567"/>
      </w:pPr>
      <w:rPr>
        <w:rFonts w:hint="default"/>
      </w:rPr>
    </w:lvl>
    <w:lvl w:ilvl="1" w:tplc="4A8C4946" w:tentative="1">
      <w:start w:val="1"/>
      <w:numFmt w:val="lowerLetter"/>
      <w:lvlText w:val="%2."/>
      <w:lvlJc w:val="left"/>
      <w:pPr>
        <w:ind w:left="2149" w:hanging="360"/>
      </w:pPr>
    </w:lvl>
    <w:lvl w:ilvl="2" w:tplc="94C23FE0" w:tentative="1">
      <w:start w:val="1"/>
      <w:numFmt w:val="lowerRoman"/>
      <w:lvlText w:val="%3."/>
      <w:lvlJc w:val="right"/>
      <w:pPr>
        <w:ind w:left="2869" w:hanging="180"/>
      </w:pPr>
    </w:lvl>
    <w:lvl w:ilvl="3" w:tplc="F40E4574" w:tentative="1">
      <w:start w:val="1"/>
      <w:numFmt w:val="decimal"/>
      <w:lvlText w:val="%4."/>
      <w:lvlJc w:val="left"/>
      <w:pPr>
        <w:ind w:left="3589" w:hanging="360"/>
      </w:pPr>
    </w:lvl>
    <w:lvl w:ilvl="4" w:tplc="F3242C98" w:tentative="1">
      <w:start w:val="1"/>
      <w:numFmt w:val="lowerLetter"/>
      <w:lvlText w:val="%5."/>
      <w:lvlJc w:val="left"/>
      <w:pPr>
        <w:ind w:left="4309" w:hanging="360"/>
      </w:pPr>
    </w:lvl>
    <w:lvl w:ilvl="5" w:tplc="45F8A3B0" w:tentative="1">
      <w:start w:val="1"/>
      <w:numFmt w:val="lowerRoman"/>
      <w:lvlText w:val="%6."/>
      <w:lvlJc w:val="right"/>
      <w:pPr>
        <w:ind w:left="5029" w:hanging="180"/>
      </w:pPr>
    </w:lvl>
    <w:lvl w:ilvl="6" w:tplc="059229FE" w:tentative="1">
      <w:start w:val="1"/>
      <w:numFmt w:val="decimal"/>
      <w:lvlText w:val="%7."/>
      <w:lvlJc w:val="left"/>
      <w:pPr>
        <w:ind w:left="5749" w:hanging="360"/>
      </w:pPr>
    </w:lvl>
    <w:lvl w:ilvl="7" w:tplc="57D27562" w:tentative="1">
      <w:start w:val="1"/>
      <w:numFmt w:val="lowerLetter"/>
      <w:lvlText w:val="%8."/>
      <w:lvlJc w:val="left"/>
      <w:pPr>
        <w:ind w:left="6469" w:hanging="360"/>
      </w:pPr>
    </w:lvl>
    <w:lvl w:ilvl="8" w:tplc="B5621ACA" w:tentative="1">
      <w:start w:val="1"/>
      <w:numFmt w:val="lowerRoman"/>
      <w:lvlText w:val="%9."/>
      <w:lvlJc w:val="right"/>
      <w:pPr>
        <w:ind w:left="7189" w:hanging="180"/>
      </w:pPr>
    </w:lvl>
  </w:abstractNum>
  <w:abstractNum w:abstractNumId="13" w15:restartNumberingAfterBreak="0">
    <w:nsid w:val="00000029"/>
    <w:multiLevelType w:val="hybridMultilevel"/>
    <w:tmpl w:val="14F43B50"/>
    <w:lvl w:ilvl="0" w:tplc="6EC4D956">
      <w:start w:val="1"/>
      <w:numFmt w:val="upperLetter"/>
      <w:lvlText w:val="(%1)"/>
      <w:lvlJc w:val="left"/>
      <w:pPr>
        <w:tabs>
          <w:tab w:val="num" w:pos="1134"/>
        </w:tabs>
        <w:ind w:left="1134" w:hanging="567"/>
      </w:pPr>
      <w:rPr>
        <w:rFonts w:hint="default"/>
      </w:rPr>
    </w:lvl>
    <w:lvl w:ilvl="1" w:tplc="6D245C04" w:tentative="1">
      <w:start w:val="1"/>
      <w:numFmt w:val="lowerLetter"/>
      <w:lvlText w:val="%2."/>
      <w:lvlJc w:val="left"/>
      <w:pPr>
        <w:ind w:left="2149" w:hanging="360"/>
      </w:pPr>
    </w:lvl>
    <w:lvl w:ilvl="2" w:tplc="5D2E0AA8" w:tentative="1">
      <w:start w:val="1"/>
      <w:numFmt w:val="lowerRoman"/>
      <w:lvlText w:val="%3."/>
      <w:lvlJc w:val="right"/>
      <w:pPr>
        <w:ind w:left="2869" w:hanging="180"/>
      </w:pPr>
    </w:lvl>
    <w:lvl w:ilvl="3" w:tplc="12F49608" w:tentative="1">
      <w:start w:val="1"/>
      <w:numFmt w:val="decimal"/>
      <w:lvlText w:val="%4."/>
      <w:lvlJc w:val="left"/>
      <w:pPr>
        <w:ind w:left="3589" w:hanging="360"/>
      </w:pPr>
    </w:lvl>
    <w:lvl w:ilvl="4" w:tplc="185E361E" w:tentative="1">
      <w:start w:val="1"/>
      <w:numFmt w:val="lowerLetter"/>
      <w:lvlText w:val="%5."/>
      <w:lvlJc w:val="left"/>
      <w:pPr>
        <w:ind w:left="4309" w:hanging="360"/>
      </w:pPr>
    </w:lvl>
    <w:lvl w:ilvl="5" w:tplc="684CA358" w:tentative="1">
      <w:start w:val="1"/>
      <w:numFmt w:val="lowerRoman"/>
      <w:lvlText w:val="%6."/>
      <w:lvlJc w:val="right"/>
      <w:pPr>
        <w:ind w:left="5029" w:hanging="180"/>
      </w:pPr>
    </w:lvl>
    <w:lvl w:ilvl="6" w:tplc="0C2A05CC" w:tentative="1">
      <w:start w:val="1"/>
      <w:numFmt w:val="decimal"/>
      <w:lvlText w:val="%7."/>
      <w:lvlJc w:val="left"/>
      <w:pPr>
        <w:ind w:left="5749" w:hanging="360"/>
      </w:pPr>
    </w:lvl>
    <w:lvl w:ilvl="7" w:tplc="A69E6F98" w:tentative="1">
      <w:start w:val="1"/>
      <w:numFmt w:val="lowerLetter"/>
      <w:lvlText w:val="%8."/>
      <w:lvlJc w:val="left"/>
      <w:pPr>
        <w:ind w:left="6469" w:hanging="360"/>
      </w:pPr>
    </w:lvl>
    <w:lvl w:ilvl="8" w:tplc="B2BEBB26" w:tentative="1">
      <w:start w:val="1"/>
      <w:numFmt w:val="lowerRoman"/>
      <w:lvlText w:val="%9."/>
      <w:lvlJc w:val="right"/>
      <w:pPr>
        <w:ind w:left="7189" w:hanging="180"/>
      </w:pPr>
    </w:lvl>
  </w:abstractNum>
  <w:abstractNum w:abstractNumId="14" w15:restartNumberingAfterBreak="0">
    <w:nsid w:val="0000002A"/>
    <w:multiLevelType w:val="hybridMultilevel"/>
    <w:tmpl w:val="6D1AE7C6"/>
    <w:lvl w:ilvl="0" w:tplc="B862259C">
      <w:start w:val="1"/>
      <w:numFmt w:val="decimal"/>
      <w:lvlText w:val="(%1)"/>
      <w:lvlJc w:val="left"/>
      <w:pPr>
        <w:tabs>
          <w:tab w:val="num" w:pos="567"/>
        </w:tabs>
        <w:ind w:left="567" w:hanging="567"/>
      </w:pPr>
      <w:rPr>
        <w:rFonts w:hint="default"/>
      </w:rPr>
    </w:lvl>
    <w:lvl w:ilvl="1" w:tplc="15944CF2" w:tentative="1">
      <w:start w:val="1"/>
      <w:numFmt w:val="lowerLetter"/>
      <w:lvlText w:val="%2."/>
      <w:lvlJc w:val="left"/>
      <w:pPr>
        <w:ind w:left="1080" w:hanging="360"/>
      </w:pPr>
    </w:lvl>
    <w:lvl w:ilvl="2" w:tplc="4878856C" w:tentative="1">
      <w:start w:val="1"/>
      <w:numFmt w:val="lowerRoman"/>
      <w:lvlText w:val="%3."/>
      <w:lvlJc w:val="right"/>
      <w:pPr>
        <w:ind w:left="1800" w:hanging="180"/>
      </w:pPr>
    </w:lvl>
    <w:lvl w:ilvl="3" w:tplc="21D8C53E" w:tentative="1">
      <w:start w:val="1"/>
      <w:numFmt w:val="decimal"/>
      <w:lvlText w:val="%4."/>
      <w:lvlJc w:val="left"/>
      <w:pPr>
        <w:ind w:left="2520" w:hanging="360"/>
      </w:pPr>
    </w:lvl>
    <w:lvl w:ilvl="4" w:tplc="608E95A0" w:tentative="1">
      <w:start w:val="1"/>
      <w:numFmt w:val="lowerLetter"/>
      <w:lvlText w:val="%5."/>
      <w:lvlJc w:val="left"/>
      <w:pPr>
        <w:ind w:left="3240" w:hanging="360"/>
      </w:pPr>
    </w:lvl>
    <w:lvl w:ilvl="5" w:tplc="BA9C9B20" w:tentative="1">
      <w:start w:val="1"/>
      <w:numFmt w:val="lowerRoman"/>
      <w:lvlText w:val="%6."/>
      <w:lvlJc w:val="right"/>
      <w:pPr>
        <w:ind w:left="3960" w:hanging="180"/>
      </w:pPr>
    </w:lvl>
    <w:lvl w:ilvl="6" w:tplc="CAAA8CB4" w:tentative="1">
      <w:start w:val="1"/>
      <w:numFmt w:val="decimal"/>
      <w:lvlText w:val="%7."/>
      <w:lvlJc w:val="left"/>
      <w:pPr>
        <w:ind w:left="4680" w:hanging="360"/>
      </w:pPr>
    </w:lvl>
    <w:lvl w:ilvl="7" w:tplc="4624389A" w:tentative="1">
      <w:start w:val="1"/>
      <w:numFmt w:val="lowerLetter"/>
      <w:lvlText w:val="%8."/>
      <w:lvlJc w:val="left"/>
      <w:pPr>
        <w:ind w:left="5400" w:hanging="360"/>
      </w:pPr>
    </w:lvl>
    <w:lvl w:ilvl="8" w:tplc="C8563AEE" w:tentative="1">
      <w:start w:val="1"/>
      <w:numFmt w:val="lowerRoman"/>
      <w:lvlText w:val="%9."/>
      <w:lvlJc w:val="right"/>
      <w:pPr>
        <w:ind w:left="6120" w:hanging="180"/>
      </w:pPr>
    </w:lvl>
  </w:abstractNum>
  <w:abstractNum w:abstractNumId="15" w15:restartNumberingAfterBreak="0">
    <w:nsid w:val="0000002B"/>
    <w:multiLevelType w:val="hybridMultilevel"/>
    <w:tmpl w:val="14F43B50"/>
    <w:lvl w:ilvl="0" w:tplc="95464766">
      <w:start w:val="1"/>
      <w:numFmt w:val="upperLetter"/>
      <w:lvlText w:val="(%1)"/>
      <w:lvlJc w:val="left"/>
      <w:pPr>
        <w:tabs>
          <w:tab w:val="num" w:pos="1134"/>
        </w:tabs>
        <w:ind w:left="1134" w:hanging="567"/>
      </w:pPr>
      <w:rPr>
        <w:rFonts w:hint="default"/>
      </w:rPr>
    </w:lvl>
    <w:lvl w:ilvl="1" w:tplc="ABBE0FFC" w:tentative="1">
      <w:start w:val="1"/>
      <w:numFmt w:val="lowerLetter"/>
      <w:lvlText w:val="%2."/>
      <w:lvlJc w:val="left"/>
      <w:pPr>
        <w:ind w:left="2149" w:hanging="360"/>
      </w:pPr>
    </w:lvl>
    <w:lvl w:ilvl="2" w:tplc="743A48AE" w:tentative="1">
      <w:start w:val="1"/>
      <w:numFmt w:val="lowerRoman"/>
      <w:lvlText w:val="%3."/>
      <w:lvlJc w:val="right"/>
      <w:pPr>
        <w:ind w:left="2869" w:hanging="180"/>
      </w:pPr>
    </w:lvl>
    <w:lvl w:ilvl="3" w:tplc="C8AAAF0E" w:tentative="1">
      <w:start w:val="1"/>
      <w:numFmt w:val="decimal"/>
      <w:lvlText w:val="%4."/>
      <w:lvlJc w:val="left"/>
      <w:pPr>
        <w:ind w:left="3589" w:hanging="360"/>
      </w:pPr>
    </w:lvl>
    <w:lvl w:ilvl="4" w:tplc="3C26EDDA" w:tentative="1">
      <w:start w:val="1"/>
      <w:numFmt w:val="lowerLetter"/>
      <w:lvlText w:val="%5."/>
      <w:lvlJc w:val="left"/>
      <w:pPr>
        <w:ind w:left="4309" w:hanging="360"/>
      </w:pPr>
    </w:lvl>
    <w:lvl w:ilvl="5" w:tplc="4E8CC148" w:tentative="1">
      <w:start w:val="1"/>
      <w:numFmt w:val="lowerRoman"/>
      <w:lvlText w:val="%6."/>
      <w:lvlJc w:val="right"/>
      <w:pPr>
        <w:ind w:left="5029" w:hanging="180"/>
      </w:pPr>
    </w:lvl>
    <w:lvl w:ilvl="6" w:tplc="93940F9C" w:tentative="1">
      <w:start w:val="1"/>
      <w:numFmt w:val="decimal"/>
      <w:lvlText w:val="%7."/>
      <w:lvlJc w:val="left"/>
      <w:pPr>
        <w:ind w:left="5749" w:hanging="360"/>
      </w:pPr>
    </w:lvl>
    <w:lvl w:ilvl="7" w:tplc="55E6E462" w:tentative="1">
      <w:start w:val="1"/>
      <w:numFmt w:val="lowerLetter"/>
      <w:lvlText w:val="%8."/>
      <w:lvlJc w:val="left"/>
      <w:pPr>
        <w:ind w:left="6469" w:hanging="360"/>
      </w:pPr>
    </w:lvl>
    <w:lvl w:ilvl="8" w:tplc="29C84CE8" w:tentative="1">
      <w:start w:val="1"/>
      <w:numFmt w:val="lowerRoman"/>
      <w:lvlText w:val="%9."/>
      <w:lvlJc w:val="right"/>
      <w:pPr>
        <w:ind w:left="7189" w:hanging="180"/>
      </w:pPr>
    </w:lvl>
  </w:abstractNum>
  <w:abstractNum w:abstractNumId="16" w15:restartNumberingAfterBreak="0">
    <w:nsid w:val="0000002C"/>
    <w:multiLevelType w:val="hybridMultilevel"/>
    <w:tmpl w:val="14F43B50"/>
    <w:lvl w:ilvl="0" w:tplc="35845278">
      <w:start w:val="1"/>
      <w:numFmt w:val="upperLetter"/>
      <w:lvlText w:val="(%1)"/>
      <w:lvlJc w:val="left"/>
      <w:pPr>
        <w:tabs>
          <w:tab w:val="num" w:pos="1134"/>
        </w:tabs>
        <w:ind w:left="1134" w:hanging="567"/>
      </w:pPr>
      <w:rPr>
        <w:rFonts w:hint="default"/>
      </w:rPr>
    </w:lvl>
    <w:lvl w:ilvl="1" w:tplc="29C4BBBE" w:tentative="1">
      <w:start w:val="1"/>
      <w:numFmt w:val="lowerLetter"/>
      <w:lvlText w:val="%2."/>
      <w:lvlJc w:val="left"/>
      <w:pPr>
        <w:ind w:left="2149" w:hanging="360"/>
      </w:pPr>
    </w:lvl>
    <w:lvl w:ilvl="2" w:tplc="0D16527C" w:tentative="1">
      <w:start w:val="1"/>
      <w:numFmt w:val="lowerRoman"/>
      <w:lvlText w:val="%3."/>
      <w:lvlJc w:val="right"/>
      <w:pPr>
        <w:ind w:left="2869" w:hanging="180"/>
      </w:pPr>
    </w:lvl>
    <w:lvl w:ilvl="3" w:tplc="E3CA4602" w:tentative="1">
      <w:start w:val="1"/>
      <w:numFmt w:val="decimal"/>
      <w:lvlText w:val="%4."/>
      <w:lvlJc w:val="left"/>
      <w:pPr>
        <w:ind w:left="3589" w:hanging="360"/>
      </w:pPr>
    </w:lvl>
    <w:lvl w:ilvl="4" w:tplc="33304534" w:tentative="1">
      <w:start w:val="1"/>
      <w:numFmt w:val="lowerLetter"/>
      <w:lvlText w:val="%5."/>
      <w:lvlJc w:val="left"/>
      <w:pPr>
        <w:ind w:left="4309" w:hanging="360"/>
      </w:pPr>
    </w:lvl>
    <w:lvl w:ilvl="5" w:tplc="3CE2F7BE" w:tentative="1">
      <w:start w:val="1"/>
      <w:numFmt w:val="lowerRoman"/>
      <w:lvlText w:val="%6."/>
      <w:lvlJc w:val="right"/>
      <w:pPr>
        <w:ind w:left="5029" w:hanging="180"/>
      </w:pPr>
    </w:lvl>
    <w:lvl w:ilvl="6" w:tplc="E6526F52" w:tentative="1">
      <w:start w:val="1"/>
      <w:numFmt w:val="decimal"/>
      <w:lvlText w:val="%7."/>
      <w:lvlJc w:val="left"/>
      <w:pPr>
        <w:ind w:left="5749" w:hanging="360"/>
      </w:pPr>
    </w:lvl>
    <w:lvl w:ilvl="7" w:tplc="349CC994" w:tentative="1">
      <w:start w:val="1"/>
      <w:numFmt w:val="lowerLetter"/>
      <w:lvlText w:val="%8."/>
      <w:lvlJc w:val="left"/>
      <w:pPr>
        <w:ind w:left="6469" w:hanging="360"/>
      </w:pPr>
    </w:lvl>
    <w:lvl w:ilvl="8" w:tplc="BC8842B6" w:tentative="1">
      <w:start w:val="1"/>
      <w:numFmt w:val="lowerRoman"/>
      <w:lvlText w:val="%9."/>
      <w:lvlJc w:val="right"/>
      <w:pPr>
        <w:ind w:left="7189" w:hanging="180"/>
      </w:pPr>
    </w:lvl>
  </w:abstractNum>
  <w:abstractNum w:abstractNumId="17" w15:restartNumberingAfterBreak="0">
    <w:nsid w:val="000000A1"/>
    <w:multiLevelType w:val="hybridMultilevel"/>
    <w:tmpl w:val="D720662C"/>
    <w:lvl w:ilvl="0" w:tplc="472260B0">
      <w:start w:val="1"/>
      <w:numFmt w:val="decimal"/>
      <w:lvlText w:val="%1."/>
      <w:lvlJc w:val="left"/>
      <w:pPr>
        <w:tabs>
          <w:tab w:val="num" w:pos="1134"/>
        </w:tabs>
        <w:ind w:left="1134" w:hanging="567"/>
      </w:pPr>
    </w:lvl>
    <w:lvl w:ilvl="1" w:tplc="958EE400">
      <w:start w:val="1"/>
      <w:numFmt w:val="lowerLetter"/>
      <w:lvlText w:val="%2."/>
      <w:lvlJc w:val="left"/>
      <w:pPr>
        <w:ind w:left="1440" w:hanging="360"/>
      </w:pPr>
    </w:lvl>
    <w:lvl w:ilvl="2" w:tplc="617087F0">
      <w:start w:val="1"/>
      <w:numFmt w:val="lowerRoman"/>
      <w:lvlText w:val="%3."/>
      <w:lvlJc w:val="right"/>
      <w:pPr>
        <w:ind w:left="2160" w:hanging="180"/>
      </w:pPr>
    </w:lvl>
    <w:lvl w:ilvl="3" w:tplc="AB3ED932">
      <w:start w:val="1"/>
      <w:numFmt w:val="decimal"/>
      <w:lvlText w:val="%4."/>
      <w:lvlJc w:val="left"/>
      <w:pPr>
        <w:ind w:left="2880" w:hanging="360"/>
      </w:pPr>
    </w:lvl>
    <w:lvl w:ilvl="4" w:tplc="07AA6D7C">
      <w:start w:val="1"/>
      <w:numFmt w:val="lowerLetter"/>
      <w:lvlText w:val="%5."/>
      <w:lvlJc w:val="left"/>
      <w:pPr>
        <w:ind w:left="3600" w:hanging="360"/>
      </w:pPr>
    </w:lvl>
    <w:lvl w:ilvl="5" w:tplc="AE9E654A">
      <w:start w:val="1"/>
      <w:numFmt w:val="lowerRoman"/>
      <w:lvlText w:val="%6."/>
      <w:lvlJc w:val="right"/>
      <w:pPr>
        <w:ind w:left="4320" w:hanging="180"/>
      </w:pPr>
    </w:lvl>
    <w:lvl w:ilvl="6" w:tplc="3EDA8F6C">
      <w:start w:val="1"/>
      <w:numFmt w:val="decimal"/>
      <w:lvlText w:val="%7."/>
      <w:lvlJc w:val="left"/>
      <w:pPr>
        <w:ind w:left="5040" w:hanging="360"/>
      </w:pPr>
    </w:lvl>
    <w:lvl w:ilvl="7" w:tplc="89E6AEF2">
      <w:start w:val="1"/>
      <w:numFmt w:val="lowerLetter"/>
      <w:lvlText w:val="%8."/>
      <w:lvlJc w:val="left"/>
      <w:pPr>
        <w:ind w:left="5760" w:hanging="360"/>
      </w:pPr>
    </w:lvl>
    <w:lvl w:ilvl="8" w:tplc="0990500C">
      <w:start w:val="1"/>
      <w:numFmt w:val="lowerRoman"/>
      <w:lvlText w:val="%9."/>
      <w:lvlJc w:val="right"/>
      <w:pPr>
        <w:ind w:left="6480" w:hanging="180"/>
      </w:pPr>
    </w:lvl>
  </w:abstractNum>
  <w:abstractNum w:abstractNumId="18" w15:restartNumberingAfterBreak="0">
    <w:nsid w:val="03370F4D"/>
    <w:multiLevelType w:val="hybridMultilevel"/>
    <w:tmpl w:val="64F6BC98"/>
    <w:lvl w:ilvl="0" w:tplc="7BDC3590">
      <w:start w:val="1"/>
      <w:numFmt w:val="decimal"/>
      <w:lvlText w:val="%1."/>
      <w:lvlJc w:val="left"/>
      <w:pPr>
        <w:ind w:left="720" w:hanging="360"/>
      </w:pPr>
      <w:rPr>
        <w:rFonts w:hint="default"/>
      </w:rPr>
    </w:lvl>
    <w:lvl w:ilvl="1" w:tplc="3CD63DBE" w:tentative="1">
      <w:start w:val="1"/>
      <w:numFmt w:val="lowerLetter"/>
      <w:lvlText w:val="%2."/>
      <w:lvlJc w:val="left"/>
      <w:pPr>
        <w:ind w:left="1440" w:hanging="360"/>
      </w:pPr>
    </w:lvl>
    <w:lvl w:ilvl="2" w:tplc="F6B8B998" w:tentative="1">
      <w:start w:val="1"/>
      <w:numFmt w:val="lowerRoman"/>
      <w:lvlText w:val="%3."/>
      <w:lvlJc w:val="right"/>
      <w:pPr>
        <w:ind w:left="2160" w:hanging="180"/>
      </w:pPr>
    </w:lvl>
    <w:lvl w:ilvl="3" w:tplc="A0E26B46" w:tentative="1">
      <w:start w:val="1"/>
      <w:numFmt w:val="decimal"/>
      <w:lvlText w:val="%4."/>
      <w:lvlJc w:val="left"/>
      <w:pPr>
        <w:ind w:left="2880" w:hanging="360"/>
      </w:pPr>
    </w:lvl>
    <w:lvl w:ilvl="4" w:tplc="D2D6DE92" w:tentative="1">
      <w:start w:val="1"/>
      <w:numFmt w:val="lowerLetter"/>
      <w:lvlText w:val="%5."/>
      <w:lvlJc w:val="left"/>
      <w:pPr>
        <w:ind w:left="3600" w:hanging="360"/>
      </w:pPr>
    </w:lvl>
    <w:lvl w:ilvl="5" w:tplc="410A8DDA" w:tentative="1">
      <w:start w:val="1"/>
      <w:numFmt w:val="lowerRoman"/>
      <w:lvlText w:val="%6."/>
      <w:lvlJc w:val="right"/>
      <w:pPr>
        <w:ind w:left="4320" w:hanging="180"/>
      </w:pPr>
    </w:lvl>
    <w:lvl w:ilvl="6" w:tplc="918896E6" w:tentative="1">
      <w:start w:val="1"/>
      <w:numFmt w:val="decimal"/>
      <w:lvlText w:val="%7."/>
      <w:lvlJc w:val="left"/>
      <w:pPr>
        <w:ind w:left="5040" w:hanging="360"/>
      </w:pPr>
    </w:lvl>
    <w:lvl w:ilvl="7" w:tplc="77E6394A" w:tentative="1">
      <w:start w:val="1"/>
      <w:numFmt w:val="lowerLetter"/>
      <w:lvlText w:val="%8."/>
      <w:lvlJc w:val="left"/>
      <w:pPr>
        <w:ind w:left="5760" w:hanging="360"/>
      </w:pPr>
    </w:lvl>
    <w:lvl w:ilvl="8" w:tplc="49C22D84" w:tentative="1">
      <w:start w:val="1"/>
      <w:numFmt w:val="lowerRoman"/>
      <w:lvlText w:val="%9."/>
      <w:lvlJc w:val="right"/>
      <w:pPr>
        <w:ind w:left="6480" w:hanging="180"/>
      </w:pPr>
    </w:lvl>
  </w:abstractNum>
  <w:abstractNum w:abstractNumId="19" w15:restartNumberingAfterBreak="0">
    <w:nsid w:val="043510D1"/>
    <w:multiLevelType w:val="hybridMultilevel"/>
    <w:tmpl w:val="7032BC20"/>
    <w:lvl w:ilvl="0" w:tplc="04090015">
      <w:start w:val="1"/>
      <w:numFmt w:val="upperLetter"/>
      <w:lvlText w:val="%1."/>
      <w:lvlJc w:val="left"/>
      <w:pPr>
        <w:tabs>
          <w:tab w:val="num" w:pos="1134"/>
        </w:tabs>
        <w:ind w:left="720" w:right="1134" w:hanging="567"/>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07C41DE7"/>
    <w:multiLevelType w:val="hybridMultilevel"/>
    <w:tmpl w:val="E6BAE9C6"/>
    <w:lvl w:ilvl="0" w:tplc="04090015">
      <w:start w:val="1"/>
      <w:numFmt w:val="upperLetter"/>
      <w:lvlText w:val="%1."/>
      <w:lvlJc w:val="left"/>
      <w:pPr>
        <w:tabs>
          <w:tab w:val="num" w:pos="1134"/>
        </w:tabs>
        <w:ind w:left="1134" w:hanging="567"/>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095F27F2"/>
    <w:multiLevelType w:val="hybridMultilevel"/>
    <w:tmpl w:val="7F347414"/>
    <w:lvl w:ilvl="0" w:tplc="FD22CD24">
      <w:start w:val="1"/>
      <w:numFmt w:val="decimal"/>
      <w:lvlText w:val="%1."/>
      <w:lvlJc w:val="left"/>
      <w:pPr>
        <w:ind w:left="720" w:hanging="360"/>
      </w:pPr>
      <w:rPr>
        <w:rFonts w:hint="default"/>
      </w:rPr>
    </w:lvl>
    <w:lvl w:ilvl="1" w:tplc="8C4CAC98" w:tentative="1">
      <w:start w:val="1"/>
      <w:numFmt w:val="lowerLetter"/>
      <w:lvlText w:val="%2."/>
      <w:lvlJc w:val="left"/>
      <w:pPr>
        <w:ind w:left="1440" w:hanging="360"/>
      </w:pPr>
    </w:lvl>
    <w:lvl w:ilvl="2" w:tplc="D564E3F0" w:tentative="1">
      <w:start w:val="1"/>
      <w:numFmt w:val="lowerRoman"/>
      <w:lvlText w:val="%3."/>
      <w:lvlJc w:val="right"/>
      <w:pPr>
        <w:ind w:left="2160" w:hanging="180"/>
      </w:pPr>
    </w:lvl>
    <w:lvl w:ilvl="3" w:tplc="267833AE" w:tentative="1">
      <w:start w:val="1"/>
      <w:numFmt w:val="decimal"/>
      <w:lvlText w:val="%4."/>
      <w:lvlJc w:val="left"/>
      <w:pPr>
        <w:ind w:left="2880" w:hanging="360"/>
      </w:pPr>
    </w:lvl>
    <w:lvl w:ilvl="4" w:tplc="04C43BF0" w:tentative="1">
      <w:start w:val="1"/>
      <w:numFmt w:val="lowerLetter"/>
      <w:lvlText w:val="%5."/>
      <w:lvlJc w:val="left"/>
      <w:pPr>
        <w:ind w:left="3600" w:hanging="360"/>
      </w:pPr>
    </w:lvl>
    <w:lvl w:ilvl="5" w:tplc="D71245FC" w:tentative="1">
      <w:start w:val="1"/>
      <w:numFmt w:val="lowerRoman"/>
      <w:lvlText w:val="%6."/>
      <w:lvlJc w:val="right"/>
      <w:pPr>
        <w:ind w:left="4320" w:hanging="180"/>
      </w:pPr>
    </w:lvl>
    <w:lvl w:ilvl="6" w:tplc="667034C8" w:tentative="1">
      <w:start w:val="1"/>
      <w:numFmt w:val="decimal"/>
      <w:lvlText w:val="%7."/>
      <w:lvlJc w:val="left"/>
      <w:pPr>
        <w:ind w:left="5040" w:hanging="360"/>
      </w:pPr>
    </w:lvl>
    <w:lvl w:ilvl="7" w:tplc="5F06F7AA" w:tentative="1">
      <w:start w:val="1"/>
      <w:numFmt w:val="lowerLetter"/>
      <w:lvlText w:val="%8."/>
      <w:lvlJc w:val="left"/>
      <w:pPr>
        <w:ind w:left="5760" w:hanging="360"/>
      </w:pPr>
    </w:lvl>
    <w:lvl w:ilvl="8" w:tplc="C78CFFBA" w:tentative="1">
      <w:start w:val="1"/>
      <w:numFmt w:val="lowerRoman"/>
      <w:lvlText w:val="%9."/>
      <w:lvlJc w:val="right"/>
      <w:pPr>
        <w:ind w:left="6480" w:hanging="180"/>
      </w:pPr>
    </w:lvl>
  </w:abstractNum>
  <w:abstractNum w:abstractNumId="22" w15:restartNumberingAfterBreak="0">
    <w:nsid w:val="0C002753"/>
    <w:multiLevelType w:val="multilevel"/>
    <w:tmpl w:val="3DC8B270"/>
    <w:lvl w:ilvl="0">
      <w:start w:val="2"/>
      <w:numFmt w:val="decimal"/>
      <w:lvlText w:val="%1."/>
      <w:lvlJc w:val="left"/>
      <w:pPr>
        <w:ind w:left="567" w:hanging="567"/>
      </w:pPr>
      <w:rPr>
        <w:rFonts w:ascii="Tahoma" w:hAnsi="Tahoma" w:cs="Tahoma" w:hint="default"/>
      </w:rPr>
    </w:lvl>
    <w:lvl w:ilvl="1">
      <w:start w:val="1"/>
      <w:numFmt w:val="decimal"/>
      <w:lvlText w:val="%1.%2."/>
      <w:lvlJc w:val="left"/>
      <w:pPr>
        <w:ind w:left="1134" w:hanging="567"/>
      </w:pPr>
      <w:rPr>
        <w:color w:val="222A35"/>
      </w:rPr>
    </w:lvl>
    <w:lvl w:ilvl="2">
      <w:start w:val="1"/>
      <w:numFmt w:val="decimal"/>
      <w:lvlText w:val="%1.%2.%3."/>
      <w:lvlJc w:val="left"/>
      <w:pPr>
        <w:ind w:left="1701" w:hanging="567"/>
      </w:pPr>
      <w:rPr>
        <w:b w:val="0"/>
        <w:bCs w:val="0"/>
        <w:lang w:bidi="he-IL"/>
      </w:rPr>
    </w:lvl>
    <w:lvl w:ilvl="3">
      <w:start w:val="1"/>
      <w:numFmt w:val="decimal"/>
      <w:lvlText w:val=".%2.%3.%4."/>
      <w:lvlJc w:val="left"/>
      <w:pPr>
        <w:ind w:left="2268" w:hanging="567"/>
      </w:pPr>
      <w:rPr>
        <w:b/>
        <w:bCs/>
      </w:rPr>
    </w:lvl>
    <w:lvl w:ilvl="4">
      <w:start w:val="1"/>
      <w:numFmt w:val="hebrew1"/>
      <w:suff w:val="space"/>
      <w:lvlText w:val="(%5)"/>
      <w:lvlJc w:val="left"/>
      <w:pPr>
        <w:ind w:left="2835" w:hanging="567"/>
      </w:pPr>
      <w:rPr>
        <w:rFonts w:ascii="Tahoma" w:hAnsi="Tahoma" w:cs="Tahoma" w:hint="default"/>
        <w:b/>
        <w:bCs/>
        <w:i w:val="0"/>
        <w:iCs w:val="0"/>
        <w:color w:val="auto"/>
        <w:sz w:val="20"/>
        <w:szCs w:val="20"/>
      </w:r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3" w15:restartNumberingAfterBreak="0">
    <w:nsid w:val="0D1F7FB6"/>
    <w:multiLevelType w:val="multilevel"/>
    <w:tmpl w:val="BE125660"/>
    <w:lvl w:ilvl="0">
      <w:start w:val="1"/>
      <w:numFmt w:val="hebrew1"/>
      <w:lvlText w:val="%1."/>
      <w:lvlJc w:val="left"/>
      <w:pPr>
        <w:ind w:left="1080" w:hanging="360"/>
      </w:pPr>
      <w:rPr>
        <w:rFonts w:hint="default"/>
      </w:rPr>
    </w:lvl>
    <w:lvl w:ilvl="1">
      <w:start w:val="1"/>
      <w:numFmt w:val="hebrew1"/>
      <w:lvlText w:val="%2."/>
      <w:lvlJc w:val="center"/>
      <w:pPr>
        <w:ind w:left="1800" w:hanging="360"/>
      </w:pPr>
      <w:rPr>
        <w:rFonts w:hint="default"/>
        <w:lang w:bidi="he-IL"/>
      </w:rPr>
    </w:lvl>
    <w:lvl w:ilvl="2">
      <w:start w:val="1"/>
      <w:numFmt w:val="decimal"/>
      <w:lvlText w:val="%3."/>
      <w:lvlJc w:val="left"/>
      <w:pPr>
        <w:ind w:left="861" w:hanging="360"/>
      </w:pPr>
      <w:rPr>
        <w:rFonts w:ascii="Tahoma" w:hAnsi="Tahoma" w:cs="Tahoma" w:hint="default"/>
      </w:rPr>
    </w:lvl>
    <w:lvl w:ilvl="3">
      <w:start w:val="1"/>
      <w:numFmt w:val="upperLetter"/>
      <w:lvlText w:val="%4."/>
      <w:lvlJc w:val="left"/>
      <w:pPr>
        <w:ind w:left="720" w:hanging="360"/>
      </w:p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107810A2"/>
    <w:multiLevelType w:val="hybridMultilevel"/>
    <w:tmpl w:val="28C45D0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128B02F8"/>
    <w:multiLevelType w:val="hybridMultilevel"/>
    <w:tmpl w:val="BEAE993E"/>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29F202E"/>
    <w:multiLevelType w:val="multilevel"/>
    <w:tmpl w:val="65FCD668"/>
    <w:lvl w:ilvl="0">
      <w:start w:val="3"/>
      <w:numFmt w:val="decimal"/>
      <w:lvlText w:val="%1."/>
      <w:lvlJc w:val="left"/>
      <w:pPr>
        <w:tabs>
          <w:tab w:val="num" w:pos="567"/>
        </w:tabs>
        <w:ind w:left="567" w:hanging="567"/>
      </w:pPr>
    </w:lvl>
    <w:lvl w:ilvl="1">
      <w:start w:val="2"/>
      <w:numFmt w:val="decimal"/>
      <w:lvlText w:val="%1.%2."/>
      <w:lvlJc w:val="left"/>
      <w:pPr>
        <w:tabs>
          <w:tab w:val="num" w:pos="1134"/>
        </w:tabs>
        <w:ind w:left="1134" w:hanging="567"/>
      </w:pPr>
      <w:rPr>
        <w:color w:val="222A35"/>
      </w:rPr>
    </w:lvl>
    <w:lvl w:ilvl="2">
      <w:start w:val="1"/>
      <w:numFmt w:val="decimal"/>
      <w:lvlText w:val="%1.%2.%3."/>
      <w:lvlJc w:val="left"/>
      <w:pPr>
        <w:tabs>
          <w:tab w:val="num" w:pos="1701"/>
        </w:tabs>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7" w15:restartNumberingAfterBreak="0">
    <w:nsid w:val="14FF5404"/>
    <w:multiLevelType w:val="multilevel"/>
    <w:tmpl w:val="49A829CA"/>
    <w:lvl w:ilvl="0">
      <w:start w:val="2"/>
      <w:numFmt w:val="decimal"/>
      <w:lvlText w:val="%1."/>
      <w:lvlJc w:val="left"/>
      <w:pPr>
        <w:ind w:left="567" w:hanging="567"/>
      </w:pPr>
      <w:rPr>
        <w:rFonts w:asciiTheme="majorBidi" w:hAnsiTheme="majorBidi" w:cstheme="majorBidi" w:hint="default"/>
      </w:rPr>
    </w:lvl>
    <w:lvl w:ilvl="1">
      <w:start w:val="1"/>
      <w:numFmt w:val="decimal"/>
      <w:lvlText w:val="%1.%2."/>
      <w:lvlJc w:val="left"/>
      <w:pPr>
        <w:ind w:left="1134" w:hanging="567"/>
      </w:pPr>
      <w:rPr>
        <w:rFonts w:hint="default"/>
        <w:color w:val="222A35"/>
      </w:rPr>
    </w:lvl>
    <w:lvl w:ilvl="2">
      <w:start w:val="1"/>
      <w:numFmt w:val="decimal"/>
      <w:lvlText w:val="%1.%2.%3."/>
      <w:lvlJc w:val="left"/>
      <w:pPr>
        <w:ind w:left="1701" w:hanging="567"/>
      </w:pPr>
      <w:rPr>
        <w:rFonts w:hint="default"/>
        <w:b w:val="0"/>
        <w:bCs w:val="0"/>
        <w:lang w:bidi="he-IL"/>
      </w:rPr>
    </w:lvl>
    <w:lvl w:ilvl="3">
      <w:start w:val="1"/>
      <w:numFmt w:val="decimal"/>
      <w:lvlText w:val=".%2.%3.%4."/>
      <w:lvlJc w:val="left"/>
      <w:pPr>
        <w:ind w:left="2268" w:hanging="567"/>
      </w:pPr>
      <w:rPr>
        <w:rFonts w:hint="default"/>
        <w:b/>
        <w:bCs/>
      </w:rPr>
    </w:lvl>
    <w:lvl w:ilvl="4">
      <w:start w:val="1"/>
      <w:numFmt w:val="hebrew1"/>
      <w:suff w:val="space"/>
      <w:lvlText w:val="(%5)"/>
      <w:lvlJc w:val="left"/>
      <w:pPr>
        <w:ind w:left="2835" w:hanging="567"/>
      </w:pPr>
      <w:rPr>
        <w:rFonts w:ascii="Tahoma" w:hAnsi="Tahoma" w:cs="Tahoma" w:hint="default"/>
        <w:b/>
        <w:bCs/>
        <w:i w:val="0"/>
        <w:iCs w:val="0"/>
        <w:color w:val="auto"/>
        <w:sz w:val="20"/>
        <w:szCs w:val="20"/>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1B8A311A"/>
    <w:multiLevelType w:val="multilevel"/>
    <w:tmpl w:val="65FCD668"/>
    <w:lvl w:ilvl="0">
      <w:start w:val="3"/>
      <w:numFmt w:val="decimal"/>
      <w:lvlText w:val="%1."/>
      <w:lvlJc w:val="left"/>
      <w:pPr>
        <w:tabs>
          <w:tab w:val="num" w:pos="992"/>
        </w:tabs>
        <w:ind w:left="992" w:hanging="567"/>
      </w:pPr>
    </w:lvl>
    <w:lvl w:ilvl="1">
      <w:start w:val="2"/>
      <w:numFmt w:val="decimal"/>
      <w:lvlText w:val="%1.%2."/>
      <w:lvlJc w:val="left"/>
      <w:pPr>
        <w:tabs>
          <w:tab w:val="num" w:pos="1559"/>
        </w:tabs>
        <w:ind w:left="1559" w:hanging="567"/>
      </w:pPr>
      <w:rPr>
        <w:color w:val="222A35"/>
      </w:rPr>
    </w:lvl>
    <w:lvl w:ilvl="2">
      <w:start w:val="1"/>
      <w:numFmt w:val="decimal"/>
      <w:lvlText w:val="%1.%2.%3."/>
      <w:lvlJc w:val="left"/>
      <w:pPr>
        <w:tabs>
          <w:tab w:val="num" w:pos="2126"/>
        </w:tabs>
        <w:ind w:left="2126" w:hanging="567"/>
      </w:pPr>
    </w:lvl>
    <w:lvl w:ilvl="3">
      <w:start w:val="1"/>
      <w:numFmt w:val="decimal"/>
      <w:lvlText w:val="%1.%2.%3.%4."/>
      <w:lvlJc w:val="left"/>
      <w:pPr>
        <w:ind w:left="2693" w:hanging="567"/>
      </w:pPr>
    </w:lvl>
    <w:lvl w:ilvl="4">
      <w:start w:val="1"/>
      <w:numFmt w:val="decimal"/>
      <w:lvlText w:val="%1.%2.%3.%4.%5."/>
      <w:lvlJc w:val="left"/>
      <w:pPr>
        <w:ind w:left="3260" w:hanging="567"/>
      </w:pPr>
    </w:lvl>
    <w:lvl w:ilvl="5">
      <w:start w:val="1"/>
      <w:numFmt w:val="decimal"/>
      <w:lvlText w:val="%1.%2.%3.%4.%5.%6."/>
      <w:lvlJc w:val="left"/>
      <w:pPr>
        <w:ind w:left="3827" w:hanging="567"/>
      </w:pPr>
    </w:lvl>
    <w:lvl w:ilvl="6">
      <w:start w:val="1"/>
      <w:numFmt w:val="decimal"/>
      <w:lvlText w:val="%1.%2.%3.%4.%5.%6.%7."/>
      <w:lvlJc w:val="left"/>
      <w:pPr>
        <w:ind w:left="4394" w:hanging="567"/>
      </w:pPr>
    </w:lvl>
    <w:lvl w:ilvl="7">
      <w:start w:val="1"/>
      <w:numFmt w:val="decimal"/>
      <w:lvlText w:val="%1.%2.%3.%4.%5.%6.%7.%8."/>
      <w:lvlJc w:val="left"/>
      <w:pPr>
        <w:ind w:left="4961" w:hanging="567"/>
      </w:pPr>
    </w:lvl>
    <w:lvl w:ilvl="8">
      <w:start w:val="1"/>
      <w:numFmt w:val="decimal"/>
      <w:lvlText w:val="%1.%2.%3.%4.%5.%6.%7.%8.%9."/>
      <w:lvlJc w:val="left"/>
      <w:pPr>
        <w:ind w:left="5528" w:hanging="567"/>
      </w:pPr>
    </w:lvl>
  </w:abstractNum>
  <w:abstractNum w:abstractNumId="29" w15:restartNumberingAfterBreak="0">
    <w:nsid w:val="1CC8510E"/>
    <w:multiLevelType w:val="hybridMultilevel"/>
    <w:tmpl w:val="2C5E9CDC"/>
    <w:lvl w:ilvl="0" w:tplc="04090015">
      <w:start w:val="1"/>
      <w:numFmt w:val="upperLetter"/>
      <w:lvlText w:val="%1."/>
      <w:lvlJc w:val="left"/>
      <w:pPr>
        <w:tabs>
          <w:tab w:val="num" w:pos="567"/>
        </w:tabs>
        <w:ind w:left="567" w:hanging="567"/>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1D700934"/>
    <w:multiLevelType w:val="hybridMultilevel"/>
    <w:tmpl w:val="9DBE29FA"/>
    <w:lvl w:ilvl="0" w:tplc="04090015">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1DB849F8"/>
    <w:multiLevelType w:val="hybridMultilevel"/>
    <w:tmpl w:val="1C321A68"/>
    <w:lvl w:ilvl="0" w:tplc="04090015">
      <w:start w:val="1"/>
      <w:numFmt w:val="upperLetter"/>
      <w:lvlText w:val="%1."/>
      <w:lvlJc w:val="left"/>
      <w:pPr>
        <w:ind w:left="502" w:hanging="360"/>
      </w:pPr>
      <w:rPr>
        <w:lang w:val="en-US"/>
      </w:rPr>
    </w:lvl>
    <w:lvl w:ilvl="1" w:tplc="FFFFFFFF">
      <w:start w:val="1"/>
      <w:numFmt w:val="lowerLetter"/>
      <w:lvlText w:val="%2."/>
      <w:lvlJc w:val="left"/>
      <w:pPr>
        <w:ind w:left="2779" w:hanging="360"/>
      </w:pPr>
    </w:lvl>
    <w:lvl w:ilvl="2" w:tplc="FFFFFFFF">
      <w:start w:val="1"/>
      <w:numFmt w:val="lowerRoman"/>
      <w:lvlText w:val="%3."/>
      <w:lvlJc w:val="right"/>
      <w:pPr>
        <w:ind w:left="3499" w:hanging="180"/>
      </w:pPr>
    </w:lvl>
    <w:lvl w:ilvl="3" w:tplc="FFFFFFFF">
      <w:start w:val="1"/>
      <w:numFmt w:val="decimal"/>
      <w:lvlText w:val="%4."/>
      <w:lvlJc w:val="left"/>
      <w:pPr>
        <w:ind w:left="4219" w:hanging="360"/>
      </w:pPr>
    </w:lvl>
    <w:lvl w:ilvl="4" w:tplc="FFFFFFFF">
      <w:start w:val="1"/>
      <w:numFmt w:val="lowerLetter"/>
      <w:lvlText w:val="%5."/>
      <w:lvlJc w:val="left"/>
      <w:pPr>
        <w:ind w:left="4939" w:hanging="360"/>
      </w:pPr>
    </w:lvl>
    <w:lvl w:ilvl="5" w:tplc="FFFFFFFF">
      <w:start w:val="1"/>
      <w:numFmt w:val="lowerRoman"/>
      <w:lvlText w:val="%6."/>
      <w:lvlJc w:val="right"/>
      <w:pPr>
        <w:ind w:left="5659" w:hanging="180"/>
      </w:pPr>
    </w:lvl>
    <w:lvl w:ilvl="6" w:tplc="FFFFFFFF">
      <w:start w:val="1"/>
      <w:numFmt w:val="decimal"/>
      <w:lvlText w:val="%7."/>
      <w:lvlJc w:val="left"/>
      <w:pPr>
        <w:ind w:left="6379" w:hanging="360"/>
      </w:pPr>
    </w:lvl>
    <w:lvl w:ilvl="7" w:tplc="FFFFFFFF">
      <w:start w:val="1"/>
      <w:numFmt w:val="lowerLetter"/>
      <w:lvlText w:val="%8."/>
      <w:lvlJc w:val="left"/>
      <w:pPr>
        <w:ind w:left="7099" w:hanging="360"/>
      </w:pPr>
    </w:lvl>
    <w:lvl w:ilvl="8" w:tplc="FFFFFFFF">
      <w:start w:val="1"/>
      <w:numFmt w:val="lowerRoman"/>
      <w:lvlText w:val="%9."/>
      <w:lvlJc w:val="right"/>
      <w:pPr>
        <w:ind w:left="7819" w:hanging="180"/>
      </w:pPr>
    </w:lvl>
  </w:abstractNum>
  <w:abstractNum w:abstractNumId="32" w15:restartNumberingAfterBreak="0">
    <w:nsid w:val="1E264222"/>
    <w:multiLevelType w:val="multilevel"/>
    <w:tmpl w:val="F05EC8A0"/>
    <w:lvl w:ilvl="0">
      <w:start w:val="3"/>
      <w:numFmt w:val="decimal"/>
      <w:lvlText w:val="%1.3."/>
      <w:lvlJc w:val="left"/>
      <w:pPr>
        <w:tabs>
          <w:tab w:val="num" w:pos="567"/>
        </w:tabs>
        <w:ind w:left="567" w:hanging="567"/>
      </w:pPr>
      <w:rPr>
        <w:rFonts w:hint="default"/>
      </w:rPr>
    </w:lvl>
    <w:lvl w:ilvl="1">
      <w:start w:val="2"/>
      <w:numFmt w:val="decimal"/>
      <w:lvlText w:val="%1.%2."/>
      <w:lvlJc w:val="left"/>
      <w:pPr>
        <w:tabs>
          <w:tab w:val="num" w:pos="1134"/>
        </w:tabs>
        <w:ind w:left="1134" w:hanging="567"/>
      </w:pPr>
      <w:rPr>
        <w:rFonts w:hint="default"/>
        <w:color w:val="222A35"/>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1F4971B3"/>
    <w:multiLevelType w:val="hybridMultilevel"/>
    <w:tmpl w:val="7026D1D2"/>
    <w:lvl w:ilvl="0" w:tplc="04090015">
      <w:start w:val="1"/>
      <w:numFmt w:val="upperLetter"/>
      <w:lvlText w:val="%1."/>
      <w:lvlJc w:val="left"/>
      <w:pPr>
        <w:tabs>
          <w:tab w:val="num" w:pos="1701"/>
        </w:tabs>
        <w:ind w:left="1701" w:hanging="567"/>
      </w:pPr>
      <w:rPr>
        <w:rFonts w:hint="default"/>
        <w:color w:val="222A35"/>
      </w:rPr>
    </w:lvl>
    <w:lvl w:ilvl="1" w:tplc="75BADCAA" w:tentative="1">
      <w:start w:val="1"/>
      <w:numFmt w:val="lowerLetter"/>
      <w:lvlText w:val="%2."/>
      <w:lvlJc w:val="left"/>
      <w:pPr>
        <w:ind w:left="1863" w:hanging="360"/>
      </w:pPr>
    </w:lvl>
    <w:lvl w:ilvl="2" w:tplc="1E4A5852" w:tentative="1">
      <w:start w:val="1"/>
      <w:numFmt w:val="lowerRoman"/>
      <w:lvlText w:val="%3."/>
      <w:lvlJc w:val="right"/>
      <w:pPr>
        <w:ind w:left="2583" w:hanging="180"/>
      </w:pPr>
    </w:lvl>
    <w:lvl w:ilvl="3" w:tplc="BD724280" w:tentative="1">
      <w:start w:val="1"/>
      <w:numFmt w:val="decimal"/>
      <w:lvlText w:val="%4."/>
      <w:lvlJc w:val="left"/>
      <w:pPr>
        <w:ind w:left="3303" w:hanging="360"/>
      </w:pPr>
    </w:lvl>
    <w:lvl w:ilvl="4" w:tplc="80E8D6E2" w:tentative="1">
      <w:start w:val="1"/>
      <w:numFmt w:val="lowerLetter"/>
      <w:lvlText w:val="%5."/>
      <w:lvlJc w:val="left"/>
      <w:pPr>
        <w:ind w:left="4023" w:hanging="360"/>
      </w:pPr>
    </w:lvl>
    <w:lvl w:ilvl="5" w:tplc="49FE2256" w:tentative="1">
      <w:start w:val="1"/>
      <w:numFmt w:val="lowerRoman"/>
      <w:lvlText w:val="%6."/>
      <w:lvlJc w:val="right"/>
      <w:pPr>
        <w:ind w:left="4743" w:hanging="180"/>
      </w:pPr>
    </w:lvl>
    <w:lvl w:ilvl="6" w:tplc="A11067F8" w:tentative="1">
      <w:start w:val="1"/>
      <w:numFmt w:val="decimal"/>
      <w:lvlText w:val="%7."/>
      <w:lvlJc w:val="left"/>
      <w:pPr>
        <w:ind w:left="5463" w:hanging="360"/>
      </w:pPr>
    </w:lvl>
    <w:lvl w:ilvl="7" w:tplc="EC8C746E" w:tentative="1">
      <w:start w:val="1"/>
      <w:numFmt w:val="lowerLetter"/>
      <w:lvlText w:val="%8."/>
      <w:lvlJc w:val="left"/>
      <w:pPr>
        <w:ind w:left="6183" w:hanging="360"/>
      </w:pPr>
    </w:lvl>
    <w:lvl w:ilvl="8" w:tplc="2F8A37CA" w:tentative="1">
      <w:start w:val="1"/>
      <w:numFmt w:val="lowerRoman"/>
      <w:lvlText w:val="%9."/>
      <w:lvlJc w:val="right"/>
      <w:pPr>
        <w:ind w:left="6903" w:hanging="180"/>
      </w:pPr>
    </w:lvl>
  </w:abstractNum>
  <w:abstractNum w:abstractNumId="34" w15:restartNumberingAfterBreak="0">
    <w:nsid w:val="205E6B4E"/>
    <w:multiLevelType w:val="hybridMultilevel"/>
    <w:tmpl w:val="BCE2DF9C"/>
    <w:lvl w:ilvl="0" w:tplc="47FA9116">
      <w:numFmt w:val="bullet"/>
      <w:lvlText w:val="•"/>
      <w:lvlJc w:val="left"/>
      <w:pPr>
        <w:tabs>
          <w:tab w:val="num" w:pos="1554"/>
        </w:tabs>
        <w:ind w:left="1553" w:hanging="420"/>
      </w:pPr>
      <w:rPr>
        <w:rFonts w:ascii="Tahoma" w:eastAsiaTheme="minorHAnsi" w:hAnsi="Tahoma" w:hint="default"/>
        <w:color w:val="222A35"/>
      </w:rPr>
    </w:lvl>
    <w:lvl w:ilvl="1" w:tplc="824AC526">
      <w:start w:val="1"/>
      <w:numFmt w:val="bullet"/>
      <w:lvlText w:val="o"/>
      <w:lvlJc w:val="left"/>
      <w:pPr>
        <w:ind w:left="2213" w:hanging="360"/>
      </w:pPr>
      <w:rPr>
        <w:rFonts w:ascii="Courier New" w:hAnsi="Courier New" w:cs="Courier New" w:hint="default"/>
      </w:rPr>
    </w:lvl>
    <w:lvl w:ilvl="2" w:tplc="D6225AC6" w:tentative="1">
      <w:start w:val="1"/>
      <w:numFmt w:val="bullet"/>
      <w:lvlText w:val=""/>
      <w:lvlJc w:val="left"/>
      <w:pPr>
        <w:ind w:left="2933" w:hanging="360"/>
      </w:pPr>
      <w:rPr>
        <w:rFonts w:ascii="Wingdings" w:hAnsi="Wingdings" w:hint="default"/>
      </w:rPr>
    </w:lvl>
    <w:lvl w:ilvl="3" w:tplc="B48CD0B0" w:tentative="1">
      <w:start w:val="1"/>
      <w:numFmt w:val="bullet"/>
      <w:lvlText w:val=""/>
      <w:lvlJc w:val="left"/>
      <w:pPr>
        <w:ind w:left="3653" w:hanging="360"/>
      </w:pPr>
      <w:rPr>
        <w:rFonts w:ascii="Symbol" w:hAnsi="Symbol" w:hint="default"/>
      </w:rPr>
    </w:lvl>
    <w:lvl w:ilvl="4" w:tplc="804ED770" w:tentative="1">
      <w:start w:val="1"/>
      <w:numFmt w:val="bullet"/>
      <w:lvlText w:val="o"/>
      <w:lvlJc w:val="left"/>
      <w:pPr>
        <w:ind w:left="4373" w:hanging="360"/>
      </w:pPr>
      <w:rPr>
        <w:rFonts w:ascii="Courier New" w:hAnsi="Courier New" w:cs="Courier New" w:hint="default"/>
      </w:rPr>
    </w:lvl>
    <w:lvl w:ilvl="5" w:tplc="739EDDF6" w:tentative="1">
      <w:start w:val="1"/>
      <w:numFmt w:val="bullet"/>
      <w:lvlText w:val=""/>
      <w:lvlJc w:val="left"/>
      <w:pPr>
        <w:ind w:left="5093" w:hanging="360"/>
      </w:pPr>
      <w:rPr>
        <w:rFonts w:ascii="Wingdings" w:hAnsi="Wingdings" w:hint="default"/>
      </w:rPr>
    </w:lvl>
    <w:lvl w:ilvl="6" w:tplc="A6360132" w:tentative="1">
      <w:start w:val="1"/>
      <w:numFmt w:val="bullet"/>
      <w:lvlText w:val=""/>
      <w:lvlJc w:val="left"/>
      <w:pPr>
        <w:ind w:left="5813" w:hanging="360"/>
      </w:pPr>
      <w:rPr>
        <w:rFonts w:ascii="Symbol" w:hAnsi="Symbol" w:hint="default"/>
      </w:rPr>
    </w:lvl>
    <w:lvl w:ilvl="7" w:tplc="4D8E8DF6" w:tentative="1">
      <w:start w:val="1"/>
      <w:numFmt w:val="bullet"/>
      <w:lvlText w:val="o"/>
      <w:lvlJc w:val="left"/>
      <w:pPr>
        <w:ind w:left="6533" w:hanging="360"/>
      </w:pPr>
      <w:rPr>
        <w:rFonts w:ascii="Courier New" w:hAnsi="Courier New" w:cs="Courier New" w:hint="default"/>
      </w:rPr>
    </w:lvl>
    <w:lvl w:ilvl="8" w:tplc="A92A5FC2" w:tentative="1">
      <w:start w:val="1"/>
      <w:numFmt w:val="bullet"/>
      <w:lvlText w:val=""/>
      <w:lvlJc w:val="left"/>
      <w:pPr>
        <w:ind w:left="7253" w:hanging="360"/>
      </w:pPr>
      <w:rPr>
        <w:rFonts w:ascii="Wingdings" w:hAnsi="Wingdings" w:hint="default"/>
      </w:rPr>
    </w:lvl>
  </w:abstractNum>
  <w:abstractNum w:abstractNumId="35" w15:restartNumberingAfterBreak="0">
    <w:nsid w:val="23C20D9E"/>
    <w:multiLevelType w:val="multilevel"/>
    <w:tmpl w:val="96EC83D6"/>
    <w:lvl w:ilvl="0">
      <w:start w:val="3"/>
      <w:numFmt w:val="decimal"/>
      <w:lvlText w:val="%1."/>
      <w:lvlJc w:val="left"/>
      <w:pPr>
        <w:tabs>
          <w:tab w:val="num" w:pos="567"/>
        </w:tabs>
        <w:ind w:left="567" w:hanging="567"/>
      </w:pPr>
      <w:rPr>
        <w:rFonts w:hint="default"/>
      </w:rPr>
    </w:lvl>
    <w:lvl w:ilvl="1">
      <w:start w:val="5"/>
      <w:numFmt w:val="decimal"/>
      <w:lvlText w:val="%1.%2."/>
      <w:lvlJc w:val="left"/>
      <w:pPr>
        <w:tabs>
          <w:tab w:val="num" w:pos="1134"/>
        </w:tabs>
        <w:ind w:left="1134" w:hanging="567"/>
      </w:pPr>
      <w:rPr>
        <w:rFonts w:hint="default"/>
        <w:color w:val="222A35"/>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15:restartNumberingAfterBreak="0">
    <w:nsid w:val="248D7428"/>
    <w:multiLevelType w:val="multilevel"/>
    <w:tmpl w:val="27E29138"/>
    <w:lvl w:ilvl="0">
      <w:start w:val="1"/>
      <w:numFmt w:val="decimal"/>
      <w:lvlText w:val="%1."/>
      <w:lvlJc w:val="left"/>
      <w:pPr>
        <w:ind w:left="567" w:hanging="567"/>
      </w:pPr>
      <w:rPr>
        <w:rFonts w:asciiTheme="majorBidi" w:hAnsiTheme="majorBidi" w:cstheme="majorBidi" w:hint="default"/>
      </w:rPr>
    </w:lvl>
    <w:lvl w:ilvl="1">
      <w:start w:val="1"/>
      <w:numFmt w:val="decimal"/>
      <w:lvlText w:val="%1.%2."/>
      <w:lvlJc w:val="left"/>
      <w:pPr>
        <w:ind w:left="1134" w:hanging="567"/>
      </w:pPr>
      <w:rPr>
        <w:rFonts w:hint="default"/>
        <w:color w:val="222A35"/>
        <w:vertAlign w:val="baseline"/>
      </w:rPr>
    </w:lvl>
    <w:lvl w:ilvl="2">
      <w:start w:val="1"/>
      <w:numFmt w:val="decimal"/>
      <w:lvlText w:val="%1.%2.%3."/>
      <w:lvlJc w:val="left"/>
      <w:pPr>
        <w:ind w:left="1701" w:hanging="567"/>
      </w:pPr>
      <w:rPr>
        <w:rFonts w:hint="default"/>
        <w:b w:val="0"/>
        <w:bCs w:val="0"/>
        <w:lang w:bidi="he-IL"/>
      </w:rPr>
    </w:lvl>
    <w:lvl w:ilvl="3">
      <w:start w:val="1"/>
      <w:numFmt w:val="decimal"/>
      <w:lvlText w:val=".%2.%3.%4."/>
      <w:lvlJc w:val="left"/>
      <w:pPr>
        <w:ind w:left="2268" w:hanging="567"/>
      </w:pPr>
      <w:rPr>
        <w:rFonts w:hint="default"/>
        <w:b/>
        <w:bCs/>
      </w:rPr>
    </w:lvl>
    <w:lvl w:ilvl="4">
      <w:start w:val="1"/>
      <w:numFmt w:val="hebrew1"/>
      <w:suff w:val="space"/>
      <w:lvlText w:val="(%5)"/>
      <w:lvlJc w:val="left"/>
      <w:pPr>
        <w:ind w:left="2835" w:hanging="567"/>
      </w:pPr>
      <w:rPr>
        <w:rFonts w:ascii="Tahoma" w:hAnsi="Tahoma" w:cs="Tahoma" w:hint="default"/>
        <w:b/>
        <w:bCs/>
        <w:i w:val="0"/>
        <w:iCs w:val="0"/>
        <w:color w:val="auto"/>
        <w:sz w:val="20"/>
        <w:szCs w:val="20"/>
      </w:rPr>
    </w:lvl>
    <w:lvl w:ilvl="5">
      <w:start w:val="1"/>
      <w:numFmt w:val="lowerRoman"/>
      <w:lvlText w:val="(%6)"/>
      <w:lvlJc w:val="left"/>
      <w:pPr>
        <w:ind w:left="3402" w:hanging="567"/>
      </w:pPr>
      <w:rPr>
        <w:rFonts w:hint="default"/>
      </w:rPr>
    </w:lvl>
    <w:lvl w:ilvl="6">
      <w:start w:val="1"/>
      <w:numFmt w:val="hebrew1"/>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267D4893"/>
    <w:multiLevelType w:val="hybridMultilevel"/>
    <w:tmpl w:val="988CD9DC"/>
    <w:lvl w:ilvl="0" w:tplc="C2281E42">
      <w:start w:val="1"/>
      <w:numFmt w:val="lowerLetter"/>
      <w:lvlText w:val="(%1)"/>
      <w:lvlJc w:val="left"/>
      <w:pPr>
        <w:tabs>
          <w:tab w:val="num" w:pos="1134"/>
        </w:tabs>
        <w:ind w:left="1134" w:hanging="567"/>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26B22746"/>
    <w:multiLevelType w:val="hybridMultilevel"/>
    <w:tmpl w:val="21E83652"/>
    <w:lvl w:ilvl="0" w:tplc="C2281E42">
      <w:start w:val="1"/>
      <w:numFmt w:val="lowerLetter"/>
      <w:lvlText w:val="(%1)"/>
      <w:lvlJc w:val="left"/>
      <w:pPr>
        <w:ind w:left="720" w:hanging="360"/>
      </w:pPr>
      <w:rPr>
        <w:rFonts w:hint="default"/>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9C07279"/>
    <w:multiLevelType w:val="hybridMultilevel"/>
    <w:tmpl w:val="81CC052C"/>
    <w:lvl w:ilvl="0" w:tplc="04090015">
      <w:start w:val="1"/>
      <w:numFmt w:val="upperLetter"/>
      <w:lvlText w:val="%1."/>
      <w:lvlJc w:val="left"/>
      <w:pPr>
        <w:tabs>
          <w:tab w:val="num" w:pos="1134"/>
        </w:tabs>
        <w:ind w:left="1134" w:hanging="567"/>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29C857C8"/>
    <w:multiLevelType w:val="multilevel"/>
    <w:tmpl w:val="693EFA22"/>
    <w:lvl w:ilvl="0">
      <w:start w:val="1"/>
      <w:numFmt w:val="hebrew1"/>
      <w:lvlText w:val="%1."/>
      <w:lvlJc w:val="center"/>
      <w:pPr>
        <w:tabs>
          <w:tab w:val="num" w:pos="567"/>
        </w:tabs>
        <w:ind w:left="567" w:hanging="567"/>
      </w:pPr>
      <w:rPr>
        <w:rFonts w:hint="default"/>
      </w:rPr>
    </w:lvl>
    <w:lvl w:ilvl="1">
      <w:start w:val="1"/>
      <w:numFmt w:val="decimal"/>
      <w:lvlText w:val="%2."/>
      <w:lvlJc w:val="left"/>
      <w:pPr>
        <w:tabs>
          <w:tab w:val="num" w:pos="567"/>
        </w:tabs>
        <w:ind w:left="567" w:hanging="567"/>
      </w:pPr>
      <w:rPr>
        <w:rFonts w:hint="default"/>
        <w:sz w:val="20"/>
        <w:szCs w:val="20"/>
        <w:lang w:val="en-US" w:bidi="he-IL"/>
      </w:rPr>
    </w:lvl>
    <w:lvl w:ilvl="2">
      <w:start w:val="1"/>
      <w:numFmt w:val="hebrew1"/>
      <w:lvlText w:val="%1.%2.%3."/>
      <w:lvlJc w:val="center"/>
      <w:pPr>
        <w:ind w:left="1701" w:hanging="567"/>
      </w:pPr>
      <w:rPr>
        <w:rFonts w:hint="default"/>
      </w:rPr>
    </w:lvl>
    <w:lvl w:ilvl="3">
      <w:start w:val="1"/>
      <w:numFmt w:val="decimal"/>
      <w:lvlText w:val="%1.%2.%3.%4."/>
      <w:lvlJc w:val="center"/>
      <w:pPr>
        <w:ind w:left="2268" w:hanging="567"/>
      </w:pPr>
      <w:rPr>
        <w:rFonts w:hint="default"/>
      </w:rPr>
    </w:lvl>
    <w:lvl w:ilvl="4">
      <w:start w:val="1"/>
      <w:numFmt w:val="hebrew1"/>
      <w:lvlText w:val="%1.%2.%3.%4.%5."/>
      <w:lvlJc w:val="center"/>
      <w:pPr>
        <w:ind w:left="2835" w:hanging="567"/>
      </w:pPr>
      <w:rPr>
        <w:rFonts w:hint="default"/>
      </w:rPr>
    </w:lvl>
    <w:lvl w:ilvl="5">
      <w:start w:val="1"/>
      <w:numFmt w:val="decimal"/>
      <w:lvlText w:val="%1.%2.%3.%4.%5.%6."/>
      <w:lvlJc w:val="center"/>
      <w:pPr>
        <w:ind w:left="3402" w:hanging="567"/>
      </w:pPr>
      <w:rPr>
        <w:rFonts w:hint="default"/>
      </w:rPr>
    </w:lvl>
    <w:lvl w:ilvl="6">
      <w:start w:val="1"/>
      <w:numFmt w:val="hebrew1"/>
      <w:lvlText w:val="%1.%2.%3.%4.%5.%6.%7."/>
      <w:lvlJc w:val="center"/>
      <w:pPr>
        <w:ind w:left="3969" w:hanging="567"/>
      </w:pPr>
      <w:rPr>
        <w:rFonts w:hint="default"/>
      </w:rPr>
    </w:lvl>
    <w:lvl w:ilvl="7">
      <w:start w:val="1"/>
      <w:numFmt w:val="decimal"/>
      <w:lvlText w:val="%1.%2.%3.%4.%5.%6.%7.%8."/>
      <w:lvlJc w:val="center"/>
      <w:pPr>
        <w:ind w:left="4536" w:hanging="567"/>
      </w:pPr>
      <w:rPr>
        <w:rFonts w:hint="default"/>
      </w:rPr>
    </w:lvl>
    <w:lvl w:ilvl="8">
      <w:start w:val="1"/>
      <w:numFmt w:val="hebrew1"/>
      <w:lvlText w:val="%1.%2.%3.%4.%5.%6.%7.%8.%9."/>
      <w:lvlJc w:val="center"/>
      <w:pPr>
        <w:ind w:left="5103" w:hanging="567"/>
      </w:pPr>
      <w:rPr>
        <w:rFonts w:hint="default"/>
      </w:rPr>
    </w:lvl>
  </w:abstractNum>
  <w:abstractNum w:abstractNumId="41" w15:restartNumberingAfterBreak="0">
    <w:nsid w:val="2C156DF8"/>
    <w:multiLevelType w:val="hybridMultilevel"/>
    <w:tmpl w:val="9070ABF6"/>
    <w:lvl w:ilvl="0" w:tplc="6C126214">
      <w:start w:val="1"/>
      <w:numFmt w:val="bullet"/>
      <w:lvlText w:val="-"/>
      <w:lvlJc w:val="left"/>
      <w:pPr>
        <w:tabs>
          <w:tab w:val="num" w:pos="1554"/>
        </w:tabs>
        <w:ind w:left="1553" w:hanging="420"/>
      </w:pPr>
      <w:rPr>
        <w:rFonts w:ascii="Walbaum Text" w:hAnsi="Walbaum Text" w:hint="default"/>
        <w:color w:val="222A35"/>
      </w:rPr>
    </w:lvl>
    <w:lvl w:ilvl="1" w:tplc="FFFFFFFF">
      <w:start w:val="1"/>
      <w:numFmt w:val="bullet"/>
      <w:lvlText w:val="o"/>
      <w:lvlJc w:val="left"/>
      <w:pPr>
        <w:ind w:left="2213" w:hanging="360"/>
      </w:pPr>
      <w:rPr>
        <w:rFonts w:ascii="Courier New" w:hAnsi="Courier New" w:cs="Courier New" w:hint="default"/>
      </w:rPr>
    </w:lvl>
    <w:lvl w:ilvl="2" w:tplc="FFFFFFFF" w:tentative="1">
      <w:start w:val="1"/>
      <w:numFmt w:val="bullet"/>
      <w:lvlText w:val=""/>
      <w:lvlJc w:val="left"/>
      <w:pPr>
        <w:ind w:left="2933" w:hanging="360"/>
      </w:pPr>
      <w:rPr>
        <w:rFonts w:ascii="Wingdings" w:hAnsi="Wingdings" w:hint="default"/>
      </w:rPr>
    </w:lvl>
    <w:lvl w:ilvl="3" w:tplc="FFFFFFFF" w:tentative="1">
      <w:start w:val="1"/>
      <w:numFmt w:val="bullet"/>
      <w:lvlText w:val=""/>
      <w:lvlJc w:val="left"/>
      <w:pPr>
        <w:ind w:left="3653" w:hanging="360"/>
      </w:pPr>
      <w:rPr>
        <w:rFonts w:ascii="Symbol" w:hAnsi="Symbol" w:hint="default"/>
      </w:rPr>
    </w:lvl>
    <w:lvl w:ilvl="4" w:tplc="FFFFFFFF" w:tentative="1">
      <w:start w:val="1"/>
      <w:numFmt w:val="bullet"/>
      <w:lvlText w:val="o"/>
      <w:lvlJc w:val="left"/>
      <w:pPr>
        <w:ind w:left="4373" w:hanging="360"/>
      </w:pPr>
      <w:rPr>
        <w:rFonts w:ascii="Courier New" w:hAnsi="Courier New" w:cs="Courier New" w:hint="default"/>
      </w:rPr>
    </w:lvl>
    <w:lvl w:ilvl="5" w:tplc="FFFFFFFF" w:tentative="1">
      <w:start w:val="1"/>
      <w:numFmt w:val="bullet"/>
      <w:lvlText w:val=""/>
      <w:lvlJc w:val="left"/>
      <w:pPr>
        <w:ind w:left="5093" w:hanging="360"/>
      </w:pPr>
      <w:rPr>
        <w:rFonts w:ascii="Wingdings" w:hAnsi="Wingdings" w:hint="default"/>
      </w:rPr>
    </w:lvl>
    <w:lvl w:ilvl="6" w:tplc="FFFFFFFF" w:tentative="1">
      <w:start w:val="1"/>
      <w:numFmt w:val="bullet"/>
      <w:lvlText w:val=""/>
      <w:lvlJc w:val="left"/>
      <w:pPr>
        <w:ind w:left="5813" w:hanging="360"/>
      </w:pPr>
      <w:rPr>
        <w:rFonts w:ascii="Symbol" w:hAnsi="Symbol" w:hint="default"/>
      </w:rPr>
    </w:lvl>
    <w:lvl w:ilvl="7" w:tplc="FFFFFFFF" w:tentative="1">
      <w:start w:val="1"/>
      <w:numFmt w:val="bullet"/>
      <w:lvlText w:val="o"/>
      <w:lvlJc w:val="left"/>
      <w:pPr>
        <w:ind w:left="6533" w:hanging="360"/>
      </w:pPr>
      <w:rPr>
        <w:rFonts w:ascii="Courier New" w:hAnsi="Courier New" w:cs="Courier New" w:hint="default"/>
      </w:rPr>
    </w:lvl>
    <w:lvl w:ilvl="8" w:tplc="FFFFFFFF" w:tentative="1">
      <w:start w:val="1"/>
      <w:numFmt w:val="bullet"/>
      <w:lvlText w:val=""/>
      <w:lvlJc w:val="left"/>
      <w:pPr>
        <w:ind w:left="7253" w:hanging="360"/>
      </w:pPr>
      <w:rPr>
        <w:rFonts w:ascii="Wingdings" w:hAnsi="Wingdings" w:hint="default"/>
      </w:rPr>
    </w:lvl>
  </w:abstractNum>
  <w:abstractNum w:abstractNumId="42" w15:restartNumberingAfterBreak="0">
    <w:nsid w:val="2D184086"/>
    <w:multiLevelType w:val="hybridMultilevel"/>
    <w:tmpl w:val="D5FEFEF2"/>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D8C7CB2"/>
    <w:multiLevelType w:val="hybridMultilevel"/>
    <w:tmpl w:val="29B2D788"/>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2DA02D54"/>
    <w:multiLevelType w:val="hybridMultilevel"/>
    <w:tmpl w:val="7F44FB40"/>
    <w:lvl w:ilvl="0" w:tplc="C4CA336C">
      <w:numFmt w:val="bullet"/>
      <w:lvlText w:val="•"/>
      <w:lvlJc w:val="left"/>
      <w:pPr>
        <w:tabs>
          <w:tab w:val="num" w:pos="1554"/>
        </w:tabs>
        <w:ind w:left="1553" w:hanging="420"/>
      </w:pPr>
      <w:rPr>
        <w:rFonts w:ascii="Ploni ML Medium AAA Medium" w:eastAsiaTheme="minorHAnsi" w:hAnsi="Ploni ML Medium AAA Medium" w:cs="Ploni ML Medium AAA Medium" w:hint="default"/>
        <w:color w:val="222A35"/>
        <w:sz w:val="21"/>
        <w:szCs w:val="21"/>
        <w:lang w:bidi="he-IL"/>
      </w:rPr>
    </w:lvl>
    <w:lvl w:ilvl="1" w:tplc="FD0EAB78">
      <w:start w:val="1"/>
      <w:numFmt w:val="bullet"/>
      <w:lvlText w:val="o"/>
      <w:lvlJc w:val="left"/>
      <w:pPr>
        <w:ind w:left="2213" w:hanging="360"/>
      </w:pPr>
      <w:rPr>
        <w:rFonts w:ascii="Courier New" w:hAnsi="Courier New" w:cs="Courier New" w:hint="default"/>
      </w:rPr>
    </w:lvl>
    <w:lvl w:ilvl="2" w:tplc="BB4A8CD0" w:tentative="1">
      <w:start w:val="1"/>
      <w:numFmt w:val="bullet"/>
      <w:lvlText w:val=""/>
      <w:lvlJc w:val="left"/>
      <w:pPr>
        <w:ind w:left="2933" w:hanging="360"/>
      </w:pPr>
      <w:rPr>
        <w:rFonts w:ascii="Wingdings" w:hAnsi="Wingdings" w:hint="default"/>
      </w:rPr>
    </w:lvl>
    <w:lvl w:ilvl="3" w:tplc="7C240214">
      <w:start w:val="1"/>
      <w:numFmt w:val="bullet"/>
      <w:lvlText w:val=""/>
      <w:lvlJc w:val="left"/>
      <w:pPr>
        <w:ind w:left="3653" w:hanging="360"/>
      </w:pPr>
      <w:rPr>
        <w:rFonts w:ascii="Symbol" w:hAnsi="Symbol" w:hint="default"/>
      </w:rPr>
    </w:lvl>
    <w:lvl w:ilvl="4" w:tplc="F1EEDEB0" w:tentative="1">
      <w:start w:val="1"/>
      <w:numFmt w:val="bullet"/>
      <w:lvlText w:val="o"/>
      <w:lvlJc w:val="left"/>
      <w:pPr>
        <w:ind w:left="4373" w:hanging="360"/>
      </w:pPr>
      <w:rPr>
        <w:rFonts w:ascii="Courier New" w:hAnsi="Courier New" w:cs="Courier New" w:hint="default"/>
      </w:rPr>
    </w:lvl>
    <w:lvl w:ilvl="5" w:tplc="8444BA62" w:tentative="1">
      <w:start w:val="1"/>
      <w:numFmt w:val="bullet"/>
      <w:lvlText w:val=""/>
      <w:lvlJc w:val="left"/>
      <w:pPr>
        <w:ind w:left="5093" w:hanging="360"/>
      </w:pPr>
      <w:rPr>
        <w:rFonts w:ascii="Wingdings" w:hAnsi="Wingdings" w:hint="default"/>
      </w:rPr>
    </w:lvl>
    <w:lvl w:ilvl="6" w:tplc="CEE0DCC6" w:tentative="1">
      <w:start w:val="1"/>
      <w:numFmt w:val="bullet"/>
      <w:lvlText w:val=""/>
      <w:lvlJc w:val="left"/>
      <w:pPr>
        <w:ind w:left="5813" w:hanging="360"/>
      </w:pPr>
      <w:rPr>
        <w:rFonts w:ascii="Symbol" w:hAnsi="Symbol" w:hint="default"/>
      </w:rPr>
    </w:lvl>
    <w:lvl w:ilvl="7" w:tplc="26E2FD0C" w:tentative="1">
      <w:start w:val="1"/>
      <w:numFmt w:val="bullet"/>
      <w:lvlText w:val="o"/>
      <w:lvlJc w:val="left"/>
      <w:pPr>
        <w:ind w:left="6533" w:hanging="360"/>
      </w:pPr>
      <w:rPr>
        <w:rFonts w:ascii="Courier New" w:hAnsi="Courier New" w:cs="Courier New" w:hint="default"/>
      </w:rPr>
    </w:lvl>
    <w:lvl w:ilvl="8" w:tplc="6936AD56" w:tentative="1">
      <w:start w:val="1"/>
      <w:numFmt w:val="bullet"/>
      <w:lvlText w:val=""/>
      <w:lvlJc w:val="left"/>
      <w:pPr>
        <w:ind w:left="7253" w:hanging="360"/>
      </w:pPr>
      <w:rPr>
        <w:rFonts w:ascii="Wingdings" w:hAnsi="Wingdings" w:hint="default"/>
      </w:rPr>
    </w:lvl>
  </w:abstractNum>
  <w:abstractNum w:abstractNumId="45" w15:restartNumberingAfterBreak="0">
    <w:nsid w:val="2FBE4AF2"/>
    <w:multiLevelType w:val="hybridMultilevel"/>
    <w:tmpl w:val="1A044A5A"/>
    <w:lvl w:ilvl="0" w:tplc="E41A36AE">
      <w:start w:val="1"/>
      <w:numFmt w:val="decimal"/>
      <w:lvlText w:val="%1."/>
      <w:lvlJc w:val="left"/>
      <w:pPr>
        <w:ind w:left="720" w:hanging="360"/>
      </w:pPr>
      <w:rPr>
        <w:rFonts w:hint="default"/>
      </w:rPr>
    </w:lvl>
    <w:lvl w:ilvl="1" w:tplc="173E0978" w:tentative="1">
      <w:start w:val="1"/>
      <w:numFmt w:val="lowerLetter"/>
      <w:lvlText w:val="%2."/>
      <w:lvlJc w:val="left"/>
      <w:pPr>
        <w:ind w:left="1440" w:hanging="360"/>
      </w:pPr>
    </w:lvl>
    <w:lvl w:ilvl="2" w:tplc="9190D6C2" w:tentative="1">
      <w:start w:val="1"/>
      <w:numFmt w:val="lowerRoman"/>
      <w:lvlText w:val="%3."/>
      <w:lvlJc w:val="right"/>
      <w:pPr>
        <w:ind w:left="2160" w:hanging="180"/>
      </w:pPr>
    </w:lvl>
    <w:lvl w:ilvl="3" w:tplc="6804BDD6" w:tentative="1">
      <w:start w:val="1"/>
      <w:numFmt w:val="decimal"/>
      <w:lvlText w:val="%4."/>
      <w:lvlJc w:val="left"/>
      <w:pPr>
        <w:ind w:left="2880" w:hanging="360"/>
      </w:pPr>
    </w:lvl>
    <w:lvl w:ilvl="4" w:tplc="5B5AEF0A" w:tentative="1">
      <w:start w:val="1"/>
      <w:numFmt w:val="lowerLetter"/>
      <w:lvlText w:val="%5."/>
      <w:lvlJc w:val="left"/>
      <w:pPr>
        <w:ind w:left="3600" w:hanging="360"/>
      </w:pPr>
    </w:lvl>
    <w:lvl w:ilvl="5" w:tplc="F9F4A18A" w:tentative="1">
      <w:start w:val="1"/>
      <w:numFmt w:val="lowerRoman"/>
      <w:lvlText w:val="%6."/>
      <w:lvlJc w:val="right"/>
      <w:pPr>
        <w:ind w:left="4320" w:hanging="180"/>
      </w:pPr>
    </w:lvl>
    <w:lvl w:ilvl="6" w:tplc="C6D217D2" w:tentative="1">
      <w:start w:val="1"/>
      <w:numFmt w:val="decimal"/>
      <w:lvlText w:val="%7."/>
      <w:lvlJc w:val="left"/>
      <w:pPr>
        <w:ind w:left="5040" w:hanging="360"/>
      </w:pPr>
    </w:lvl>
    <w:lvl w:ilvl="7" w:tplc="1A348E94" w:tentative="1">
      <w:start w:val="1"/>
      <w:numFmt w:val="lowerLetter"/>
      <w:lvlText w:val="%8."/>
      <w:lvlJc w:val="left"/>
      <w:pPr>
        <w:ind w:left="5760" w:hanging="360"/>
      </w:pPr>
    </w:lvl>
    <w:lvl w:ilvl="8" w:tplc="3EF0D564" w:tentative="1">
      <w:start w:val="1"/>
      <w:numFmt w:val="lowerRoman"/>
      <w:lvlText w:val="%9."/>
      <w:lvlJc w:val="right"/>
      <w:pPr>
        <w:ind w:left="6480" w:hanging="180"/>
      </w:pPr>
    </w:lvl>
  </w:abstractNum>
  <w:abstractNum w:abstractNumId="46" w15:restartNumberingAfterBreak="0">
    <w:nsid w:val="30893B63"/>
    <w:multiLevelType w:val="hybridMultilevel"/>
    <w:tmpl w:val="62805F26"/>
    <w:lvl w:ilvl="0" w:tplc="F732BF80">
      <w:start w:val="1"/>
      <w:numFmt w:val="bullet"/>
      <w:lvlText w:val=""/>
      <w:lvlJc w:val="left"/>
      <w:pPr>
        <w:ind w:left="1427" w:hanging="360"/>
      </w:pPr>
      <w:rPr>
        <w:rFonts w:ascii="Symbol" w:hAnsi="Symbol" w:hint="default"/>
        <w:color w:val="222A35"/>
        <w:lang w:bidi="he-IL"/>
      </w:rPr>
    </w:lvl>
    <w:lvl w:ilvl="1" w:tplc="29DAD42E" w:tentative="1">
      <w:start w:val="1"/>
      <w:numFmt w:val="bullet"/>
      <w:lvlText w:val="o"/>
      <w:lvlJc w:val="left"/>
      <w:pPr>
        <w:ind w:left="2147" w:hanging="360"/>
      </w:pPr>
      <w:rPr>
        <w:rFonts w:ascii="Courier New" w:hAnsi="Courier New" w:cs="Courier New" w:hint="default"/>
      </w:rPr>
    </w:lvl>
    <w:lvl w:ilvl="2" w:tplc="8CC604A6" w:tentative="1">
      <w:start w:val="1"/>
      <w:numFmt w:val="bullet"/>
      <w:lvlText w:val=""/>
      <w:lvlJc w:val="left"/>
      <w:pPr>
        <w:ind w:left="2867" w:hanging="360"/>
      </w:pPr>
      <w:rPr>
        <w:rFonts w:ascii="Wingdings" w:hAnsi="Wingdings" w:hint="default"/>
      </w:rPr>
    </w:lvl>
    <w:lvl w:ilvl="3" w:tplc="BB842F24" w:tentative="1">
      <w:start w:val="1"/>
      <w:numFmt w:val="bullet"/>
      <w:lvlText w:val=""/>
      <w:lvlJc w:val="left"/>
      <w:pPr>
        <w:ind w:left="3587" w:hanging="360"/>
      </w:pPr>
      <w:rPr>
        <w:rFonts w:ascii="Symbol" w:hAnsi="Symbol" w:hint="default"/>
      </w:rPr>
    </w:lvl>
    <w:lvl w:ilvl="4" w:tplc="C2DC14D0" w:tentative="1">
      <w:start w:val="1"/>
      <w:numFmt w:val="bullet"/>
      <w:lvlText w:val="o"/>
      <w:lvlJc w:val="left"/>
      <w:pPr>
        <w:ind w:left="4307" w:hanging="360"/>
      </w:pPr>
      <w:rPr>
        <w:rFonts w:ascii="Courier New" w:hAnsi="Courier New" w:cs="Courier New" w:hint="default"/>
      </w:rPr>
    </w:lvl>
    <w:lvl w:ilvl="5" w:tplc="D23A9AB2" w:tentative="1">
      <w:start w:val="1"/>
      <w:numFmt w:val="bullet"/>
      <w:lvlText w:val=""/>
      <w:lvlJc w:val="left"/>
      <w:pPr>
        <w:ind w:left="5027" w:hanging="360"/>
      </w:pPr>
      <w:rPr>
        <w:rFonts w:ascii="Wingdings" w:hAnsi="Wingdings" w:hint="default"/>
      </w:rPr>
    </w:lvl>
    <w:lvl w:ilvl="6" w:tplc="244CEB76" w:tentative="1">
      <w:start w:val="1"/>
      <w:numFmt w:val="bullet"/>
      <w:lvlText w:val=""/>
      <w:lvlJc w:val="left"/>
      <w:pPr>
        <w:ind w:left="5747" w:hanging="360"/>
      </w:pPr>
      <w:rPr>
        <w:rFonts w:ascii="Symbol" w:hAnsi="Symbol" w:hint="default"/>
      </w:rPr>
    </w:lvl>
    <w:lvl w:ilvl="7" w:tplc="A148C9B8" w:tentative="1">
      <w:start w:val="1"/>
      <w:numFmt w:val="bullet"/>
      <w:lvlText w:val="o"/>
      <w:lvlJc w:val="left"/>
      <w:pPr>
        <w:ind w:left="6467" w:hanging="360"/>
      </w:pPr>
      <w:rPr>
        <w:rFonts w:ascii="Courier New" w:hAnsi="Courier New" w:cs="Courier New" w:hint="default"/>
      </w:rPr>
    </w:lvl>
    <w:lvl w:ilvl="8" w:tplc="191C8564" w:tentative="1">
      <w:start w:val="1"/>
      <w:numFmt w:val="bullet"/>
      <w:lvlText w:val=""/>
      <w:lvlJc w:val="left"/>
      <w:pPr>
        <w:ind w:left="7187" w:hanging="360"/>
      </w:pPr>
      <w:rPr>
        <w:rFonts w:ascii="Wingdings" w:hAnsi="Wingdings" w:hint="default"/>
      </w:rPr>
    </w:lvl>
  </w:abstractNum>
  <w:abstractNum w:abstractNumId="47" w15:restartNumberingAfterBreak="0">
    <w:nsid w:val="31DC158B"/>
    <w:multiLevelType w:val="multilevel"/>
    <w:tmpl w:val="16DA0DC2"/>
    <w:lvl w:ilvl="0">
      <w:start w:val="2"/>
      <w:numFmt w:val="decimal"/>
      <w:lvlText w:val="%1."/>
      <w:lvlJc w:val="left"/>
      <w:pPr>
        <w:ind w:left="567" w:hanging="567"/>
      </w:pPr>
      <w:rPr>
        <w:rFonts w:ascii="Tahoma" w:hAnsi="Tahoma" w:cs="Tahoma" w:hint="default"/>
      </w:rPr>
    </w:lvl>
    <w:lvl w:ilvl="1">
      <w:start w:val="6"/>
      <w:numFmt w:val="decimal"/>
      <w:lvlText w:val="%1.%2."/>
      <w:lvlJc w:val="left"/>
      <w:pPr>
        <w:ind w:left="1134" w:hanging="567"/>
      </w:pPr>
      <w:rPr>
        <w:rFonts w:hint="default"/>
        <w:b w:val="0"/>
        <w:bCs w:val="0"/>
        <w:lang w:bidi="he-IL"/>
      </w:rPr>
    </w:lvl>
    <w:lvl w:ilvl="2">
      <w:start w:val="1"/>
      <w:numFmt w:val="decimal"/>
      <w:lvlText w:val="%1.%2.%3."/>
      <w:lvlJc w:val="left"/>
      <w:pPr>
        <w:ind w:left="1701" w:hanging="567"/>
      </w:pPr>
      <w:rPr>
        <w:rFonts w:hint="default"/>
        <w:b w:val="0"/>
        <w:bCs w:val="0"/>
        <w:lang w:bidi="he-IL"/>
      </w:rPr>
    </w:lvl>
    <w:lvl w:ilvl="3">
      <w:start w:val="1"/>
      <w:numFmt w:val="decimal"/>
      <w:lvlText w:val=".%2.%3.%4."/>
      <w:lvlJc w:val="left"/>
      <w:pPr>
        <w:ind w:left="2268" w:hanging="567"/>
      </w:pPr>
      <w:rPr>
        <w:rFonts w:hint="default"/>
        <w:b/>
        <w:bCs/>
      </w:rPr>
    </w:lvl>
    <w:lvl w:ilvl="4">
      <w:start w:val="1"/>
      <w:numFmt w:val="hebrew1"/>
      <w:suff w:val="space"/>
      <w:lvlText w:val="(%5)"/>
      <w:lvlJc w:val="left"/>
      <w:pPr>
        <w:ind w:left="2835" w:hanging="567"/>
      </w:pPr>
      <w:rPr>
        <w:rFonts w:ascii="Tahoma" w:hAnsi="Tahoma" w:cs="Tahoma" w:hint="default"/>
        <w:b/>
        <w:bCs/>
        <w:i w:val="0"/>
        <w:iCs w:val="0"/>
        <w:color w:val="auto"/>
        <w:sz w:val="20"/>
        <w:szCs w:val="20"/>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A1434A"/>
    <w:multiLevelType w:val="multilevel"/>
    <w:tmpl w:val="4DAAE72E"/>
    <w:lvl w:ilvl="0">
      <w:start w:val="4"/>
      <w:numFmt w:val="hebrew1"/>
      <w:lvlText w:val="%1."/>
      <w:lvlJc w:val="left"/>
      <w:pPr>
        <w:tabs>
          <w:tab w:val="num" w:pos="1134"/>
        </w:tabs>
        <w:ind w:left="1701" w:hanging="567"/>
      </w:pPr>
      <w:rPr>
        <w:rFonts w:ascii="Ploni ML Medium AAA Medium" w:hAnsi="Ploni ML Medium AAA Medium" w:cs="Ploni ML Medium AAA Medium" w:hint="default"/>
        <w:b w:val="0"/>
        <w:bCs w:val="0"/>
        <w:i w:val="0"/>
        <w:iCs w:val="0"/>
        <w:sz w:val="21"/>
        <w:szCs w:val="21"/>
      </w:rPr>
    </w:lvl>
    <w:lvl w:ilvl="1">
      <w:start w:val="1"/>
      <w:numFmt w:val="decimal"/>
      <w:lvlText w:val="%2."/>
      <w:lvlJc w:val="left"/>
      <w:pPr>
        <w:tabs>
          <w:tab w:val="num" w:pos="1701"/>
        </w:tabs>
        <w:ind w:left="2268" w:hanging="567"/>
      </w:pPr>
    </w:lvl>
    <w:lvl w:ilvl="2">
      <w:start w:val="1"/>
      <w:numFmt w:val="lowerRoman"/>
      <w:lvlText w:val="%3."/>
      <w:lvlJc w:val="right"/>
      <w:pPr>
        <w:tabs>
          <w:tab w:val="num" w:pos="2268"/>
        </w:tabs>
        <w:ind w:left="2835" w:hanging="567"/>
      </w:pPr>
    </w:lvl>
    <w:lvl w:ilvl="3">
      <w:start w:val="1"/>
      <w:numFmt w:val="decimal"/>
      <w:lvlText w:val="%4."/>
      <w:lvlJc w:val="left"/>
      <w:pPr>
        <w:tabs>
          <w:tab w:val="num" w:pos="2835"/>
        </w:tabs>
        <w:ind w:left="3402" w:hanging="567"/>
      </w:pPr>
    </w:lvl>
    <w:lvl w:ilvl="4">
      <w:start w:val="1"/>
      <w:numFmt w:val="lowerLetter"/>
      <w:lvlText w:val="%5."/>
      <w:lvlJc w:val="left"/>
      <w:pPr>
        <w:tabs>
          <w:tab w:val="num" w:pos="3402"/>
        </w:tabs>
        <w:ind w:left="3969" w:hanging="567"/>
      </w:pPr>
    </w:lvl>
    <w:lvl w:ilvl="5">
      <w:start w:val="1"/>
      <w:numFmt w:val="lowerRoman"/>
      <w:lvlText w:val="%6."/>
      <w:lvlJc w:val="right"/>
      <w:pPr>
        <w:tabs>
          <w:tab w:val="num" w:pos="3969"/>
        </w:tabs>
        <w:ind w:left="4536" w:hanging="567"/>
      </w:pPr>
    </w:lvl>
    <w:lvl w:ilvl="6">
      <w:start w:val="1"/>
      <w:numFmt w:val="decimal"/>
      <w:lvlText w:val="%7."/>
      <w:lvlJc w:val="left"/>
      <w:pPr>
        <w:tabs>
          <w:tab w:val="num" w:pos="4536"/>
        </w:tabs>
        <w:ind w:left="5103" w:hanging="567"/>
      </w:pPr>
    </w:lvl>
    <w:lvl w:ilvl="7">
      <w:start w:val="1"/>
      <w:numFmt w:val="lowerLetter"/>
      <w:lvlText w:val="%8."/>
      <w:lvlJc w:val="left"/>
      <w:pPr>
        <w:tabs>
          <w:tab w:val="num" w:pos="5103"/>
        </w:tabs>
        <w:ind w:left="5670" w:hanging="567"/>
      </w:pPr>
    </w:lvl>
    <w:lvl w:ilvl="8">
      <w:start w:val="1"/>
      <w:numFmt w:val="lowerRoman"/>
      <w:lvlText w:val="%9."/>
      <w:lvlJc w:val="right"/>
      <w:pPr>
        <w:tabs>
          <w:tab w:val="num" w:pos="5670"/>
        </w:tabs>
        <w:ind w:left="6237" w:hanging="567"/>
      </w:pPr>
    </w:lvl>
  </w:abstractNum>
  <w:abstractNum w:abstractNumId="49" w15:restartNumberingAfterBreak="0">
    <w:nsid w:val="365C328B"/>
    <w:multiLevelType w:val="hybridMultilevel"/>
    <w:tmpl w:val="CCC6652E"/>
    <w:lvl w:ilvl="0" w:tplc="A1966288">
      <w:start w:val="1"/>
      <w:numFmt w:val="bullet"/>
      <w:lvlText w:val=""/>
      <w:lvlJc w:val="left"/>
      <w:pPr>
        <w:tabs>
          <w:tab w:val="num" w:pos="1554"/>
        </w:tabs>
        <w:ind w:left="1553" w:hanging="420"/>
      </w:pPr>
      <w:rPr>
        <w:rFonts w:ascii="Symbol" w:hAnsi="Symbol" w:hint="default"/>
        <w:color w:val="222A35"/>
      </w:rPr>
    </w:lvl>
    <w:lvl w:ilvl="1" w:tplc="65086F1E">
      <w:start w:val="1"/>
      <w:numFmt w:val="bullet"/>
      <w:lvlText w:val="o"/>
      <w:lvlJc w:val="left"/>
      <w:pPr>
        <w:ind w:left="2213" w:hanging="360"/>
      </w:pPr>
      <w:rPr>
        <w:rFonts w:ascii="Courier New" w:hAnsi="Courier New" w:cs="Courier New" w:hint="default"/>
      </w:rPr>
    </w:lvl>
    <w:lvl w:ilvl="2" w:tplc="722ED016">
      <w:start w:val="1"/>
      <w:numFmt w:val="bullet"/>
      <w:lvlText w:val=""/>
      <w:lvlJc w:val="left"/>
      <w:pPr>
        <w:ind w:left="2933" w:hanging="360"/>
      </w:pPr>
      <w:rPr>
        <w:rFonts w:ascii="Wingdings" w:hAnsi="Wingdings" w:hint="default"/>
      </w:rPr>
    </w:lvl>
    <w:lvl w:ilvl="3" w:tplc="753861E0">
      <w:start w:val="1"/>
      <w:numFmt w:val="bullet"/>
      <w:lvlText w:val=""/>
      <w:lvlJc w:val="left"/>
      <w:pPr>
        <w:ind w:left="3653" w:hanging="360"/>
      </w:pPr>
      <w:rPr>
        <w:rFonts w:ascii="Symbol" w:hAnsi="Symbol" w:hint="default"/>
      </w:rPr>
    </w:lvl>
    <w:lvl w:ilvl="4" w:tplc="3C1688B6">
      <w:start w:val="1"/>
      <w:numFmt w:val="bullet"/>
      <w:lvlText w:val="o"/>
      <w:lvlJc w:val="left"/>
      <w:pPr>
        <w:ind w:left="4373" w:hanging="360"/>
      </w:pPr>
      <w:rPr>
        <w:rFonts w:ascii="Courier New" w:hAnsi="Courier New" w:cs="Courier New" w:hint="default"/>
      </w:rPr>
    </w:lvl>
    <w:lvl w:ilvl="5" w:tplc="0D3ACA2A">
      <w:start w:val="1"/>
      <w:numFmt w:val="bullet"/>
      <w:lvlText w:val=""/>
      <w:lvlJc w:val="left"/>
      <w:pPr>
        <w:ind w:left="5093" w:hanging="360"/>
      </w:pPr>
      <w:rPr>
        <w:rFonts w:ascii="Wingdings" w:hAnsi="Wingdings" w:hint="default"/>
      </w:rPr>
    </w:lvl>
    <w:lvl w:ilvl="6" w:tplc="59CAF4D4">
      <w:start w:val="1"/>
      <w:numFmt w:val="bullet"/>
      <w:lvlText w:val=""/>
      <w:lvlJc w:val="left"/>
      <w:pPr>
        <w:ind w:left="5813" w:hanging="360"/>
      </w:pPr>
      <w:rPr>
        <w:rFonts w:ascii="Symbol" w:hAnsi="Symbol" w:hint="default"/>
      </w:rPr>
    </w:lvl>
    <w:lvl w:ilvl="7" w:tplc="29C26080">
      <w:start w:val="1"/>
      <w:numFmt w:val="bullet"/>
      <w:lvlText w:val="o"/>
      <w:lvlJc w:val="left"/>
      <w:pPr>
        <w:ind w:left="6533" w:hanging="360"/>
      </w:pPr>
      <w:rPr>
        <w:rFonts w:ascii="Courier New" w:hAnsi="Courier New" w:cs="Courier New" w:hint="default"/>
      </w:rPr>
    </w:lvl>
    <w:lvl w:ilvl="8" w:tplc="9774A9D4">
      <w:start w:val="1"/>
      <w:numFmt w:val="bullet"/>
      <w:lvlText w:val=""/>
      <w:lvlJc w:val="left"/>
      <w:pPr>
        <w:ind w:left="7253" w:hanging="360"/>
      </w:pPr>
      <w:rPr>
        <w:rFonts w:ascii="Wingdings" w:hAnsi="Wingdings" w:hint="default"/>
      </w:rPr>
    </w:lvl>
  </w:abstractNum>
  <w:abstractNum w:abstractNumId="50" w15:restartNumberingAfterBreak="0">
    <w:nsid w:val="36E3527A"/>
    <w:multiLevelType w:val="hybridMultilevel"/>
    <w:tmpl w:val="842648A4"/>
    <w:lvl w:ilvl="0" w:tplc="04090015">
      <w:start w:val="1"/>
      <w:numFmt w:val="upperLetter"/>
      <w:lvlText w:val="%1."/>
      <w:lvlJc w:val="left"/>
      <w:pPr>
        <w:tabs>
          <w:tab w:val="num" w:pos="1134"/>
        </w:tabs>
        <w:ind w:left="1134" w:hanging="567"/>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8986DAF"/>
    <w:multiLevelType w:val="hybridMultilevel"/>
    <w:tmpl w:val="3922590A"/>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449C47A0"/>
    <w:multiLevelType w:val="hybridMultilevel"/>
    <w:tmpl w:val="32403582"/>
    <w:lvl w:ilvl="0" w:tplc="EF3C711C">
      <w:start w:val="1"/>
      <w:numFmt w:val="decimal"/>
      <w:lvlText w:val="%1."/>
      <w:lvlJc w:val="left"/>
      <w:pPr>
        <w:ind w:left="720" w:hanging="360"/>
      </w:pPr>
    </w:lvl>
    <w:lvl w:ilvl="1" w:tplc="B72CBA30" w:tentative="1">
      <w:start w:val="1"/>
      <w:numFmt w:val="lowerLetter"/>
      <w:lvlText w:val="%2."/>
      <w:lvlJc w:val="left"/>
      <w:pPr>
        <w:ind w:left="1440" w:hanging="360"/>
      </w:pPr>
    </w:lvl>
    <w:lvl w:ilvl="2" w:tplc="49F0FAC8" w:tentative="1">
      <w:start w:val="1"/>
      <w:numFmt w:val="lowerRoman"/>
      <w:lvlText w:val="%3."/>
      <w:lvlJc w:val="right"/>
      <w:pPr>
        <w:ind w:left="2160" w:hanging="180"/>
      </w:pPr>
    </w:lvl>
    <w:lvl w:ilvl="3" w:tplc="61BE3C56" w:tentative="1">
      <w:start w:val="1"/>
      <w:numFmt w:val="decimal"/>
      <w:lvlText w:val="%4."/>
      <w:lvlJc w:val="left"/>
      <w:pPr>
        <w:ind w:left="2880" w:hanging="360"/>
      </w:pPr>
    </w:lvl>
    <w:lvl w:ilvl="4" w:tplc="0FC2EABC" w:tentative="1">
      <w:start w:val="1"/>
      <w:numFmt w:val="lowerLetter"/>
      <w:lvlText w:val="%5."/>
      <w:lvlJc w:val="left"/>
      <w:pPr>
        <w:ind w:left="3600" w:hanging="360"/>
      </w:pPr>
    </w:lvl>
    <w:lvl w:ilvl="5" w:tplc="D758EDF2" w:tentative="1">
      <w:start w:val="1"/>
      <w:numFmt w:val="lowerRoman"/>
      <w:lvlText w:val="%6."/>
      <w:lvlJc w:val="right"/>
      <w:pPr>
        <w:ind w:left="4320" w:hanging="180"/>
      </w:pPr>
    </w:lvl>
    <w:lvl w:ilvl="6" w:tplc="16FAB842" w:tentative="1">
      <w:start w:val="1"/>
      <w:numFmt w:val="decimal"/>
      <w:lvlText w:val="%7."/>
      <w:lvlJc w:val="left"/>
      <w:pPr>
        <w:ind w:left="5040" w:hanging="360"/>
      </w:pPr>
    </w:lvl>
    <w:lvl w:ilvl="7" w:tplc="40CE807E" w:tentative="1">
      <w:start w:val="1"/>
      <w:numFmt w:val="lowerLetter"/>
      <w:lvlText w:val="%8."/>
      <w:lvlJc w:val="left"/>
      <w:pPr>
        <w:ind w:left="5760" w:hanging="360"/>
      </w:pPr>
    </w:lvl>
    <w:lvl w:ilvl="8" w:tplc="03868978" w:tentative="1">
      <w:start w:val="1"/>
      <w:numFmt w:val="lowerRoman"/>
      <w:lvlText w:val="%9."/>
      <w:lvlJc w:val="right"/>
      <w:pPr>
        <w:ind w:left="6480" w:hanging="180"/>
      </w:pPr>
    </w:lvl>
  </w:abstractNum>
  <w:abstractNum w:abstractNumId="53" w15:restartNumberingAfterBreak="0">
    <w:nsid w:val="45576CF9"/>
    <w:multiLevelType w:val="hybridMultilevel"/>
    <w:tmpl w:val="507AB670"/>
    <w:lvl w:ilvl="0" w:tplc="627218BA">
      <w:start w:val="1"/>
      <w:numFmt w:val="decimal"/>
      <w:lvlText w:val="%1."/>
      <w:lvlJc w:val="left"/>
      <w:pPr>
        <w:ind w:left="1494" w:hanging="360"/>
      </w:pPr>
      <w:rPr>
        <w:rFonts w:hint="default"/>
      </w:rPr>
    </w:lvl>
    <w:lvl w:ilvl="1" w:tplc="1A021AE8" w:tentative="1">
      <w:start w:val="1"/>
      <w:numFmt w:val="lowerLetter"/>
      <w:lvlText w:val="%2."/>
      <w:lvlJc w:val="left"/>
      <w:pPr>
        <w:ind w:left="2214" w:hanging="360"/>
      </w:pPr>
    </w:lvl>
    <w:lvl w:ilvl="2" w:tplc="7A44094E" w:tentative="1">
      <w:start w:val="1"/>
      <w:numFmt w:val="lowerRoman"/>
      <w:lvlText w:val="%3."/>
      <w:lvlJc w:val="right"/>
      <w:pPr>
        <w:ind w:left="2934" w:hanging="180"/>
      </w:pPr>
    </w:lvl>
    <w:lvl w:ilvl="3" w:tplc="582E5BBC" w:tentative="1">
      <w:start w:val="1"/>
      <w:numFmt w:val="decimal"/>
      <w:lvlText w:val="%4."/>
      <w:lvlJc w:val="left"/>
      <w:pPr>
        <w:ind w:left="3654" w:hanging="360"/>
      </w:pPr>
    </w:lvl>
    <w:lvl w:ilvl="4" w:tplc="B078950C" w:tentative="1">
      <w:start w:val="1"/>
      <w:numFmt w:val="lowerLetter"/>
      <w:lvlText w:val="%5."/>
      <w:lvlJc w:val="left"/>
      <w:pPr>
        <w:ind w:left="4374" w:hanging="360"/>
      </w:pPr>
    </w:lvl>
    <w:lvl w:ilvl="5" w:tplc="915E5E7A" w:tentative="1">
      <w:start w:val="1"/>
      <w:numFmt w:val="lowerRoman"/>
      <w:lvlText w:val="%6."/>
      <w:lvlJc w:val="right"/>
      <w:pPr>
        <w:ind w:left="5094" w:hanging="180"/>
      </w:pPr>
    </w:lvl>
    <w:lvl w:ilvl="6" w:tplc="FD4CDA54" w:tentative="1">
      <w:start w:val="1"/>
      <w:numFmt w:val="decimal"/>
      <w:lvlText w:val="%7."/>
      <w:lvlJc w:val="left"/>
      <w:pPr>
        <w:ind w:left="5814" w:hanging="360"/>
      </w:pPr>
    </w:lvl>
    <w:lvl w:ilvl="7" w:tplc="78E8D1A4" w:tentative="1">
      <w:start w:val="1"/>
      <w:numFmt w:val="lowerLetter"/>
      <w:lvlText w:val="%8."/>
      <w:lvlJc w:val="left"/>
      <w:pPr>
        <w:ind w:left="6534" w:hanging="360"/>
      </w:pPr>
    </w:lvl>
    <w:lvl w:ilvl="8" w:tplc="37FAC07A" w:tentative="1">
      <w:start w:val="1"/>
      <w:numFmt w:val="lowerRoman"/>
      <w:lvlText w:val="%9."/>
      <w:lvlJc w:val="right"/>
      <w:pPr>
        <w:ind w:left="7254" w:hanging="180"/>
      </w:pPr>
    </w:lvl>
  </w:abstractNum>
  <w:abstractNum w:abstractNumId="54" w15:restartNumberingAfterBreak="0">
    <w:nsid w:val="477C3617"/>
    <w:multiLevelType w:val="multilevel"/>
    <w:tmpl w:val="0A3868A6"/>
    <w:lvl w:ilvl="0">
      <w:start w:val="2"/>
      <w:numFmt w:val="decimal"/>
      <w:lvlText w:val="%1."/>
      <w:lvlJc w:val="left"/>
      <w:pPr>
        <w:ind w:left="567" w:hanging="567"/>
      </w:pPr>
      <w:rPr>
        <w:rFonts w:ascii="Tahoma" w:hAnsi="Tahoma" w:cs="Tahoma" w:hint="default"/>
      </w:rPr>
    </w:lvl>
    <w:lvl w:ilvl="1">
      <w:start w:val="3"/>
      <w:numFmt w:val="decimal"/>
      <w:lvlText w:val="%1.%2."/>
      <w:lvlJc w:val="left"/>
      <w:pPr>
        <w:ind w:left="1134" w:hanging="567"/>
      </w:pPr>
      <w:rPr>
        <w:rFonts w:hint="default"/>
        <w:color w:val="222A35"/>
      </w:rPr>
    </w:lvl>
    <w:lvl w:ilvl="2">
      <w:start w:val="1"/>
      <w:numFmt w:val="decimal"/>
      <w:lvlText w:val="%1.%2.%3."/>
      <w:lvlJc w:val="left"/>
      <w:pPr>
        <w:ind w:left="1701" w:hanging="567"/>
      </w:pPr>
      <w:rPr>
        <w:rFonts w:hint="default"/>
        <w:b w:val="0"/>
        <w:bCs w:val="0"/>
        <w:lang w:bidi="he-IL"/>
      </w:rPr>
    </w:lvl>
    <w:lvl w:ilvl="3">
      <w:start w:val="1"/>
      <w:numFmt w:val="decimal"/>
      <w:lvlText w:val=".%2.%3.%4."/>
      <w:lvlJc w:val="left"/>
      <w:pPr>
        <w:ind w:left="2268" w:hanging="567"/>
      </w:pPr>
      <w:rPr>
        <w:rFonts w:hint="default"/>
        <w:b/>
        <w:bCs/>
      </w:rPr>
    </w:lvl>
    <w:lvl w:ilvl="4">
      <w:start w:val="1"/>
      <w:numFmt w:val="hebrew1"/>
      <w:suff w:val="space"/>
      <w:lvlText w:val="(%5)"/>
      <w:lvlJc w:val="left"/>
      <w:pPr>
        <w:ind w:left="2835" w:hanging="567"/>
      </w:pPr>
      <w:rPr>
        <w:rFonts w:ascii="Tahoma" w:hAnsi="Tahoma" w:cs="Tahoma" w:hint="default"/>
        <w:b/>
        <w:bCs/>
        <w:i w:val="0"/>
        <w:iCs w:val="0"/>
        <w:color w:val="auto"/>
        <w:sz w:val="20"/>
        <w:szCs w:val="20"/>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5" w15:restartNumberingAfterBreak="0">
    <w:nsid w:val="4DEE71CE"/>
    <w:multiLevelType w:val="multilevel"/>
    <w:tmpl w:val="3D5E9092"/>
    <w:lvl w:ilvl="0">
      <w:start w:val="4"/>
      <w:numFmt w:val="decimal"/>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b w:val="0"/>
        <w:bCs w:val="0"/>
        <w:color w:val="auto"/>
      </w:rPr>
    </w:lvl>
    <w:lvl w:ilvl="2">
      <w:start w:val="1"/>
      <w:numFmt w:val="decimal"/>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2835"/>
        </w:tabs>
        <w:ind w:left="2835" w:hanging="567"/>
      </w:pPr>
      <w:rPr>
        <w:rFonts w:hint="default"/>
      </w:rPr>
    </w:lvl>
    <w:lvl w:ilvl="5">
      <w:start w:val="1"/>
      <w:numFmt w:val="decimal"/>
      <w:lvlText w:val="%1.%2.%3.%4.%5.%6."/>
      <w:lvlJc w:val="left"/>
      <w:pPr>
        <w:tabs>
          <w:tab w:val="num" w:pos="3402"/>
        </w:tabs>
        <w:ind w:left="3402" w:hanging="567"/>
      </w:pPr>
      <w:rPr>
        <w:rFonts w:hint="default"/>
      </w:rPr>
    </w:lvl>
    <w:lvl w:ilvl="6">
      <w:start w:val="1"/>
      <w:numFmt w:val="decimal"/>
      <w:lvlText w:val="%1.%2.%3.%4.%5.%6.%7."/>
      <w:lvlJc w:val="left"/>
      <w:pPr>
        <w:tabs>
          <w:tab w:val="num" w:pos="3969"/>
        </w:tabs>
        <w:ind w:left="3969" w:hanging="567"/>
      </w:pPr>
      <w:rPr>
        <w:rFonts w:hint="default"/>
      </w:rPr>
    </w:lvl>
    <w:lvl w:ilvl="7">
      <w:start w:val="1"/>
      <w:numFmt w:val="decimal"/>
      <w:lvlText w:val="%1.%2.%3.%4.%5.%6.%7.%8."/>
      <w:lvlJc w:val="left"/>
      <w:pPr>
        <w:tabs>
          <w:tab w:val="num" w:pos="4536"/>
        </w:tabs>
        <w:ind w:left="4536" w:hanging="567"/>
      </w:pPr>
      <w:rPr>
        <w:rFonts w:hint="default"/>
      </w:rPr>
    </w:lvl>
    <w:lvl w:ilvl="8">
      <w:start w:val="1"/>
      <w:numFmt w:val="decimal"/>
      <w:lvlText w:val="%1.%2.%3.%4.%5.%6.%7.%8.%9."/>
      <w:lvlJc w:val="left"/>
      <w:pPr>
        <w:tabs>
          <w:tab w:val="num" w:pos="5103"/>
        </w:tabs>
        <w:ind w:left="5103" w:hanging="567"/>
      </w:pPr>
      <w:rPr>
        <w:rFonts w:hint="default"/>
      </w:rPr>
    </w:lvl>
  </w:abstractNum>
  <w:abstractNum w:abstractNumId="56" w15:restartNumberingAfterBreak="0">
    <w:nsid w:val="4ECB0DDE"/>
    <w:multiLevelType w:val="hybridMultilevel"/>
    <w:tmpl w:val="186A11FE"/>
    <w:lvl w:ilvl="0" w:tplc="04090015">
      <w:start w:val="1"/>
      <w:numFmt w:val="upp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57" w15:restartNumberingAfterBreak="0">
    <w:nsid w:val="4F7F7359"/>
    <w:multiLevelType w:val="multilevel"/>
    <w:tmpl w:val="B016E4A8"/>
    <w:lvl w:ilvl="0">
      <w:start w:val="1"/>
      <w:numFmt w:val="decimal"/>
      <w:lvlText w:val="(%1)"/>
      <w:lvlJc w:val="left"/>
      <w:pPr>
        <w:tabs>
          <w:tab w:val="num" w:pos="567"/>
        </w:tabs>
        <w:ind w:left="567" w:hanging="567"/>
      </w:pPr>
    </w:lvl>
    <w:lvl w:ilvl="1">
      <w:start w:val="1"/>
      <w:numFmt w:val="lowerLetter"/>
      <w:lvlText w:val="(%2)"/>
      <w:lvlJc w:val="left"/>
      <w:pPr>
        <w:ind w:left="927" w:hanging="360"/>
      </w:pPr>
      <w:rPr>
        <w:rFonts w:hint="default"/>
        <w:sz w:val="21"/>
      </w:r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103"/>
        </w:tabs>
        <w:ind w:left="5103" w:hanging="567"/>
      </w:pPr>
    </w:lvl>
  </w:abstractNum>
  <w:abstractNum w:abstractNumId="58" w15:restartNumberingAfterBreak="0">
    <w:nsid w:val="514B7903"/>
    <w:multiLevelType w:val="multilevel"/>
    <w:tmpl w:val="7EB8DAC6"/>
    <w:lvl w:ilvl="0">
      <w:start w:val="1"/>
      <w:numFmt w:val="upperLetter"/>
      <w:lvlText w:val="%1."/>
      <w:lvlJc w:val="left"/>
      <w:pPr>
        <w:tabs>
          <w:tab w:val="num" w:pos="1134"/>
        </w:tabs>
        <w:ind w:left="1701" w:hanging="567"/>
      </w:pPr>
      <w:rPr>
        <w:rFonts w:hint="default"/>
        <w:b w:val="0"/>
        <w:bCs w:val="0"/>
        <w:i w:val="0"/>
        <w:iCs w:val="0"/>
        <w:sz w:val="20"/>
        <w:szCs w:val="20"/>
      </w:rPr>
    </w:lvl>
    <w:lvl w:ilvl="1">
      <w:start w:val="3"/>
      <w:numFmt w:val="decimal"/>
      <w:lvlText w:val="%2."/>
      <w:lvlJc w:val="left"/>
      <w:pPr>
        <w:tabs>
          <w:tab w:val="num" w:pos="2268"/>
        </w:tabs>
        <w:ind w:left="2268" w:hanging="567"/>
      </w:pPr>
      <w:rPr>
        <w:rFonts w:hint="default"/>
      </w:rPr>
    </w:lvl>
    <w:lvl w:ilvl="2">
      <w:start w:val="1"/>
      <w:numFmt w:val="hebrew1"/>
      <w:lvlText w:val="%3."/>
      <w:lvlJc w:val="left"/>
      <w:pPr>
        <w:tabs>
          <w:tab w:val="num" w:pos="2835"/>
        </w:tabs>
        <w:ind w:left="2835" w:hanging="56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9" w15:restartNumberingAfterBreak="0">
    <w:nsid w:val="5E814D88"/>
    <w:multiLevelType w:val="hybridMultilevel"/>
    <w:tmpl w:val="46382B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B136A9"/>
    <w:multiLevelType w:val="multilevel"/>
    <w:tmpl w:val="946A34B4"/>
    <w:lvl w:ilvl="0">
      <w:start w:val="1"/>
      <w:numFmt w:val="hebrew1"/>
      <w:lvlText w:val="%1."/>
      <w:lvlJc w:val="center"/>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sz w:val="20"/>
        <w:szCs w:val="20"/>
        <w:lang w:val="en-US" w:bidi="he-IL"/>
      </w:rPr>
    </w:lvl>
    <w:lvl w:ilvl="2">
      <w:start w:val="1"/>
      <w:numFmt w:val="hebrew1"/>
      <w:lvlText w:val="%1.%2.%3."/>
      <w:lvlJc w:val="center"/>
      <w:pPr>
        <w:ind w:left="1701" w:hanging="567"/>
      </w:pPr>
      <w:rPr>
        <w:rFonts w:hint="default"/>
      </w:rPr>
    </w:lvl>
    <w:lvl w:ilvl="3">
      <w:start w:val="1"/>
      <w:numFmt w:val="decimal"/>
      <w:lvlText w:val="%1.%2.%3.%4."/>
      <w:lvlJc w:val="center"/>
      <w:pPr>
        <w:ind w:left="2268" w:hanging="567"/>
      </w:pPr>
      <w:rPr>
        <w:rFonts w:hint="default"/>
      </w:rPr>
    </w:lvl>
    <w:lvl w:ilvl="4">
      <w:start w:val="1"/>
      <w:numFmt w:val="hebrew1"/>
      <w:lvlText w:val="%1.%2.%3.%4.%5."/>
      <w:lvlJc w:val="center"/>
      <w:pPr>
        <w:ind w:left="2835" w:hanging="567"/>
      </w:pPr>
      <w:rPr>
        <w:rFonts w:hint="default"/>
      </w:rPr>
    </w:lvl>
    <w:lvl w:ilvl="5">
      <w:start w:val="1"/>
      <w:numFmt w:val="decimal"/>
      <w:lvlText w:val="%1.%2.%3.%4.%5.%6."/>
      <w:lvlJc w:val="center"/>
      <w:pPr>
        <w:ind w:left="3402" w:hanging="567"/>
      </w:pPr>
      <w:rPr>
        <w:rFonts w:hint="default"/>
      </w:rPr>
    </w:lvl>
    <w:lvl w:ilvl="6">
      <w:start w:val="1"/>
      <w:numFmt w:val="hebrew1"/>
      <w:lvlText w:val="%1.%2.%3.%4.%5.%6.%7."/>
      <w:lvlJc w:val="center"/>
      <w:pPr>
        <w:ind w:left="3969" w:hanging="567"/>
      </w:pPr>
      <w:rPr>
        <w:rFonts w:hint="default"/>
      </w:rPr>
    </w:lvl>
    <w:lvl w:ilvl="7">
      <w:start w:val="1"/>
      <w:numFmt w:val="decimal"/>
      <w:lvlText w:val="%1.%2.%3.%4.%5.%6.%7.%8."/>
      <w:lvlJc w:val="center"/>
      <w:pPr>
        <w:ind w:left="4536" w:hanging="567"/>
      </w:pPr>
      <w:rPr>
        <w:rFonts w:hint="default"/>
      </w:rPr>
    </w:lvl>
    <w:lvl w:ilvl="8">
      <w:start w:val="1"/>
      <w:numFmt w:val="hebrew1"/>
      <w:lvlText w:val="%1.%2.%3.%4.%5.%6.%7.%8.%9."/>
      <w:lvlJc w:val="center"/>
      <w:pPr>
        <w:ind w:left="5103" w:hanging="567"/>
      </w:pPr>
      <w:rPr>
        <w:rFonts w:hint="default"/>
      </w:rPr>
    </w:lvl>
  </w:abstractNum>
  <w:abstractNum w:abstractNumId="61" w15:restartNumberingAfterBreak="0">
    <w:nsid w:val="692A4321"/>
    <w:multiLevelType w:val="hybridMultilevel"/>
    <w:tmpl w:val="0F6059BE"/>
    <w:lvl w:ilvl="0" w:tplc="18B889A0">
      <w:start w:val="1"/>
      <w:numFmt w:val="decimal"/>
      <w:lvlText w:val="(%1)"/>
      <w:lvlJc w:val="left"/>
      <w:pPr>
        <w:ind w:left="720" w:hanging="360"/>
      </w:pPr>
      <w:rPr>
        <w:rFonts w:hint="default"/>
      </w:rPr>
    </w:lvl>
    <w:lvl w:ilvl="1" w:tplc="244E3B7E" w:tentative="1">
      <w:start w:val="1"/>
      <w:numFmt w:val="lowerLetter"/>
      <w:lvlText w:val="%2."/>
      <w:lvlJc w:val="left"/>
      <w:pPr>
        <w:ind w:left="1440" w:hanging="360"/>
      </w:pPr>
    </w:lvl>
    <w:lvl w:ilvl="2" w:tplc="9E0250BC" w:tentative="1">
      <w:start w:val="1"/>
      <w:numFmt w:val="lowerRoman"/>
      <w:lvlText w:val="%3."/>
      <w:lvlJc w:val="right"/>
      <w:pPr>
        <w:ind w:left="2160" w:hanging="180"/>
      </w:pPr>
    </w:lvl>
    <w:lvl w:ilvl="3" w:tplc="8D80CEBA" w:tentative="1">
      <w:start w:val="1"/>
      <w:numFmt w:val="decimal"/>
      <w:lvlText w:val="%4."/>
      <w:lvlJc w:val="left"/>
      <w:pPr>
        <w:ind w:left="2880" w:hanging="360"/>
      </w:pPr>
    </w:lvl>
    <w:lvl w:ilvl="4" w:tplc="610A4272" w:tentative="1">
      <w:start w:val="1"/>
      <w:numFmt w:val="lowerLetter"/>
      <w:lvlText w:val="%5."/>
      <w:lvlJc w:val="left"/>
      <w:pPr>
        <w:ind w:left="3600" w:hanging="360"/>
      </w:pPr>
    </w:lvl>
    <w:lvl w:ilvl="5" w:tplc="676C3B58" w:tentative="1">
      <w:start w:val="1"/>
      <w:numFmt w:val="lowerRoman"/>
      <w:lvlText w:val="%6."/>
      <w:lvlJc w:val="right"/>
      <w:pPr>
        <w:ind w:left="4320" w:hanging="180"/>
      </w:pPr>
    </w:lvl>
    <w:lvl w:ilvl="6" w:tplc="F2AC6268" w:tentative="1">
      <w:start w:val="1"/>
      <w:numFmt w:val="decimal"/>
      <w:lvlText w:val="%7."/>
      <w:lvlJc w:val="left"/>
      <w:pPr>
        <w:ind w:left="5040" w:hanging="360"/>
      </w:pPr>
    </w:lvl>
    <w:lvl w:ilvl="7" w:tplc="A1CEF8BC" w:tentative="1">
      <w:start w:val="1"/>
      <w:numFmt w:val="lowerLetter"/>
      <w:lvlText w:val="%8."/>
      <w:lvlJc w:val="left"/>
      <w:pPr>
        <w:ind w:left="5760" w:hanging="360"/>
      </w:pPr>
    </w:lvl>
    <w:lvl w:ilvl="8" w:tplc="E70A1F20" w:tentative="1">
      <w:start w:val="1"/>
      <w:numFmt w:val="lowerRoman"/>
      <w:lvlText w:val="%9."/>
      <w:lvlJc w:val="right"/>
      <w:pPr>
        <w:ind w:left="6480" w:hanging="180"/>
      </w:pPr>
    </w:lvl>
  </w:abstractNum>
  <w:abstractNum w:abstractNumId="62" w15:restartNumberingAfterBreak="0">
    <w:nsid w:val="70BD4714"/>
    <w:multiLevelType w:val="hybridMultilevel"/>
    <w:tmpl w:val="28C45D02"/>
    <w:lvl w:ilvl="0" w:tplc="2000000F">
      <w:start w:val="1"/>
      <w:numFmt w:val="decimal"/>
      <w:lvlText w:val="%1."/>
      <w:lvlJc w:val="left"/>
      <w:pPr>
        <w:ind w:left="1146" w:hanging="360"/>
      </w:p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63" w15:restartNumberingAfterBreak="0">
    <w:nsid w:val="713B249B"/>
    <w:multiLevelType w:val="multilevel"/>
    <w:tmpl w:val="C1DA56A6"/>
    <w:lvl w:ilvl="0">
      <w:start w:val="3"/>
      <w:numFmt w:val="decimal"/>
      <w:lvlText w:val="%1."/>
      <w:lvlJc w:val="left"/>
      <w:pPr>
        <w:tabs>
          <w:tab w:val="num" w:pos="567"/>
        </w:tabs>
        <w:ind w:left="567" w:hanging="567"/>
      </w:pPr>
      <w:rPr>
        <w:rFonts w:hint="default"/>
      </w:rPr>
    </w:lvl>
    <w:lvl w:ilvl="1">
      <w:start w:val="6"/>
      <w:numFmt w:val="decimal"/>
      <w:lvlText w:val="%1.10."/>
      <w:lvlJc w:val="left"/>
      <w:pPr>
        <w:tabs>
          <w:tab w:val="num" w:pos="1134"/>
        </w:tabs>
        <w:ind w:left="1134" w:hanging="567"/>
      </w:pPr>
      <w:rPr>
        <w:rFonts w:hint="default"/>
        <w:color w:val="auto"/>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4" w15:restartNumberingAfterBreak="0">
    <w:nsid w:val="71AA44DA"/>
    <w:multiLevelType w:val="multilevel"/>
    <w:tmpl w:val="D11214D6"/>
    <w:lvl w:ilvl="0">
      <w:start w:val="3"/>
      <w:numFmt w:val="decimal"/>
      <w:lvlText w:val="%1."/>
      <w:lvlJc w:val="left"/>
      <w:pPr>
        <w:tabs>
          <w:tab w:val="num" w:pos="567"/>
        </w:tabs>
        <w:ind w:left="567" w:hanging="567"/>
      </w:pPr>
      <w:rPr>
        <w:rFonts w:hint="default"/>
      </w:rPr>
    </w:lvl>
    <w:lvl w:ilvl="1">
      <w:start w:val="6"/>
      <w:numFmt w:val="decimal"/>
      <w:lvlText w:val="%1.8."/>
      <w:lvlJc w:val="left"/>
      <w:pPr>
        <w:tabs>
          <w:tab w:val="num" w:pos="1134"/>
        </w:tabs>
        <w:ind w:left="1134" w:hanging="567"/>
      </w:pPr>
      <w:rPr>
        <w:rFonts w:hint="default"/>
        <w:color w:val="222A35"/>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5" w15:restartNumberingAfterBreak="0">
    <w:nsid w:val="74CA351E"/>
    <w:multiLevelType w:val="multilevel"/>
    <w:tmpl w:val="BEFA0F42"/>
    <w:lvl w:ilvl="0">
      <w:start w:val="18"/>
      <w:numFmt w:val="lowerLetter"/>
      <w:lvlText w:val="%1."/>
      <w:lvlJc w:val="left"/>
      <w:pPr>
        <w:tabs>
          <w:tab w:val="num" w:pos="1701"/>
        </w:tabs>
        <w:ind w:left="1701" w:hanging="567"/>
      </w:pPr>
      <w:rPr>
        <w:rFonts w:cs="Times New Roman"/>
      </w:rPr>
    </w:lvl>
    <w:lvl w:ilvl="1">
      <w:start w:val="1"/>
      <w:numFmt w:val="decimal"/>
      <w:lvlText w:val="%2."/>
      <w:lvlJc w:val="left"/>
      <w:pPr>
        <w:tabs>
          <w:tab w:val="num" w:pos="2268"/>
        </w:tabs>
        <w:ind w:left="2268" w:hanging="567"/>
      </w:pPr>
      <w:rPr>
        <w:rFonts w:cs="Times New Roman"/>
      </w:rPr>
    </w:lvl>
    <w:lvl w:ilvl="2">
      <w:start w:val="1"/>
      <w:numFmt w:val="decimal"/>
      <w:lvlText w:val="%3."/>
      <w:lvlJc w:val="left"/>
      <w:pPr>
        <w:tabs>
          <w:tab w:val="num" w:pos="2835"/>
        </w:tabs>
        <w:ind w:left="2835" w:hanging="397"/>
      </w:pPr>
      <w:rPr>
        <w:rFonts w:cs="Times New Roman"/>
      </w:rPr>
    </w:lvl>
    <w:lvl w:ilvl="3">
      <w:start w:val="1"/>
      <w:numFmt w:val="decimal"/>
      <w:lvlText w:val="%4."/>
      <w:lvlJc w:val="left"/>
      <w:pPr>
        <w:ind w:left="3402" w:hanging="567"/>
      </w:pPr>
      <w:rPr>
        <w:rFonts w:cs="Times New Roman"/>
      </w:rPr>
    </w:lvl>
    <w:lvl w:ilvl="4">
      <w:start w:val="1"/>
      <w:numFmt w:val="lowerLetter"/>
      <w:lvlText w:val="%5."/>
      <w:lvlJc w:val="left"/>
      <w:pPr>
        <w:ind w:left="3969" w:hanging="567"/>
      </w:pPr>
      <w:rPr>
        <w:rFonts w:cs="Times New Roman"/>
      </w:rPr>
    </w:lvl>
    <w:lvl w:ilvl="5">
      <w:start w:val="1"/>
      <w:numFmt w:val="lowerRoman"/>
      <w:lvlText w:val="%6."/>
      <w:lvlJc w:val="right"/>
      <w:pPr>
        <w:ind w:left="4536" w:hanging="567"/>
      </w:pPr>
      <w:rPr>
        <w:rFonts w:cs="Times New Roman"/>
      </w:rPr>
    </w:lvl>
    <w:lvl w:ilvl="6">
      <w:start w:val="1"/>
      <w:numFmt w:val="decimal"/>
      <w:lvlText w:val="%7."/>
      <w:lvlJc w:val="left"/>
      <w:pPr>
        <w:ind w:left="5103" w:hanging="567"/>
      </w:pPr>
      <w:rPr>
        <w:rFonts w:cs="Times New Roman"/>
      </w:rPr>
    </w:lvl>
    <w:lvl w:ilvl="7">
      <w:start w:val="1"/>
      <w:numFmt w:val="lowerLetter"/>
      <w:lvlText w:val="%8."/>
      <w:lvlJc w:val="left"/>
      <w:pPr>
        <w:ind w:left="5670" w:hanging="567"/>
      </w:pPr>
      <w:rPr>
        <w:rFonts w:cs="Times New Roman"/>
      </w:rPr>
    </w:lvl>
    <w:lvl w:ilvl="8">
      <w:start w:val="1"/>
      <w:numFmt w:val="lowerRoman"/>
      <w:lvlText w:val="%9."/>
      <w:lvlJc w:val="right"/>
      <w:pPr>
        <w:ind w:left="6237" w:hanging="567"/>
      </w:pPr>
      <w:rPr>
        <w:rFonts w:cs="Times New Roman"/>
      </w:rPr>
    </w:lvl>
  </w:abstractNum>
  <w:abstractNum w:abstractNumId="66" w15:restartNumberingAfterBreak="0">
    <w:nsid w:val="755F07AB"/>
    <w:multiLevelType w:val="hybridMultilevel"/>
    <w:tmpl w:val="5D70E922"/>
    <w:lvl w:ilvl="0" w:tplc="51A23B2E">
      <w:start w:val="1"/>
      <w:numFmt w:val="hebrew1"/>
      <w:lvlText w:val="%1."/>
      <w:lvlJc w:val="left"/>
      <w:pPr>
        <w:ind w:left="720" w:hanging="360"/>
      </w:pPr>
    </w:lvl>
    <w:lvl w:ilvl="1" w:tplc="B09CBBD6">
      <w:start w:val="1"/>
      <w:numFmt w:val="lowerLetter"/>
      <w:lvlText w:val="%2."/>
      <w:lvlJc w:val="left"/>
      <w:pPr>
        <w:ind w:left="1440" w:hanging="360"/>
      </w:pPr>
    </w:lvl>
    <w:lvl w:ilvl="2" w:tplc="A06E2A78">
      <w:start w:val="1"/>
      <w:numFmt w:val="lowerRoman"/>
      <w:lvlText w:val="%3."/>
      <w:lvlJc w:val="right"/>
      <w:pPr>
        <w:ind w:left="2160" w:hanging="180"/>
      </w:pPr>
    </w:lvl>
    <w:lvl w:ilvl="3" w:tplc="B0DC9102">
      <w:start w:val="1"/>
      <w:numFmt w:val="decimal"/>
      <w:lvlText w:val="%4."/>
      <w:lvlJc w:val="left"/>
      <w:pPr>
        <w:ind w:left="2880" w:hanging="360"/>
      </w:pPr>
    </w:lvl>
    <w:lvl w:ilvl="4" w:tplc="796231B4">
      <w:start w:val="1"/>
      <w:numFmt w:val="lowerLetter"/>
      <w:lvlText w:val="%5."/>
      <w:lvlJc w:val="left"/>
      <w:pPr>
        <w:ind w:left="3600" w:hanging="360"/>
      </w:pPr>
    </w:lvl>
    <w:lvl w:ilvl="5" w:tplc="424A6C1A">
      <w:start w:val="1"/>
      <w:numFmt w:val="lowerRoman"/>
      <w:lvlText w:val="%6."/>
      <w:lvlJc w:val="right"/>
      <w:pPr>
        <w:ind w:left="4320" w:hanging="180"/>
      </w:pPr>
    </w:lvl>
    <w:lvl w:ilvl="6" w:tplc="A328E514">
      <w:start w:val="1"/>
      <w:numFmt w:val="decimal"/>
      <w:lvlText w:val="%7."/>
      <w:lvlJc w:val="left"/>
      <w:pPr>
        <w:ind w:left="5040" w:hanging="360"/>
      </w:pPr>
    </w:lvl>
    <w:lvl w:ilvl="7" w:tplc="E8A24826">
      <w:start w:val="1"/>
      <w:numFmt w:val="lowerLetter"/>
      <w:lvlText w:val="%8."/>
      <w:lvlJc w:val="left"/>
      <w:pPr>
        <w:ind w:left="5760" w:hanging="360"/>
      </w:pPr>
    </w:lvl>
    <w:lvl w:ilvl="8" w:tplc="6958E808">
      <w:start w:val="1"/>
      <w:numFmt w:val="lowerRoman"/>
      <w:lvlText w:val="%9."/>
      <w:lvlJc w:val="right"/>
      <w:pPr>
        <w:ind w:left="6480" w:hanging="180"/>
      </w:pPr>
    </w:lvl>
  </w:abstractNum>
  <w:abstractNum w:abstractNumId="67" w15:restartNumberingAfterBreak="0">
    <w:nsid w:val="792EB918"/>
    <w:multiLevelType w:val="multilevel"/>
    <w:tmpl w:val="0A3868A6"/>
    <w:lvl w:ilvl="0">
      <w:start w:val="2"/>
      <w:numFmt w:val="decimal"/>
      <w:lvlText w:val="%1."/>
      <w:lvlJc w:val="left"/>
      <w:pPr>
        <w:ind w:left="567" w:hanging="567"/>
      </w:pPr>
      <w:rPr>
        <w:rFonts w:ascii="Tahoma" w:hAnsi="Tahoma" w:cs="Tahoma" w:hint="default"/>
      </w:rPr>
    </w:lvl>
    <w:lvl w:ilvl="1">
      <w:start w:val="3"/>
      <w:numFmt w:val="decimal"/>
      <w:lvlText w:val="%1.%2."/>
      <w:lvlJc w:val="left"/>
      <w:pPr>
        <w:ind w:left="1134" w:hanging="567"/>
      </w:pPr>
      <w:rPr>
        <w:rFonts w:hint="default"/>
        <w:color w:val="222A35"/>
      </w:rPr>
    </w:lvl>
    <w:lvl w:ilvl="2">
      <w:start w:val="1"/>
      <w:numFmt w:val="decimal"/>
      <w:lvlText w:val="%1.%2.%3."/>
      <w:lvlJc w:val="left"/>
      <w:pPr>
        <w:ind w:left="1701" w:hanging="567"/>
      </w:pPr>
      <w:rPr>
        <w:rFonts w:hint="default"/>
        <w:b w:val="0"/>
        <w:bCs w:val="0"/>
        <w:lang w:bidi="he-IL"/>
      </w:rPr>
    </w:lvl>
    <w:lvl w:ilvl="3">
      <w:start w:val="1"/>
      <w:numFmt w:val="decimal"/>
      <w:lvlText w:val=".%2.%3.%4."/>
      <w:lvlJc w:val="left"/>
      <w:pPr>
        <w:ind w:left="2268" w:hanging="567"/>
      </w:pPr>
      <w:rPr>
        <w:rFonts w:hint="default"/>
        <w:b/>
        <w:bCs/>
      </w:rPr>
    </w:lvl>
    <w:lvl w:ilvl="4">
      <w:start w:val="1"/>
      <w:numFmt w:val="hebrew1"/>
      <w:suff w:val="space"/>
      <w:lvlText w:val="(%5)"/>
      <w:lvlJc w:val="left"/>
      <w:pPr>
        <w:ind w:left="2835" w:hanging="567"/>
      </w:pPr>
      <w:rPr>
        <w:rFonts w:ascii="Tahoma" w:hAnsi="Tahoma" w:cs="Tahoma" w:hint="default"/>
        <w:b/>
        <w:bCs/>
        <w:i w:val="0"/>
        <w:iCs w:val="0"/>
        <w:color w:val="auto"/>
        <w:sz w:val="20"/>
        <w:szCs w:val="20"/>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8" w15:restartNumberingAfterBreak="0">
    <w:nsid w:val="7D405879"/>
    <w:multiLevelType w:val="hybridMultilevel"/>
    <w:tmpl w:val="AD40DC18"/>
    <w:lvl w:ilvl="0" w:tplc="C2281E42">
      <w:start w:val="1"/>
      <w:numFmt w:val="lowerLetter"/>
      <w:lvlText w:val="(%1)"/>
      <w:lvlJc w:val="left"/>
      <w:pPr>
        <w:tabs>
          <w:tab w:val="num" w:pos="1134"/>
        </w:tabs>
        <w:ind w:left="1134" w:hanging="567"/>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7E82033D"/>
    <w:multiLevelType w:val="multilevel"/>
    <w:tmpl w:val="FEF6C186"/>
    <w:name w:val="Normal__4List"/>
    <w:lvl w:ilvl="0">
      <w:start w:val="1"/>
      <w:numFmt w:val="upperLetter"/>
      <w:pStyle w:val="Normal1"/>
      <w:lvlText w:val="%1."/>
      <w:lvlJc w:val="left"/>
      <w:pPr>
        <w:tabs>
          <w:tab w:val="num" w:pos="1134"/>
        </w:tabs>
        <w:ind w:left="1134" w:hanging="1134"/>
      </w:pPr>
      <w:rPr>
        <w:rFonts w:hint="default"/>
        <w:b/>
        <w:bCs/>
      </w:rPr>
    </w:lvl>
    <w:lvl w:ilvl="1">
      <w:start w:val="1"/>
      <w:numFmt w:val="decimal"/>
      <w:pStyle w:val="Normal2"/>
      <w:lvlText w:val="%2."/>
      <w:lvlJc w:val="left"/>
      <w:pPr>
        <w:tabs>
          <w:tab w:val="num" w:pos="1134"/>
        </w:tabs>
        <w:ind w:left="1134" w:hanging="1134"/>
      </w:pPr>
      <w:rPr>
        <w:rFonts w:hint="default"/>
        <w:b w:val="0"/>
        <w:bCs w:val="0"/>
      </w:rPr>
    </w:lvl>
    <w:lvl w:ilvl="2">
      <w:start w:val="1"/>
      <w:numFmt w:val="decimal"/>
      <w:pStyle w:val="Normal4"/>
      <w:lvlText w:val="%2.%3."/>
      <w:lvlJc w:val="left"/>
      <w:pPr>
        <w:tabs>
          <w:tab w:val="num" w:pos="1134"/>
        </w:tabs>
        <w:ind w:left="1134" w:hanging="1134"/>
      </w:pPr>
      <w:rPr>
        <w:rFonts w:hint="default"/>
      </w:rPr>
    </w:lvl>
    <w:lvl w:ilvl="3">
      <w:start w:val="1"/>
      <w:numFmt w:val="decimal"/>
      <w:lvlText w:val="%2.%3.%4."/>
      <w:lvlJc w:val="left"/>
      <w:pPr>
        <w:tabs>
          <w:tab w:val="num" w:pos="1134"/>
        </w:tabs>
        <w:ind w:left="1134" w:hanging="1134"/>
      </w:pPr>
      <w:rPr>
        <w:rFonts w:hint="default"/>
      </w:rPr>
    </w:lvl>
    <w:lvl w:ilvl="4">
      <w:start w:val="1"/>
      <w:numFmt w:val="lowerLetter"/>
      <w:lvlText w:val="(%5)"/>
      <w:lvlJc w:val="left"/>
      <w:pPr>
        <w:tabs>
          <w:tab w:val="num" w:pos="1134"/>
        </w:tabs>
        <w:ind w:left="1134" w:hanging="1134"/>
      </w:pPr>
      <w:rPr>
        <w:rFonts w:hint="default"/>
      </w:rPr>
    </w:lvl>
    <w:lvl w:ilvl="5">
      <w:start w:val="1"/>
      <w:numFmt w:val="lowerRoman"/>
      <w:lvlText w:val="(%6)"/>
      <w:lvlJc w:val="lef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left"/>
      <w:pPr>
        <w:tabs>
          <w:tab w:val="num" w:pos="1134"/>
        </w:tabs>
        <w:ind w:left="1134" w:hanging="1134"/>
      </w:pPr>
      <w:rPr>
        <w:rFonts w:hint="default"/>
      </w:rPr>
    </w:lvl>
  </w:abstractNum>
  <w:num w:numId="1" w16cid:durableId="373581832">
    <w:abstractNumId w:val="1"/>
  </w:num>
  <w:num w:numId="2" w16cid:durableId="506015953">
    <w:abstractNumId w:val="2"/>
  </w:num>
  <w:num w:numId="3" w16cid:durableId="461773763">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9089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948322">
    <w:abstractNumId w:val="5"/>
  </w:num>
  <w:num w:numId="6" w16cid:durableId="1809468157">
    <w:abstractNumId w:val="6"/>
  </w:num>
  <w:num w:numId="7" w16cid:durableId="14222894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7824183">
    <w:abstractNumId w:val="8"/>
  </w:num>
  <w:num w:numId="9" w16cid:durableId="1597402578">
    <w:abstractNumId w:val="9"/>
  </w:num>
  <w:num w:numId="10" w16cid:durableId="90636535">
    <w:abstractNumId w:val="10"/>
  </w:num>
  <w:num w:numId="11" w16cid:durableId="1742287090">
    <w:abstractNumId w:val="11"/>
  </w:num>
  <w:num w:numId="12" w16cid:durableId="1696038431">
    <w:abstractNumId w:val="12"/>
  </w:num>
  <w:num w:numId="13" w16cid:durableId="1083769344">
    <w:abstractNumId w:val="13"/>
  </w:num>
  <w:num w:numId="14" w16cid:durableId="1419256205">
    <w:abstractNumId w:val="14"/>
  </w:num>
  <w:num w:numId="15" w16cid:durableId="1561863272">
    <w:abstractNumId w:val="15"/>
  </w:num>
  <w:num w:numId="16" w16cid:durableId="87892990">
    <w:abstractNumId w:val="16"/>
  </w:num>
  <w:num w:numId="17" w16cid:durableId="1158109689">
    <w:abstractNumId w:val="69"/>
  </w:num>
  <w:num w:numId="18" w16cid:durableId="90971951">
    <w:abstractNumId w:val="65"/>
  </w:num>
  <w:num w:numId="19" w16cid:durableId="786461407">
    <w:abstractNumId w:val="52"/>
  </w:num>
  <w:num w:numId="20" w16cid:durableId="351076357">
    <w:abstractNumId w:val="36"/>
  </w:num>
  <w:num w:numId="21" w16cid:durableId="2060519147">
    <w:abstractNumId w:val="61"/>
  </w:num>
  <w:num w:numId="22" w16cid:durableId="1826704352">
    <w:abstractNumId w:val="34"/>
  </w:num>
  <w:num w:numId="23" w16cid:durableId="774709951">
    <w:abstractNumId w:val="44"/>
  </w:num>
  <w:num w:numId="24" w16cid:durableId="1126392062">
    <w:abstractNumId w:val="49"/>
  </w:num>
  <w:num w:numId="25" w16cid:durableId="1306009408">
    <w:abstractNumId w:val="27"/>
  </w:num>
  <w:num w:numId="26" w16cid:durableId="67692838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3333602">
    <w:abstractNumId w:val="67"/>
  </w:num>
  <w:num w:numId="28" w16cid:durableId="1555005379">
    <w:abstractNumId w:val="54"/>
  </w:num>
  <w:num w:numId="29" w16cid:durableId="1598638152">
    <w:abstractNumId w:val="47"/>
  </w:num>
  <w:num w:numId="30" w16cid:durableId="281688212">
    <w:abstractNumId w:val="28"/>
  </w:num>
  <w:num w:numId="31" w16cid:durableId="34894681">
    <w:abstractNumId w:val="28"/>
    <w:lvlOverride w:ilvl="0">
      <w:lvl w:ilvl="0">
        <w:start w:val="3"/>
        <w:numFmt w:val="none"/>
        <w:lvlText w:val=".3.1."/>
        <w:lvlJc w:val="left"/>
        <w:pPr>
          <w:tabs>
            <w:tab w:val="num" w:pos="567"/>
          </w:tabs>
          <w:ind w:left="567" w:hanging="567"/>
        </w:pPr>
        <w:rPr>
          <w:rFonts w:hint="default"/>
        </w:rPr>
      </w:lvl>
    </w:lvlOverride>
    <w:lvlOverride w:ilvl="1">
      <w:lvl w:ilvl="1">
        <w:start w:val="2"/>
        <w:numFmt w:val="decimal"/>
        <w:lvlText w:val="%1.%2."/>
        <w:lvlJc w:val="left"/>
        <w:pPr>
          <w:tabs>
            <w:tab w:val="num" w:pos="1134"/>
          </w:tabs>
          <w:ind w:left="1134" w:hanging="567"/>
        </w:pPr>
        <w:rPr>
          <w:rFonts w:hint="default"/>
          <w:color w:val="222A35"/>
        </w:rPr>
      </w:lvl>
    </w:lvlOverride>
    <w:lvlOverride w:ilvl="2">
      <w:lvl w:ilvl="2">
        <w:start w:val="1"/>
        <w:numFmt w:val="decimal"/>
        <w:lvlText w:val="%1.%2.%3."/>
        <w:lvlJc w:val="left"/>
        <w:pPr>
          <w:tabs>
            <w:tab w:val="num" w:pos="1701"/>
          </w:tabs>
          <w:ind w:left="1701" w:hanging="567"/>
        </w:pPr>
        <w:rPr>
          <w:rFonts w:hint="default"/>
        </w:rPr>
      </w:lvl>
    </w:lvlOverride>
    <w:lvlOverride w:ilvl="3">
      <w:lvl w:ilvl="3">
        <w:start w:val="1"/>
        <w:numFmt w:val="decimal"/>
        <w:lvlText w:val="%1.%2.%3.%4."/>
        <w:lvlJc w:val="left"/>
        <w:pPr>
          <w:ind w:left="2268" w:hanging="567"/>
        </w:pPr>
        <w:rPr>
          <w:rFonts w:hint="default"/>
        </w:rPr>
      </w:lvl>
    </w:lvlOverride>
    <w:lvlOverride w:ilvl="4">
      <w:lvl w:ilvl="4">
        <w:start w:val="1"/>
        <w:numFmt w:val="decimal"/>
        <w:lvlText w:val="%1.%2.%3.%4.%5."/>
        <w:lvlJc w:val="left"/>
        <w:pPr>
          <w:ind w:left="2835" w:hanging="567"/>
        </w:pPr>
        <w:rPr>
          <w:rFonts w:hint="default"/>
        </w:rPr>
      </w:lvl>
    </w:lvlOverride>
    <w:lvlOverride w:ilvl="5">
      <w:lvl w:ilvl="5">
        <w:start w:val="1"/>
        <w:numFmt w:val="decimal"/>
        <w:lvlText w:val="%1.%2.%3.%4.%5.%6."/>
        <w:lvlJc w:val="left"/>
        <w:pPr>
          <w:ind w:left="3402" w:hanging="567"/>
        </w:pPr>
        <w:rPr>
          <w:rFonts w:hint="default"/>
        </w:rPr>
      </w:lvl>
    </w:lvlOverride>
    <w:lvlOverride w:ilvl="6">
      <w:lvl w:ilvl="6">
        <w:start w:val="1"/>
        <w:numFmt w:val="decimal"/>
        <w:lvlText w:val="%1.%2.%3.%4.%5.%6.%7."/>
        <w:lvlJc w:val="left"/>
        <w:pPr>
          <w:ind w:left="3969" w:hanging="567"/>
        </w:pPr>
        <w:rPr>
          <w:rFonts w:hint="default"/>
        </w:rPr>
      </w:lvl>
    </w:lvlOverride>
    <w:lvlOverride w:ilvl="7">
      <w:lvl w:ilvl="7">
        <w:start w:val="1"/>
        <w:numFmt w:val="decimal"/>
        <w:lvlText w:val="%1.%2.%3.%4.%5.%6.%7.%8."/>
        <w:lvlJc w:val="left"/>
        <w:pPr>
          <w:ind w:left="4536" w:hanging="567"/>
        </w:pPr>
        <w:rPr>
          <w:rFonts w:hint="default"/>
        </w:rPr>
      </w:lvl>
    </w:lvlOverride>
    <w:lvlOverride w:ilvl="8">
      <w:lvl w:ilvl="8">
        <w:start w:val="1"/>
        <w:numFmt w:val="decimal"/>
        <w:lvlText w:val="%1.%2.%3.%4.%5.%6.%7.%8.%9."/>
        <w:lvlJc w:val="left"/>
        <w:pPr>
          <w:ind w:left="5103" w:hanging="567"/>
        </w:pPr>
        <w:rPr>
          <w:rFonts w:hint="default"/>
        </w:rPr>
      </w:lvl>
    </w:lvlOverride>
  </w:num>
  <w:num w:numId="32" w16cid:durableId="544954704">
    <w:abstractNumId w:val="46"/>
  </w:num>
  <w:num w:numId="33" w16cid:durableId="405610909">
    <w:abstractNumId w:val="28"/>
    <w:lvlOverride w:ilvl="0">
      <w:lvl w:ilvl="0">
        <w:start w:val="3"/>
        <w:numFmt w:val="none"/>
        <w:lvlText w:val=".3.2."/>
        <w:lvlJc w:val="left"/>
        <w:pPr>
          <w:tabs>
            <w:tab w:val="num" w:pos="567"/>
          </w:tabs>
          <w:ind w:left="567" w:hanging="567"/>
        </w:pPr>
        <w:rPr>
          <w:rFonts w:hint="default"/>
        </w:rPr>
      </w:lvl>
    </w:lvlOverride>
    <w:lvlOverride w:ilvl="1">
      <w:lvl w:ilvl="1">
        <w:start w:val="2"/>
        <w:numFmt w:val="decimal"/>
        <w:lvlText w:val="%1.%2."/>
        <w:lvlJc w:val="left"/>
        <w:pPr>
          <w:tabs>
            <w:tab w:val="num" w:pos="1134"/>
          </w:tabs>
          <w:ind w:left="1134" w:hanging="567"/>
        </w:pPr>
        <w:rPr>
          <w:rFonts w:hint="default"/>
          <w:color w:val="222A35"/>
        </w:rPr>
      </w:lvl>
    </w:lvlOverride>
    <w:lvlOverride w:ilvl="2">
      <w:lvl w:ilvl="2">
        <w:start w:val="1"/>
        <w:numFmt w:val="decimal"/>
        <w:lvlText w:val="%1.%2.%3."/>
        <w:lvlJc w:val="left"/>
        <w:pPr>
          <w:tabs>
            <w:tab w:val="num" w:pos="1701"/>
          </w:tabs>
          <w:ind w:left="1701" w:hanging="567"/>
        </w:pPr>
        <w:rPr>
          <w:rFonts w:hint="default"/>
        </w:rPr>
      </w:lvl>
    </w:lvlOverride>
    <w:lvlOverride w:ilvl="3">
      <w:lvl w:ilvl="3">
        <w:start w:val="1"/>
        <w:numFmt w:val="decimal"/>
        <w:lvlText w:val="%1.%2.%3.%4."/>
        <w:lvlJc w:val="left"/>
        <w:pPr>
          <w:ind w:left="2268" w:hanging="567"/>
        </w:pPr>
        <w:rPr>
          <w:rFonts w:hint="default"/>
        </w:rPr>
      </w:lvl>
    </w:lvlOverride>
    <w:lvlOverride w:ilvl="4">
      <w:lvl w:ilvl="4">
        <w:start w:val="1"/>
        <w:numFmt w:val="decimal"/>
        <w:lvlText w:val="%1.%2.%3.%4.%5."/>
        <w:lvlJc w:val="left"/>
        <w:pPr>
          <w:ind w:left="2835" w:hanging="567"/>
        </w:pPr>
        <w:rPr>
          <w:rFonts w:hint="default"/>
        </w:rPr>
      </w:lvl>
    </w:lvlOverride>
    <w:lvlOverride w:ilvl="5">
      <w:lvl w:ilvl="5">
        <w:start w:val="1"/>
        <w:numFmt w:val="decimal"/>
        <w:lvlText w:val="%1.%2.%3.%4.%5.%6."/>
        <w:lvlJc w:val="left"/>
        <w:pPr>
          <w:ind w:left="3402" w:hanging="567"/>
        </w:pPr>
        <w:rPr>
          <w:rFonts w:hint="default"/>
        </w:rPr>
      </w:lvl>
    </w:lvlOverride>
    <w:lvlOverride w:ilvl="6">
      <w:lvl w:ilvl="6">
        <w:start w:val="1"/>
        <w:numFmt w:val="decimal"/>
        <w:lvlText w:val="%1.%2.%3.%4.%5.%6.%7."/>
        <w:lvlJc w:val="left"/>
        <w:pPr>
          <w:ind w:left="3969" w:hanging="567"/>
        </w:pPr>
        <w:rPr>
          <w:rFonts w:hint="default"/>
        </w:rPr>
      </w:lvl>
    </w:lvlOverride>
    <w:lvlOverride w:ilvl="7">
      <w:lvl w:ilvl="7">
        <w:start w:val="1"/>
        <w:numFmt w:val="decimal"/>
        <w:lvlText w:val="%1.%2.%3.%4.%5.%6.%7.%8."/>
        <w:lvlJc w:val="left"/>
        <w:pPr>
          <w:ind w:left="4536" w:hanging="567"/>
        </w:pPr>
        <w:rPr>
          <w:rFonts w:hint="default"/>
        </w:rPr>
      </w:lvl>
    </w:lvlOverride>
    <w:lvlOverride w:ilvl="8">
      <w:lvl w:ilvl="8">
        <w:start w:val="1"/>
        <w:numFmt w:val="decimal"/>
        <w:lvlText w:val="%1.%2.%3.%4.%5.%6.%7.%8.%9."/>
        <w:lvlJc w:val="left"/>
        <w:pPr>
          <w:ind w:left="5103" w:hanging="567"/>
        </w:pPr>
        <w:rPr>
          <w:rFonts w:hint="default"/>
        </w:rPr>
      </w:lvl>
    </w:lvlOverride>
  </w:num>
  <w:num w:numId="34" w16cid:durableId="28994779">
    <w:abstractNumId w:val="45"/>
  </w:num>
  <w:num w:numId="35" w16cid:durableId="1048919705">
    <w:abstractNumId w:val="32"/>
  </w:num>
  <w:num w:numId="36" w16cid:durableId="1246456954">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9759285">
    <w:abstractNumId w:val="35"/>
  </w:num>
  <w:num w:numId="38" w16cid:durableId="909774199">
    <w:abstractNumId w:val="33"/>
  </w:num>
  <w:num w:numId="39" w16cid:durableId="1981031077">
    <w:abstractNumId w:val="64"/>
  </w:num>
  <w:num w:numId="40" w16cid:durableId="1101803184">
    <w:abstractNumId w:val="63"/>
  </w:num>
  <w:num w:numId="41" w16cid:durableId="598636637">
    <w:abstractNumId w:val="55"/>
  </w:num>
  <w:num w:numId="42" w16cid:durableId="869226132">
    <w:abstractNumId w:val="18"/>
  </w:num>
  <w:num w:numId="43" w16cid:durableId="331572419">
    <w:abstractNumId w:val="41"/>
  </w:num>
  <w:num w:numId="44" w16cid:durableId="1087921403">
    <w:abstractNumId w:val="30"/>
  </w:num>
  <w:num w:numId="45" w16cid:durableId="1337071133">
    <w:abstractNumId w:val="38"/>
  </w:num>
  <w:num w:numId="46" w16cid:durableId="1837262653">
    <w:abstractNumId w:val="37"/>
  </w:num>
  <w:num w:numId="47" w16cid:durableId="1549603796">
    <w:abstractNumId w:val="68"/>
  </w:num>
  <w:num w:numId="48" w16cid:durableId="1807821497">
    <w:abstractNumId w:val="39"/>
  </w:num>
  <w:num w:numId="49" w16cid:durableId="1597009136">
    <w:abstractNumId w:val="20"/>
  </w:num>
  <w:num w:numId="50" w16cid:durableId="1765611552">
    <w:abstractNumId w:val="50"/>
  </w:num>
  <w:num w:numId="51" w16cid:durableId="1380320242">
    <w:abstractNumId w:val="19"/>
  </w:num>
  <w:num w:numId="52" w16cid:durableId="1142581150">
    <w:abstractNumId w:val="59"/>
  </w:num>
  <w:num w:numId="53" w16cid:durableId="546798502">
    <w:abstractNumId w:val="42"/>
  </w:num>
  <w:num w:numId="54" w16cid:durableId="1896508542">
    <w:abstractNumId w:val="0"/>
  </w:num>
  <w:num w:numId="55" w16cid:durableId="2123450385">
    <w:abstractNumId w:val="48"/>
  </w:num>
  <w:num w:numId="56" w16cid:durableId="887226806">
    <w:abstractNumId w:val="66"/>
  </w:num>
  <w:num w:numId="57" w16cid:durableId="1710258161">
    <w:abstractNumId w:val="21"/>
  </w:num>
  <w:num w:numId="58" w16cid:durableId="1089346691">
    <w:abstractNumId w:val="56"/>
  </w:num>
  <w:num w:numId="59" w16cid:durableId="399985644">
    <w:abstractNumId w:val="25"/>
  </w:num>
  <w:num w:numId="60" w16cid:durableId="1234924690">
    <w:abstractNumId w:val="23"/>
  </w:num>
  <w:num w:numId="61" w16cid:durableId="1222249460">
    <w:abstractNumId w:val="58"/>
  </w:num>
  <w:num w:numId="62" w16cid:durableId="2017733574">
    <w:abstractNumId w:val="31"/>
  </w:num>
  <w:num w:numId="63" w16cid:durableId="494878270">
    <w:abstractNumId w:val="43"/>
  </w:num>
  <w:num w:numId="64" w16cid:durableId="285084686">
    <w:abstractNumId w:val="51"/>
  </w:num>
  <w:num w:numId="65" w16cid:durableId="1961911178">
    <w:abstractNumId w:val="60"/>
  </w:num>
  <w:num w:numId="66" w16cid:durableId="2055041768">
    <w:abstractNumId w:val="40"/>
  </w:num>
  <w:num w:numId="67" w16cid:durableId="468129741">
    <w:abstractNumId w:val="53"/>
  </w:num>
  <w:num w:numId="68" w16cid:durableId="194927793">
    <w:abstractNumId w:val="7"/>
  </w:num>
  <w:num w:numId="69" w16cid:durableId="20102810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868957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40446231">
    <w:abstractNumId w:val="57"/>
  </w:num>
  <w:num w:numId="72" w16cid:durableId="6830670">
    <w:abstractNumId w:val="62"/>
  </w:num>
  <w:num w:numId="73" w16cid:durableId="1288849753">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567"/>
  <w:drawingGridHorizontalSpacing w:val="10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62"/>
    <w:rsid w:val="00006318"/>
    <w:rsid w:val="0001497A"/>
    <w:rsid w:val="00020130"/>
    <w:rsid w:val="000227DA"/>
    <w:rsid w:val="00022E7A"/>
    <w:rsid w:val="00026396"/>
    <w:rsid w:val="000350C7"/>
    <w:rsid w:val="00035AA4"/>
    <w:rsid w:val="00036F76"/>
    <w:rsid w:val="0004244C"/>
    <w:rsid w:val="00043753"/>
    <w:rsid w:val="00044A11"/>
    <w:rsid w:val="000453F1"/>
    <w:rsid w:val="00051428"/>
    <w:rsid w:val="00057314"/>
    <w:rsid w:val="00066AAA"/>
    <w:rsid w:val="00072C80"/>
    <w:rsid w:val="000746AB"/>
    <w:rsid w:val="00080FCF"/>
    <w:rsid w:val="00082AFD"/>
    <w:rsid w:val="0008702F"/>
    <w:rsid w:val="00087452"/>
    <w:rsid w:val="00095267"/>
    <w:rsid w:val="00096DBA"/>
    <w:rsid w:val="000A0CF9"/>
    <w:rsid w:val="000A1739"/>
    <w:rsid w:val="000A338E"/>
    <w:rsid w:val="000A372F"/>
    <w:rsid w:val="000A3854"/>
    <w:rsid w:val="000A6F67"/>
    <w:rsid w:val="000B41AF"/>
    <w:rsid w:val="000B62C9"/>
    <w:rsid w:val="000B7121"/>
    <w:rsid w:val="000C256D"/>
    <w:rsid w:val="000D282D"/>
    <w:rsid w:val="000D3A74"/>
    <w:rsid w:val="000E1AE5"/>
    <w:rsid w:val="000E6074"/>
    <w:rsid w:val="000E7971"/>
    <w:rsid w:val="000F2CC2"/>
    <w:rsid w:val="000F7493"/>
    <w:rsid w:val="001015E6"/>
    <w:rsid w:val="001056AB"/>
    <w:rsid w:val="00122119"/>
    <w:rsid w:val="001410EC"/>
    <w:rsid w:val="00146BC5"/>
    <w:rsid w:val="00162785"/>
    <w:rsid w:val="00163966"/>
    <w:rsid w:val="00167D57"/>
    <w:rsid w:val="00184910"/>
    <w:rsid w:val="00186384"/>
    <w:rsid w:val="00192E58"/>
    <w:rsid w:val="001933A3"/>
    <w:rsid w:val="00197705"/>
    <w:rsid w:val="001978CA"/>
    <w:rsid w:val="00197E53"/>
    <w:rsid w:val="001A1F55"/>
    <w:rsid w:val="001A32A7"/>
    <w:rsid w:val="001B0E7C"/>
    <w:rsid w:val="001B4171"/>
    <w:rsid w:val="001B581F"/>
    <w:rsid w:val="001B5DDE"/>
    <w:rsid w:val="001B632E"/>
    <w:rsid w:val="001C072F"/>
    <w:rsid w:val="001E1313"/>
    <w:rsid w:val="001E18B7"/>
    <w:rsid w:val="001F2AD7"/>
    <w:rsid w:val="001F565C"/>
    <w:rsid w:val="00200E0C"/>
    <w:rsid w:val="0020452B"/>
    <w:rsid w:val="0020740C"/>
    <w:rsid w:val="00210EA5"/>
    <w:rsid w:val="00213131"/>
    <w:rsid w:val="00232CC7"/>
    <w:rsid w:val="00233C62"/>
    <w:rsid w:val="0023403A"/>
    <w:rsid w:val="0023498B"/>
    <w:rsid w:val="00241C92"/>
    <w:rsid w:val="002459BC"/>
    <w:rsid w:val="002459FE"/>
    <w:rsid w:val="00246C8C"/>
    <w:rsid w:val="00252798"/>
    <w:rsid w:val="002610A6"/>
    <w:rsid w:val="002621D2"/>
    <w:rsid w:val="002639C9"/>
    <w:rsid w:val="00263DDF"/>
    <w:rsid w:val="00266DCB"/>
    <w:rsid w:val="002710C2"/>
    <w:rsid w:val="00271F4D"/>
    <w:rsid w:val="0029028E"/>
    <w:rsid w:val="00293138"/>
    <w:rsid w:val="00295EBE"/>
    <w:rsid w:val="002A3168"/>
    <w:rsid w:val="002A323C"/>
    <w:rsid w:val="002B4EBC"/>
    <w:rsid w:val="002B695B"/>
    <w:rsid w:val="002C1C3B"/>
    <w:rsid w:val="002C47DC"/>
    <w:rsid w:val="002D4C15"/>
    <w:rsid w:val="002D7A9F"/>
    <w:rsid w:val="002E0B06"/>
    <w:rsid w:val="002F4077"/>
    <w:rsid w:val="002F7C8A"/>
    <w:rsid w:val="00300EBC"/>
    <w:rsid w:val="0030389D"/>
    <w:rsid w:val="00306E02"/>
    <w:rsid w:val="00320076"/>
    <w:rsid w:val="003206E8"/>
    <w:rsid w:val="00325B9D"/>
    <w:rsid w:val="0032675A"/>
    <w:rsid w:val="003408DF"/>
    <w:rsid w:val="0036330C"/>
    <w:rsid w:val="00363463"/>
    <w:rsid w:val="00367475"/>
    <w:rsid w:val="00373ED2"/>
    <w:rsid w:val="0037505C"/>
    <w:rsid w:val="00375579"/>
    <w:rsid w:val="00381355"/>
    <w:rsid w:val="00386FE4"/>
    <w:rsid w:val="00395B5A"/>
    <w:rsid w:val="003A541C"/>
    <w:rsid w:val="003B66BA"/>
    <w:rsid w:val="003B7A01"/>
    <w:rsid w:val="003C344F"/>
    <w:rsid w:val="003C3F43"/>
    <w:rsid w:val="003C5B8E"/>
    <w:rsid w:val="003C631D"/>
    <w:rsid w:val="003C6B03"/>
    <w:rsid w:val="003D0A6A"/>
    <w:rsid w:val="003D7FB3"/>
    <w:rsid w:val="003E5FB9"/>
    <w:rsid w:val="003F5DD7"/>
    <w:rsid w:val="003F5F8A"/>
    <w:rsid w:val="003F6448"/>
    <w:rsid w:val="00411113"/>
    <w:rsid w:val="00414C2F"/>
    <w:rsid w:val="00421021"/>
    <w:rsid w:val="004225DA"/>
    <w:rsid w:val="0042536A"/>
    <w:rsid w:val="00426AA7"/>
    <w:rsid w:val="004311C8"/>
    <w:rsid w:val="00432FC1"/>
    <w:rsid w:val="00437531"/>
    <w:rsid w:val="00443FBA"/>
    <w:rsid w:val="00444483"/>
    <w:rsid w:val="0045047E"/>
    <w:rsid w:val="00450DD9"/>
    <w:rsid w:val="004526E7"/>
    <w:rsid w:val="00456FDE"/>
    <w:rsid w:val="00461299"/>
    <w:rsid w:val="00465950"/>
    <w:rsid w:val="004802A1"/>
    <w:rsid w:val="0048268D"/>
    <w:rsid w:val="00483AE1"/>
    <w:rsid w:val="00483FBF"/>
    <w:rsid w:val="00484BDE"/>
    <w:rsid w:val="0048503B"/>
    <w:rsid w:val="00486BFC"/>
    <w:rsid w:val="004A28A2"/>
    <w:rsid w:val="004A779E"/>
    <w:rsid w:val="004C0848"/>
    <w:rsid w:val="004C6C28"/>
    <w:rsid w:val="004C77F0"/>
    <w:rsid w:val="004D4D4C"/>
    <w:rsid w:val="004D7A72"/>
    <w:rsid w:val="004E0B98"/>
    <w:rsid w:val="004E6790"/>
    <w:rsid w:val="00506515"/>
    <w:rsid w:val="005079FA"/>
    <w:rsid w:val="00510171"/>
    <w:rsid w:val="00510398"/>
    <w:rsid w:val="00512CB9"/>
    <w:rsid w:val="00517D1C"/>
    <w:rsid w:val="005203E1"/>
    <w:rsid w:val="00523618"/>
    <w:rsid w:val="00526990"/>
    <w:rsid w:val="00533BDD"/>
    <w:rsid w:val="00542D52"/>
    <w:rsid w:val="005432E6"/>
    <w:rsid w:val="00551913"/>
    <w:rsid w:val="005560DD"/>
    <w:rsid w:val="00561297"/>
    <w:rsid w:val="00561CA6"/>
    <w:rsid w:val="00563FF7"/>
    <w:rsid w:val="005713E2"/>
    <w:rsid w:val="00571BAD"/>
    <w:rsid w:val="0057772A"/>
    <w:rsid w:val="00580538"/>
    <w:rsid w:val="00582544"/>
    <w:rsid w:val="005938C8"/>
    <w:rsid w:val="005948ED"/>
    <w:rsid w:val="00594D8A"/>
    <w:rsid w:val="005A12EE"/>
    <w:rsid w:val="005B2439"/>
    <w:rsid w:val="005B2EFC"/>
    <w:rsid w:val="005B5294"/>
    <w:rsid w:val="005C2135"/>
    <w:rsid w:val="005C7790"/>
    <w:rsid w:val="005D1007"/>
    <w:rsid w:val="005D7823"/>
    <w:rsid w:val="005E2BC2"/>
    <w:rsid w:val="005F4913"/>
    <w:rsid w:val="005F537C"/>
    <w:rsid w:val="00606A8E"/>
    <w:rsid w:val="006104C5"/>
    <w:rsid w:val="0061418E"/>
    <w:rsid w:val="00616CC4"/>
    <w:rsid w:val="006223E6"/>
    <w:rsid w:val="006231BC"/>
    <w:rsid w:val="006277DF"/>
    <w:rsid w:val="00632C35"/>
    <w:rsid w:val="0063545E"/>
    <w:rsid w:val="00652005"/>
    <w:rsid w:val="00653095"/>
    <w:rsid w:val="00667D76"/>
    <w:rsid w:val="00671484"/>
    <w:rsid w:val="00693C6B"/>
    <w:rsid w:val="00695C1F"/>
    <w:rsid w:val="00696D45"/>
    <w:rsid w:val="006A249C"/>
    <w:rsid w:val="006A2922"/>
    <w:rsid w:val="006A5488"/>
    <w:rsid w:val="006A6898"/>
    <w:rsid w:val="006B096E"/>
    <w:rsid w:val="006B1CEB"/>
    <w:rsid w:val="006B45F7"/>
    <w:rsid w:val="006B6884"/>
    <w:rsid w:val="006B7B8F"/>
    <w:rsid w:val="006C4351"/>
    <w:rsid w:val="006C5CEE"/>
    <w:rsid w:val="006D56B6"/>
    <w:rsid w:val="006E0276"/>
    <w:rsid w:val="006E07DB"/>
    <w:rsid w:val="006E4BB6"/>
    <w:rsid w:val="006E4DCE"/>
    <w:rsid w:val="006E5EF6"/>
    <w:rsid w:val="006E7B13"/>
    <w:rsid w:val="006F1CEF"/>
    <w:rsid w:val="006F491E"/>
    <w:rsid w:val="00706FA9"/>
    <w:rsid w:val="00714B1E"/>
    <w:rsid w:val="007202CF"/>
    <w:rsid w:val="00724C1A"/>
    <w:rsid w:val="00732051"/>
    <w:rsid w:val="00734B00"/>
    <w:rsid w:val="00742448"/>
    <w:rsid w:val="00742D60"/>
    <w:rsid w:val="00746902"/>
    <w:rsid w:val="00746F04"/>
    <w:rsid w:val="00751DC5"/>
    <w:rsid w:val="0075424D"/>
    <w:rsid w:val="007571DF"/>
    <w:rsid w:val="007635DF"/>
    <w:rsid w:val="00763935"/>
    <w:rsid w:val="00763A77"/>
    <w:rsid w:val="00772189"/>
    <w:rsid w:val="00774C54"/>
    <w:rsid w:val="00777D64"/>
    <w:rsid w:val="007835FB"/>
    <w:rsid w:val="0078751A"/>
    <w:rsid w:val="00787770"/>
    <w:rsid w:val="007902CE"/>
    <w:rsid w:val="007917BA"/>
    <w:rsid w:val="00792589"/>
    <w:rsid w:val="007939BE"/>
    <w:rsid w:val="00795718"/>
    <w:rsid w:val="007A04B0"/>
    <w:rsid w:val="007B68A7"/>
    <w:rsid w:val="007C0DA9"/>
    <w:rsid w:val="007C36D2"/>
    <w:rsid w:val="007C54D4"/>
    <w:rsid w:val="007C76A7"/>
    <w:rsid w:val="007F2666"/>
    <w:rsid w:val="007F4C68"/>
    <w:rsid w:val="007F6D9E"/>
    <w:rsid w:val="00803F96"/>
    <w:rsid w:val="00814391"/>
    <w:rsid w:val="00814ACA"/>
    <w:rsid w:val="00815AFD"/>
    <w:rsid w:val="00815B7A"/>
    <w:rsid w:val="008174FD"/>
    <w:rsid w:val="008242AD"/>
    <w:rsid w:val="00824435"/>
    <w:rsid w:val="00825BEA"/>
    <w:rsid w:val="00842EC9"/>
    <w:rsid w:val="00843B24"/>
    <w:rsid w:val="00844F03"/>
    <w:rsid w:val="00846ECF"/>
    <w:rsid w:val="0085361D"/>
    <w:rsid w:val="0085566D"/>
    <w:rsid w:val="0085581F"/>
    <w:rsid w:val="00866A34"/>
    <w:rsid w:val="00870664"/>
    <w:rsid w:val="0087141C"/>
    <w:rsid w:val="00873D19"/>
    <w:rsid w:val="0088193E"/>
    <w:rsid w:val="00881FA6"/>
    <w:rsid w:val="00883CE8"/>
    <w:rsid w:val="00885C29"/>
    <w:rsid w:val="008916D5"/>
    <w:rsid w:val="0089245A"/>
    <w:rsid w:val="008944CA"/>
    <w:rsid w:val="008947BF"/>
    <w:rsid w:val="008A0CF9"/>
    <w:rsid w:val="008A24DD"/>
    <w:rsid w:val="008A48EA"/>
    <w:rsid w:val="008A4B1F"/>
    <w:rsid w:val="008A500C"/>
    <w:rsid w:val="008A57C0"/>
    <w:rsid w:val="008B1388"/>
    <w:rsid w:val="008B5F0A"/>
    <w:rsid w:val="008C4BDE"/>
    <w:rsid w:val="008C716D"/>
    <w:rsid w:val="008D1887"/>
    <w:rsid w:val="008D2941"/>
    <w:rsid w:val="008E0367"/>
    <w:rsid w:val="008E16FF"/>
    <w:rsid w:val="008F0124"/>
    <w:rsid w:val="008F2596"/>
    <w:rsid w:val="008F4B4C"/>
    <w:rsid w:val="008F7349"/>
    <w:rsid w:val="00902971"/>
    <w:rsid w:val="00910529"/>
    <w:rsid w:val="0092578B"/>
    <w:rsid w:val="00925CBD"/>
    <w:rsid w:val="009267E0"/>
    <w:rsid w:val="00940584"/>
    <w:rsid w:val="00942F53"/>
    <w:rsid w:val="0095107B"/>
    <w:rsid w:val="00953C36"/>
    <w:rsid w:val="00956423"/>
    <w:rsid w:val="00957D8A"/>
    <w:rsid w:val="00964F07"/>
    <w:rsid w:val="00967BB7"/>
    <w:rsid w:val="00970523"/>
    <w:rsid w:val="009717AC"/>
    <w:rsid w:val="00971B03"/>
    <w:rsid w:val="009723C3"/>
    <w:rsid w:val="0098378B"/>
    <w:rsid w:val="009A026B"/>
    <w:rsid w:val="009A037F"/>
    <w:rsid w:val="009B3989"/>
    <w:rsid w:val="009C24EF"/>
    <w:rsid w:val="009D74C9"/>
    <w:rsid w:val="009E2EEE"/>
    <w:rsid w:val="009E4445"/>
    <w:rsid w:val="009F06D8"/>
    <w:rsid w:val="009F3708"/>
    <w:rsid w:val="009F6027"/>
    <w:rsid w:val="00A026A5"/>
    <w:rsid w:val="00A05E63"/>
    <w:rsid w:val="00A11CCD"/>
    <w:rsid w:val="00A20474"/>
    <w:rsid w:val="00A210D9"/>
    <w:rsid w:val="00A2115E"/>
    <w:rsid w:val="00A23B88"/>
    <w:rsid w:val="00A25666"/>
    <w:rsid w:val="00A264BE"/>
    <w:rsid w:val="00A30F89"/>
    <w:rsid w:val="00A36A6B"/>
    <w:rsid w:val="00A42A8E"/>
    <w:rsid w:val="00A453F4"/>
    <w:rsid w:val="00A5158F"/>
    <w:rsid w:val="00A5600F"/>
    <w:rsid w:val="00A578CC"/>
    <w:rsid w:val="00A60101"/>
    <w:rsid w:val="00A63EB3"/>
    <w:rsid w:val="00A64EDD"/>
    <w:rsid w:val="00A65C56"/>
    <w:rsid w:val="00A663FB"/>
    <w:rsid w:val="00A719FB"/>
    <w:rsid w:val="00A7503E"/>
    <w:rsid w:val="00A810D2"/>
    <w:rsid w:val="00A8285A"/>
    <w:rsid w:val="00A93587"/>
    <w:rsid w:val="00A95308"/>
    <w:rsid w:val="00AA4F20"/>
    <w:rsid w:val="00AA51C0"/>
    <w:rsid w:val="00AA72E4"/>
    <w:rsid w:val="00AA7FA4"/>
    <w:rsid w:val="00AB24AA"/>
    <w:rsid w:val="00AB71C7"/>
    <w:rsid w:val="00AC570D"/>
    <w:rsid w:val="00AC70AE"/>
    <w:rsid w:val="00AD2806"/>
    <w:rsid w:val="00AD448A"/>
    <w:rsid w:val="00AE0C80"/>
    <w:rsid w:val="00AE51EC"/>
    <w:rsid w:val="00AE5699"/>
    <w:rsid w:val="00B061D1"/>
    <w:rsid w:val="00B07725"/>
    <w:rsid w:val="00B1083B"/>
    <w:rsid w:val="00B10C61"/>
    <w:rsid w:val="00B241D1"/>
    <w:rsid w:val="00B31DD8"/>
    <w:rsid w:val="00B347F9"/>
    <w:rsid w:val="00B359E5"/>
    <w:rsid w:val="00B35C7A"/>
    <w:rsid w:val="00B406FD"/>
    <w:rsid w:val="00B41615"/>
    <w:rsid w:val="00B46C99"/>
    <w:rsid w:val="00B471DA"/>
    <w:rsid w:val="00B53563"/>
    <w:rsid w:val="00B6157A"/>
    <w:rsid w:val="00B7419D"/>
    <w:rsid w:val="00B74F1A"/>
    <w:rsid w:val="00B76FDC"/>
    <w:rsid w:val="00B80A62"/>
    <w:rsid w:val="00B83FBC"/>
    <w:rsid w:val="00B92386"/>
    <w:rsid w:val="00B94DA7"/>
    <w:rsid w:val="00B956B4"/>
    <w:rsid w:val="00B964B7"/>
    <w:rsid w:val="00B96B59"/>
    <w:rsid w:val="00BA0029"/>
    <w:rsid w:val="00BA0DC2"/>
    <w:rsid w:val="00BA4A97"/>
    <w:rsid w:val="00BA5973"/>
    <w:rsid w:val="00BB4E8E"/>
    <w:rsid w:val="00BC06B2"/>
    <w:rsid w:val="00BC3986"/>
    <w:rsid w:val="00BD0F39"/>
    <w:rsid w:val="00BD4782"/>
    <w:rsid w:val="00BE3E7F"/>
    <w:rsid w:val="00BF3170"/>
    <w:rsid w:val="00BF6C11"/>
    <w:rsid w:val="00C01A05"/>
    <w:rsid w:val="00C03132"/>
    <w:rsid w:val="00C14DFA"/>
    <w:rsid w:val="00C175BF"/>
    <w:rsid w:val="00C21CD9"/>
    <w:rsid w:val="00C254D0"/>
    <w:rsid w:val="00C40966"/>
    <w:rsid w:val="00C51431"/>
    <w:rsid w:val="00C53A48"/>
    <w:rsid w:val="00C55F7F"/>
    <w:rsid w:val="00C56200"/>
    <w:rsid w:val="00C60DB8"/>
    <w:rsid w:val="00C63B95"/>
    <w:rsid w:val="00C64302"/>
    <w:rsid w:val="00C64C16"/>
    <w:rsid w:val="00C73C25"/>
    <w:rsid w:val="00C770C3"/>
    <w:rsid w:val="00C770C9"/>
    <w:rsid w:val="00C80B4D"/>
    <w:rsid w:val="00C85726"/>
    <w:rsid w:val="00C87611"/>
    <w:rsid w:val="00C921D6"/>
    <w:rsid w:val="00C934F5"/>
    <w:rsid w:val="00C9370D"/>
    <w:rsid w:val="00CA2E31"/>
    <w:rsid w:val="00CA49CF"/>
    <w:rsid w:val="00CA7A7B"/>
    <w:rsid w:val="00CB2230"/>
    <w:rsid w:val="00CB507C"/>
    <w:rsid w:val="00CD32E5"/>
    <w:rsid w:val="00CD4BA3"/>
    <w:rsid w:val="00CD6715"/>
    <w:rsid w:val="00CD689B"/>
    <w:rsid w:val="00CD6A81"/>
    <w:rsid w:val="00CE0A1F"/>
    <w:rsid w:val="00CE2581"/>
    <w:rsid w:val="00CE3DD1"/>
    <w:rsid w:val="00CF1A9C"/>
    <w:rsid w:val="00CF3E24"/>
    <w:rsid w:val="00CF4DFD"/>
    <w:rsid w:val="00CF7C70"/>
    <w:rsid w:val="00CF7FE6"/>
    <w:rsid w:val="00D1153E"/>
    <w:rsid w:val="00D132FC"/>
    <w:rsid w:val="00D1395A"/>
    <w:rsid w:val="00D14F19"/>
    <w:rsid w:val="00D17545"/>
    <w:rsid w:val="00D26225"/>
    <w:rsid w:val="00D300B5"/>
    <w:rsid w:val="00D30D10"/>
    <w:rsid w:val="00D310D9"/>
    <w:rsid w:val="00D312F8"/>
    <w:rsid w:val="00D351E2"/>
    <w:rsid w:val="00D36490"/>
    <w:rsid w:val="00D37FCF"/>
    <w:rsid w:val="00D526E8"/>
    <w:rsid w:val="00D5283A"/>
    <w:rsid w:val="00D54DCD"/>
    <w:rsid w:val="00D57BE9"/>
    <w:rsid w:val="00D63BA3"/>
    <w:rsid w:val="00D64B5F"/>
    <w:rsid w:val="00D64BFA"/>
    <w:rsid w:val="00D708DA"/>
    <w:rsid w:val="00D7150B"/>
    <w:rsid w:val="00D72031"/>
    <w:rsid w:val="00D723EE"/>
    <w:rsid w:val="00D7330F"/>
    <w:rsid w:val="00D76E09"/>
    <w:rsid w:val="00D81807"/>
    <w:rsid w:val="00D84E05"/>
    <w:rsid w:val="00D86345"/>
    <w:rsid w:val="00D92414"/>
    <w:rsid w:val="00D95CF3"/>
    <w:rsid w:val="00DA291C"/>
    <w:rsid w:val="00DA70A8"/>
    <w:rsid w:val="00DB73EB"/>
    <w:rsid w:val="00DC55A8"/>
    <w:rsid w:val="00DE111F"/>
    <w:rsid w:val="00DE30FE"/>
    <w:rsid w:val="00DE3EB9"/>
    <w:rsid w:val="00DF2678"/>
    <w:rsid w:val="00E12AB6"/>
    <w:rsid w:val="00E210B9"/>
    <w:rsid w:val="00E30EBD"/>
    <w:rsid w:val="00E3180E"/>
    <w:rsid w:val="00E32A0C"/>
    <w:rsid w:val="00E34283"/>
    <w:rsid w:val="00E35106"/>
    <w:rsid w:val="00E3586F"/>
    <w:rsid w:val="00E43AB3"/>
    <w:rsid w:val="00E45054"/>
    <w:rsid w:val="00E61E73"/>
    <w:rsid w:val="00E655E2"/>
    <w:rsid w:val="00E676D2"/>
    <w:rsid w:val="00E738FE"/>
    <w:rsid w:val="00E7469F"/>
    <w:rsid w:val="00E75D9D"/>
    <w:rsid w:val="00E76DEB"/>
    <w:rsid w:val="00E87DC1"/>
    <w:rsid w:val="00E93D74"/>
    <w:rsid w:val="00EA066D"/>
    <w:rsid w:val="00EA5C64"/>
    <w:rsid w:val="00EA5DCB"/>
    <w:rsid w:val="00EB0050"/>
    <w:rsid w:val="00EB668F"/>
    <w:rsid w:val="00EC0CF5"/>
    <w:rsid w:val="00EC4D62"/>
    <w:rsid w:val="00ED077B"/>
    <w:rsid w:val="00ED303F"/>
    <w:rsid w:val="00ED719A"/>
    <w:rsid w:val="00EE0627"/>
    <w:rsid w:val="00EF4467"/>
    <w:rsid w:val="00F04E1C"/>
    <w:rsid w:val="00F077EA"/>
    <w:rsid w:val="00F20083"/>
    <w:rsid w:val="00F30553"/>
    <w:rsid w:val="00F316E7"/>
    <w:rsid w:val="00F32D27"/>
    <w:rsid w:val="00F3449C"/>
    <w:rsid w:val="00F36411"/>
    <w:rsid w:val="00F40D95"/>
    <w:rsid w:val="00F449A6"/>
    <w:rsid w:val="00F46253"/>
    <w:rsid w:val="00F52410"/>
    <w:rsid w:val="00F52A98"/>
    <w:rsid w:val="00F52B71"/>
    <w:rsid w:val="00F53DA3"/>
    <w:rsid w:val="00F53FD7"/>
    <w:rsid w:val="00F550B3"/>
    <w:rsid w:val="00F57070"/>
    <w:rsid w:val="00F60658"/>
    <w:rsid w:val="00F7071B"/>
    <w:rsid w:val="00F81C4C"/>
    <w:rsid w:val="00F82516"/>
    <w:rsid w:val="00F964B6"/>
    <w:rsid w:val="00F96523"/>
    <w:rsid w:val="00FA107C"/>
    <w:rsid w:val="00FA2D57"/>
    <w:rsid w:val="00FA2FE2"/>
    <w:rsid w:val="00FA4944"/>
    <w:rsid w:val="00FA65FE"/>
    <w:rsid w:val="00FB32C5"/>
    <w:rsid w:val="00FC73EE"/>
    <w:rsid w:val="00FD38A2"/>
    <w:rsid w:val="00FD79CC"/>
    <w:rsid w:val="00FE3D7D"/>
    <w:rsid w:val="00FF2608"/>
    <w:rsid w:val="00FF36EE"/>
    <w:rsid w:val="00FF59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E88A8"/>
  <w15:docId w15:val="{426B9526-E36B-4D68-B0C0-84C1D322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53E"/>
    <w:pPr>
      <w:spacing w:before="60" w:after="60"/>
      <w:jc w:val="both"/>
    </w:pPr>
    <w:rPr>
      <w:rFonts w:ascii="Times New Roman" w:hAnsi="Times New Roman" w:cs="Times New Roman"/>
      <w:sz w:val="20"/>
      <w:szCs w:val="20"/>
    </w:rPr>
  </w:style>
  <w:style w:type="paragraph" w:styleId="Heading1">
    <w:name w:val="heading 1"/>
    <w:basedOn w:val="Normal"/>
    <w:next w:val="Normal"/>
    <w:link w:val="Heading1Char"/>
    <w:uiPriority w:val="9"/>
    <w:qFormat/>
    <w:rsid w:val="00E71A3F"/>
    <w:pPr>
      <w:keepNext/>
      <w:spacing w:before="0" w:after="0" w:line="240" w:lineRule="auto"/>
      <w:jc w:val="left"/>
      <w:outlineLvl w:val="0"/>
    </w:pPr>
    <w:rPr>
      <w:rFonts w:eastAsia="Times New Roman" w:cs="Miriam"/>
      <w:b/>
      <w:bCs/>
      <w:sz w:val="24"/>
      <w:u w:val="single"/>
      <w:lang w:eastAsia="he-IL"/>
    </w:rPr>
  </w:style>
  <w:style w:type="paragraph" w:styleId="Heading2">
    <w:name w:val="heading 2"/>
    <w:basedOn w:val="Normal"/>
    <w:next w:val="Normal"/>
    <w:link w:val="Heading2Char"/>
    <w:uiPriority w:val="9"/>
    <w:unhideWhenUsed/>
    <w:qFormat/>
    <w:rsid w:val="000A33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4A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1A3F"/>
    <w:rPr>
      <w:rFonts w:ascii="Times New Roman" w:eastAsia="Times New Roman" w:hAnsi="Times New Roman" w:cs="Miriam"/>
      <w:b/>
      <w:bCs/>
      <w:sz w:val="24"/>
      <w:szCs w:val="20"/>
      <w:u w:val="single"/>
      <w:lang w:eastAsia="he-IL"/>
    </w:rPr>
  </w:style>
  <w:style w:type="paragraph" w:styleId="ListParagraph">
    <w:name w:val="List Paragraph"/>
    <w:basedOn w:val="Normal"/>
    <w:link w:val="ListParagraphChar"/>
    <w:uiPriority w:val="34"/>
    <w:qFormat/>
    <w:rsid w:val="00E71A3F"/>
    <w:pPr>
      <w:spacing w:before="0" w:after="0" w:line="264" w:lineRule="auto"/>
      <w:ind w:left="720"/>
      <w:contextualSpacing/>
    </w:pPr>
  </w:style>
  <w:style w:type="paragraph" w:customStyle="1" w:styleId="Normal10">
    <w:name w:val="Normal_1"/>
    <w:qFormat/>
    <w:rsid w:val="003B1C29"/>
    <w:pPr>
      <w:spacing w:after="0" w:line="264" w:lineRule="auto"/>
      <w:jc w:val="both"/>
    </w:pPr>
    <w:rPr>
      <w:rFonts w:ascii="Times New Roman" w:hAnsi="Times New Roman" w:cs="Times New Roman"/>
      <w:sz w:val="20"/>
      <w:szCs w:val="20"/>
      <w:lang w:val="en-GB" w:eastAsia="en-GB"/>
    </w:rPr>
  </w:style>
  <w:style w:type="paragraph" w:styleId="FootnoteText">
    <w:name w:val="footnote text"/>
    <w:aliases w:val="fn"/>
    <w:basedOn w:val="Normal"/>
    <w:link w:val="FootnoteTextChar"/>
    <w:uiPriority w:val="99"/>
    <w:unhideWhenUsed/>
    <w:rsid w:val="004636D9"/>
    <w:pPr>
      <w:spacing w:before="0" w:after="0" w:line="240" w:lineRule="auto"/>
    </w:pPr>
  </w:style>
  <w:style w:type="character" w:customStyle="1" w:styleId="FootnoteTextChar">
    <w:name w:val="Footnote Text Char"/>
    <w:aliases w:val="fn Char"/>
    <w:basedOn w:val="DefaultParagraphFont"/>
    <w:link w:val="FootnoteText"/>
    <w:uiPriority w:val="99"/>
    <w:rsid w:val="004636D9"/>
    <w:rPr>
      <w:rFonts w:ascii="Times New Roman" w:hAnsi="Times New Roman" w:cs="Times New Roman"/>
      <w:sz w:val="20"/>
      <w:szCs w:val="20"/>
    </w:rPr>
  </w:style>
  <w:style w:type="character" w:styleId="FootnoteReference">
    <w:name w:val="footnote reference"/>
    <w:basedOn w:val="DefaultParagraphFont"/>
    <w:uiPriority w:val="99"/>
    <w:semiHidden/>
    <w:unhideWhenUsed/>
    <w:qFormat/>
    <w:rsid w:val="004636D9"/>
    <w:rPr>
      <w:vertAlign w:val="superscript"/>
    </w:rPr>
  </w:style>
  <w:style w:type="table" w:customStyle="1" w:styleId="TableGrid1">
    <w:name w:val="Table Grid1"/>
    <w:basedOn w:val="TableNormal"/>
    <w:next w:val="TableGrid"/>
    <w:rsid w:val="00EC1621"/>
    <w:pPr>
      <w:spacing w:after="0" w:line="240" w:lineRule="auto"/>
      <w:jc w:val="right"/>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201B18"/>
    <w:pPr>
      <w:spacing w:after="0" w:line="264" w:lineRule="auto"/>
      <w:jc w:val="both"/>
    </w:pPr>
    <w:rPr>
      <w:rFonts w:ascii="Times New Roman" w:hAnsi="Times New Roman" w:cs="Times New Roman"/>
      <w:sz w:val="20"/>
      <w:szCs w:val="20"/>
    </w:rPr>
  </w:style>
  <w:style w:type="paragraph" w:customStyle="1" w:styleId="Normal100">
    <w:name w:val="Normal_1_0_0"/>
    <w:qFormat/>
    <w:rsid w:val="00164BAF"/>
    <w:pPr>
      <w:spacing w:before="60" w:after="60"/>
      <w:jc w:val="both"/>
    </w:pPr>
    <w:rPr>
      <w:rFonts w:ascii="Times New Roman" w:hAnsi="Times New Roman" w:cs="Times New Roman"/>
      <w:sz w:val="20"/>
      <w:szCs w:val="20"/>
      <w:lang w:val="en-GB" w:eastAsia="en-GB"/>
    </w:rPr>
  </w:style>
  <w:style w:type="paragraph" w:styleId="Header">
    <w:name w:val="header"/>
    <w:basedOn w:val="Normal"/>
    <w:link w:val="HeaderChar"/>
    <w:uiPriority w:val="99"/>
    <w:unhideWhenUsed/>
    <w:rsid w:val="008869A9"/>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8869A9"/>
    <w:rPr>
      <w:rFonts w:ascii="Times New Roman" w:hAnsi="Times New Roman" w:cs="Times New Roman"/>
      <w:sz w:val="20"/>
      <w:szCs w:val="20"/>
    </w:rPr>
  </w:style>
  <w:style w:type="paragraph" w:styleId="BodyText">
    <w:name w:val="Body Text"/>
    <w:basedOn w:val="Normal"/>
    <w:link w:val="BodyTextChar"/>
    <w:unhideWhenUsed/>
    <w:rsid w:val="00704A18"/>
    <w:pPr>
      <w:bidi/>
    </w:pPr>
    <w:rPr>
      <w:rFonts w:ascii="Tahoma" w:eastAsia="Calibri" w:hAnsi="Tahoma" w:cs="Tahoma"/>
      <w:b/>
      <w:bCs/>
      <w:sz w:val="18"/>
      <w:szCs w:val="18"/>
      <w:lang w:val="en-AU"/>
    </w:rPr>
  </w:style>
  <w:style w:type="character" w:customStyle="1" w:styleId="BodyTextChar">
    <w:name w:val="Body Text Char"/>
    <w:basedOn w:val="DefaultParagraphFont"/>
    <w:link w:val="BodyText"/>
    <w:rsid w:val="00704A18"/>
    <w:rPr>
      <w:rFonts w:ascii="Tahoma" w:eastAsia="Calibri" w:hAnsi="Tahoma" w:cs="Tahoma"/>
      <w:b/>
      <w:bCs/>
      <w:sz w:val="18"/>
      <w:szCs w:val="18"/>
      <w:lang w:val="en-AU"/>
    </w:rPr>
  </w:style>
  <w:style w:type="paragraph" w:customStyle="1" w:styleId="Normal20">
    <w:name w:val="Normal_2"/>
    <w:qFormat/>
    <w:pPr>
      <w:spacing w:after="0" w:line="240" w:lineRule="auto"/>
    </w:pPr>
    <w:rPr>
      <w:rFonts w:ascii="Times New Roman" w:eastAsia="Times New Roman" w:hAnsi="Times New Roman" w:cs="Times New Roman"/>
      <w:sz w:val="24"/>
      <w:szCs w:val="24"/>
    </w:rPr>
  </w:style>
  <w:style w:type="table" w:customStyle="1" w:styleId="CDMRange1">
    <w:name w:val="CDM Range 1"/>
    <w:basedOn w:val="TableNormal"/>
    <w:next w:val="TableNormal"/>
    <w:uiPriority w:val="99"/>
    <w:semiHidden/>
    <w:pPr>
      <w:spacing w:after="0" w:line="240" w:lineRule="auto"/>
    </w:pPr>
    <w:rPr>
      <w:rFonts w:ascii="Times New Roman" w:eastAsia="Times New Roman" w:hAnsi="Times New Roman" w:cs="Times New Roman"/>
      <w:sz w:val="24"/>
      <w:szCs w:val="24"/>
    </w:rPr>
    <w:tblPr/>
  </w:style>
  <w:style w:type="paragraph" w:customStyle="1" w:styleId="Normal3">
    <w:name w:val="Normal_3"/>
    <w:qFormat/>
    <w:pPr>
      <w:spacing w:after="0" w:line="240" w:lineRule="auto"/>
    </w:pPr>
    <w:rPr>
      <w:rFonts w:ascii="Times New Roman" w:eastAsia="Times New Roman" w:hAnsi="Times New Roman" w:cs="Times New Roman"/>
      <w:sz w:val="24"/>
      <w:szCs w:val="24"/>
    </w:rPr>
  </w:style>
  <w:style w:type="table" w:customStyle="1" w:styleId="CDMRange2">
    <w:name w:val="CDM Range 2"/>
    <w:basedOn w:val="TableNormal"/>
    <w:next w:val="TableNormal"/>
    <w:uiPriority w:val="99"/>
    <w:semiHidden/>
    <w:pPr>
      <w:spacing w:after="0" w:line="240" w:lineRule="auto"/>
    </w:pPr>
    <w:rPr>
      <w:rFonts w:ascii="Times New Roman" w:eastAsia="Times New Roman" w:hAnsi="Times New Roman" w:cs="Times New Roman"/>
      <w:sz w:val="24"/>
      <w:szCs w:val="24"/>
    </w:rPr>
    <w:tblPr/>
  </w:style>
  <w:style w:type="paragraph" w:customStyle="1" w:styleId="Normal70">
    <w:name w:val="Normal_7_0"/>
    <w:qFormat/>
    <w:rsid w:val="00EF01E5"/>
    <w:pPr>
      <w:spacing w:after="0" w:line="264" w:lineRule="auto"/>
      <w:jc w:val="both"/>
    </w:pPr>
    <w:rPr>
      <w:rFonts w:ascii="Times New Roman" w:hAnsi="Times New Roman" w:cs="Times New Roman"/>
      <w:sz w:val="20"/>
      <w:szCs w:val="20"/>
      <w:lang w:val="en-AU" w:eastAsia="en-AU"/>
    </w:rPr>
  </w:style>
  <w:style w:type="paragraph" w:customStyle="1" w:styleId="Normal71">
    <w:name w:val="Normal_7_1"/>
    <w:qFormat/>
    <w:rsid w:val="000644EB"/>
    <w:pPr>
      <w:spacing w:after="0" w:line="264" w:lineRule="auto"/>
      <w:jc w:val="both"/>
    </w:pPr>
    <w:rPr>
      <w:rFonts w:ascii="Times New Roman" w:hAnsi="Times New Roman" w:cs="Times New Roman"/>
      <w:sz w:val="20"/>
      <w:szCs w:val="20"/>
      <w:lang w:val="en-AU" w:eastAsia="en-AU"/>
    </w:rPr>
  </w:style>
  <w:style w:type="paragraph" w:customStyle="1" w:styleId="Normal40">
    <w:name w:val="Normal_4"/>
    <w:qFormat/>
    <w:pPr>
      <w:spacing w:after="0" w:line="240" w:lineRule="auto"/>
    </w:pPr>
    <w:rPr>
      <w:rFonts w:ascii="Times New Roman" w:eastAsia="Times New Roman" w:hAnsi="Times New Roman" w:cs="Times New Roman"/>
      <w:sz w:val="24"/>
      <w:szCs w:val="24"/>
    </w:rPr>
  </w:style>
  <w:style w:type="table" w:customStyle="1" w:styleId="CDMRange10">
    <w:name w:val="CDM Range 1_0"/>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8">
    <w:name w:val="Normal_8"/>
    <w:qFormat/>
    <w:rsid w:val="005806F5"/>
    <w:pPr>
      <w:spacing w:after="0" w:line="264" w:lineRule="auto"/>
      <w:jc w:val="both"/>
    </w:pPr>
    <w:rPr>
      <w:rFonts w:ascii="Times New Roman" w:hAnsi="Times New Roman" w:cs="Times New Roman"/>
      <w:sz w:val="20"/>
      <w:szCs w:val="20"/>
    </w:rPr>
  </w:style>
  <w:style w:type="paragraph" w:customStyle="1" w:styleId="Normal5">
    <w:name w:val="Normal_5"/>
    <w:qFormat/>
    <w:pPr>
      <w:spacing w:after="0" w:line="240" w:lineRule="auto"/>
    </w:pPr>
    <w:rPr>
      <w:rFonts w:ascii="Times New Roman" w:eastAsia="Times New Roman" w:hAnsi="Times New Roman" w:cs="Times New Roman"/>
      <w:sz w:val="24"/>
      <w:szCs w:val="24"/>
    </w:rPr>
  </w:style>
  <w:style w:type="table" w:customStyle="1" w:styleId="CDMRange20">
    <w:name w:val="CDM Range 2_0"/>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6">
    <w:name w:val="Normal_6"/>
    <w:qFormat/>
    <w:pPr>
      <w:spacing w:after="0" w:line="240" w:lineRule="auto"/>
    </w:pPr>
    <w:rPr>
      <w:rFonts w:ascii="Times New Roman" w:eastAsia="Times New Roman" w:hAnsi="Times New Roman" w:cs="Times New Roman"/>
      <w:sz w:val="24"/>
      <w:szCs w:val="24"/>
    </w:rPr>
  </w:style>
  <w:style w:type="table" w:customStyle="1" w:styleId="CDMRange11">
    <w:name w:val="CDM Range 1_1"/>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9">
    <w:name w:val="Normal_9"/>
    <w:qFormat/>
    <w:rsid w:val="006B72A2"/>
    <w:pPr>
      <w:spacing w:before="60" w:after="60"/>
      <w:jc w:val="both"/>
    </w:pPr>
    <w:rPr>
      <w:rFonts w:ascii="Times New Roman" w:hAnsi="Times New Roman" w:cs="Times New Roman"/>
      <w:sz w:val="20"/>
      <w:szCs w:val="20"/>
      <w:lang w:val="en-GB" w:eastAsia="en-GB"/>
    </w:rPr>
  </w:style>
  <w:style w:type="paragraph" w:customStyle="1" w:styleId="Normal7">
    <w:name w:val="Normal_7"/>
    <w:qFormat/>
    <w:pPr>
      <w:spacing w:after="0" w:line="240" w:lineRule="auto"/>
    </w:pPr>
    <w:rPr>
      <w:rFonts w:ascii="Times New Roman" w:eastAsia="Times New Roman" w:hAnsi="Times New Roman" w:cs="Times New Roman"/>
      <w:sz w:val="24"/>
      <w:szCs w:val="24"/>
    </w:rPr>
  </w:style>
  <w:style w:type="table" w:customStyle="1" w:styleId="CDMRange21">
    <w:name w:val="CDM Range 2_1"/>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01">
    <w:name w:val="Normal_10"/>
    <w:qFormat/>
    <w:pPr>
      <w:spacing w:after="0" w:line="240" w:lineRule="auto"/>
    </w:pPr>
    <w:rPr>
      <w:rFonts w:ascii="Times New Roman" w:eastAsia="Times New Roman" w:hAnsi="Times New Roman" w:cs="Times New Roman"/>
      <w:sz w:val="24"/>
      <w:szCs w:val="24"/>
    </w:rPr>
  </w:style>
  <w:style w:type="table" w:customStyle="1" w:styleId="CDMRange12">
    <w:name w:val="CDM Range 1_2"/>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1">
    <w:name w:val="Normal_11"/>
    <w:qFormat/>
    <w:pPr>
      <w:spacing w:after="0" w:line="240" w:lineRule="auto"/>
    </w:pPr>
    <w:rPr>
      <w:rFonts w:ascii="Times New Roman" w:eastAsia="Times New Roman" w:hAnsi="Times New Roman" w:cs="Times New Roman"/>
      <w:sz w:val="24"/>
      <w:szCs w:val="24"/>
    </w:rPr>
  </w:style>
  <w:style w:type="table" w:customStyle="1" w:styleId="CDMRange22">
    <w:name w:val="CDM Range 2_2"/>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ader0">
    <w:name w:val="Header_0"/>
    <w:basedOn w:val="Normal11"/>
    <w:link w:val="HeaderChar0"/>
    <w:uiPriority w:val="99"/>
    <w:unhideWhenUsed/>
    <w:rsid w:val="002872BB"/>
    <w:pPr>
      <w:tabs>
        <w:tab w:val="center" w:pos="4680"/>
        <w:tab w:val="right" w:pos="9360"/>
      </w:tabs>
      <w:jc w:val="both"/>
    </w:pPr>
    <w:rPr>
      <w:rFonts w:eastAsiaTheme="minorHAnsi"/>
      <w:sz w:val="20"/>
      <w:szCs w:val="20"/>
      <w:lang w:bidi="ar-SA"/>
    </w:rPr>
  </w:style>
  <w:style w:type="character" w:customStyle="1" w:styleId="HeaderChar0">
    <w:name w:val="Header Char_0"/>
    <w:basedOn w:val="DefaultParagraphFont"/>
    <w:link w:val="Header0"/>
    <w:uiPriority w:val="99"/>
    <w:rsid w:val="002872BB"/>
    <w:rPr>
      <w:rFonts w:asciiTheme="minorHAnsi" w:eastAsiaTheme="minorHAnsi" w:hAnsiTheme="minorHAnsi" w:cstheme="minorBidi"/>
      <w:sz w:val="22"/>
      <w:szCs w:val="22"/>
      <w:lang w:val="en-US" w:eastAsia="en-US" w:bidi="ar-SA"/>
    </w:rPr>
  </w:style>
  <w:style w:type="paragraph" w:customStyle="1" w:styleId="ListParagraph2">
    <w:name w:val="List Paragraph_2"/>
    <w:basedOn w:val="Normal"/>
    <w:uiPriority w:val="34"/>
    <w:qFormat/>
    <w:rsid w:val="00531889"/>
    <w:pPr>
      <w:ind w:left="720"/>
      <w:contextualSpacing/>
    </w:pPr>
  </w:style>
  <w:style w:type="paragraph" w:customStyle="1" w:styleId="Normal14">
    <w:name w:val="Normal_14"/>
    <w:qFormat/>
    <w:rsid w:val="00AF70E5"/>
    <w:pPr>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ListParagraph1">
    <w:name w:val="List Paragraph_1"/>
    <w:basedOn w:val="Normal12"/>
    <w:uiPriority w:val="34"/>
    <w:qFormat/>
    <w:rsid w:val="00860066"/>
    <w:pPr>
      <w:ind w:left="720"/>
      <w:contextualSpacing/>
    </w:pPr>
    <w:rPr>
      <w:lang w:val="en-AU" w:eastAsia="en-AU"/>
    </w:rPr>
  </w:style>
  <w:style w:type="paragraph" w:customStyle="1" w:styleId="Normal12">
    <w:name w:val="Normal_12"/>
    <w:qFormat/>
    <w:rsid w:val="00932756"/>
    <w:pPr>
      <w:spacing w:before="60" w:after="60"/>
      <w:jc w:val="both"/>
    </w:pPr>
    <w:rPr>
      <w:rFonts w:ascii="Times New Roman" w:hAnsi="Times New Roman" w:cs="Times New Roman"/>
      <w:sz w:val="20"/>
      <w:szCs w:val="20"/>
    </w:rPr>
  </w:style>
  <w:style w:type="paragraph" w:styleId="BodyTextIndent">
    <w:name w:val="Body Text Indent"/>
    <w:basedOn w:val="Normal"/>
    <w:link w:val="BodyTextIndentChar"/>
    <w:uiPriority w:val="99"/>
    <w:unhideWhenUsed/>
    <w:rsid w:val="000717D4"/>
    <w:pPr>
      <w:spacing w:before="120" w:line="264" w:lineRule="auto"/>
      <w:ind w:left="1134"/>
    </w:pPr>
  </w:style>
  <w:style w:type="character" w:customStyle="1" w:styleId="BodyTextIndentChar">
    <w:name w:val="Body Text Indent Char"/>
    <w:basedOn w:val="DefaultParagraphFont"/>
    <w:link w:val="BodyTextIndent"/>
    <w:uiPriority w:val="99"/>
    <w:rsid w:val="000717D4"/>
    <w:rPr>
      <w:rFonts w:ascii="Times New Roman" w:hAnsi="Times New Roman" w:cs="Times New Roman"/>
      <w:sz w:val="20"/>
      <w:szCs w:val="20"/>
    </w:rPr>
  </w:style>
  <w:style w:type="paragraph" w:customStyle="1" w:styleId="Normal110">
    <w:name w:val="Normal_11_0"/>
    <w:qFormat/>
    <w:rsid w:val="002364CF"/>
    <w:pPr>
      <w:spacing w:before="60" w:after="60"/>
      <w:jc w:val="both"/>
    </w:pPr>
    <w:rPr>
      <w:rFonts w:ascii="Times New Roman" w:hAnsi="Times New Roman" w:cs="Times New Roman"/>
      <w:sz w:val="20"/>
      <w:szCs w:val="20"/>
      <w:lang w:val="en-GB" w:eastAsia="en-GB"/>
    </w:rPr>
  </w:style>
  <w:style w:type="paragraph" w:customStyle="1" w:styleId="Normal13">
    <w:name w:val="Normal_13"/>
    <w:qFormat/>
    <w:pPr>
      <w:spacing w:after="0" w:line="240" w:lineRule="auto"/>
    </w:pPr>
    <w:rPr>
      <w:rFonts w:ascii="Times New Roman" w:eastAsia="Times New Roman" w:hAnsi="Times New Roman" w:cs="Times New Roman"/>
      <w:sz w:val="24"/>
      <w:szCs w:val="24"/>
    </w:rPr>
  </w:style>
  <w:style w:type="table" w:customStyle="1" w:styleId="CDMRange13">
    <w:name w:val="CDM Range 1_3"/>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5">
    <w:name w:val="Normal_15"/>
    <w:qFormat/>
    <w:pPr>
      <w:spacing w:after="0" w:line="240" w:lineRule="auto"/>
    </w:pPr>
    <w:rPr>
      <w:rFonts w:ascii="Times New Roman" w:eastAsia="Times New Roman" w:hAnsi="Times New Roman" w:cs="Times New Roman"/>
      <w:sz w:val="24"/>
      <w:szCs w:val="24"/>
    </w:rPr>
  </w:style>
  <w:style w:type="table" w:customStyle="1" w:styleId="CDMRange23">
    <w:name w:val="CDM Range 2_3"/>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21">
    <w:name w:val="Normal_12_1"/>
    <w:qFormat/>
    <w:rsid w:val="007E69C9"/>
    <w:pPr>
      <w:spacing w:before="60" w:after="60"/>
      <w:jc w:val="both"/>
    </w:pPr>
    <w:rPr>
      <w:rFonts w:ascii="Times New Roman" w:hAnsi="Times New Roman" w:cs="Times New Roman"/>
      <w:sz w:val="20"/>
      <w:szCs w:val="20"/>
      <w:lang w:val="en-GB" w:eastAsia="en-GB"/>
    </w:rPr>
  </w:style>
  <w:style w:type="paragraph" w:customStyle="1" w:styleId="Normal120">
    <w:name w:val="Normal_12_0"/>
    <w:qFormat/>
    <w:rsid w:val="00661DE6"/>
    <w:pPr>
      <w:spacing w:before="60" w:after="60"/>
      <w:jc w:val="both"/>
    </w:pPr>
    <w:rPr>
      <w:rFonts w:ascii="Times New Roman" w:hAnsi="Times New Roman" w:cs="Times New Roman"/>
      <w:sz w:val="20"/>
      <w:szCs w:val="20"/>
      <w:lang w:val="en-GB" w:eastAsia="en-GB"/>
    </w:rPr>
  </w:style>
  <w:style w:type="paragraph" w:customStyle="1" w:styleId="Normal1200">
    <w:name w:val="Normal_12_0_0"/>
    <w:qFormat/>
    <w:rsid w:val="007E69C9"/>
    <w:pPr>
      <w:spacing w:before="60" w:after="60"/>
      <w:jc w:val="both"/>
    </w:pPr>
    <w:rPr>
      <w:rFonts w:ascii="Times New Roman" w:hAnsi="Times New Roman" w:cs="Times New Roman"/>
      <w:sz w:val="20"/>
      <w:szCs w:val="20"/>
      <w:lang w:val="en-GB" w:eastAsia="en-GB"/>
    </w:rPr>
  </w:style>
  <w:style w:type="paragraph" w:customStyle="1" w:styleId="Normal17">
    <w:name w:val="Normal_17"/>
    <w:qFormat/>
    <w:rsid w:val="008B30B5"/>
    <w:pPr>
      <w:spacing w:before="60" w:after="60" w:line="240" w:lineRule="auto"/>
      <w:jc w:val="both"/>
    </w:pPr>
    <w:rPr>
      <w:rFonts w:ascii="Times New Roman" w:eastAsia="Times New Roman" w:hAnsi="Times New Roman" w:cs="Times New Roman"/>
      <w:sz w:val="20"/>
      <w:szCs w:val="20"/>
    </w:rPr>
  </w:style>
  <w:style w:type="paragraph" w:customStyle="1" w:styleId="Normal16">
    <w:name w:val="Normal_16"/>
    <w:qFormat/>
    <w:rsid w:val="00860BF1"/>
    <w:pPr>
      <w:spacing w:before="60" w:after="60"/>
      <w:jc w:val="both"/>
    </w:pPr>
    <w:rPr>
      <w:rFonts w:ascii="Times New Roman" w:hAnsi="Times New Roman" w:cs="Times New Roman"/>
      <w:sz w:val="20"/>
      <w:szCs w:val="20"/>
      <w:lang w:val="en-AU" w:eastAsia="en-AU"/>
    </w:rPr>
  </w:style>
  <w:style w:type="paragraph" w:customStyle="1" w:styleId="ListParagraph3">
    <w:name w:val="List Paragraph_3"/>
    <w:basedOn w:val="Normal"/>
    <w:uiPriority w:val="34"/>
    <w:qFormat/>
    <w:rsid w:val="00A75A7B"/>
    <w:pPr>
      <w:ind w:left="720"/>
      <w:contextualSpacing/>
    </w:pPr>
  </w:style>
  <w:style w:type="paragraph" w:customStyle="1" w:styleId="ListParagraph5">
    <w:name w:val="List Paragraph_5"/>
    <w:basedOn w:val="Normal"/>
    <w:uiPriority w:val="34"/>
    <w:qFormat/>
    <w:rsid w:val="002F21C4"/>
    <w:pPr>
      <w:ind w:left="720"/>
      <w:contextualSpacing/>
    </w:pPr>
  </w:style>
  <w:style w:type="paragraph" w:customStyle="1" w:styleId="ListParagraph21">
    <w:name w:val="List Paragraph_2_1"/>
    <w:basedOn w:val="Normal"/>
    <w:uiPriority w:val="34"/>
    <w:qFormat/>
    <w:rsid w:val="00AC62EF"/>
    <w:pPr>
      <w:ind w:left="720"/>
      <w:contextualSpacing/>
    </w:pPr>
    <w:rPr>
      <w:lang w:val="en-GB" w:eastAsia="en-GB"/>
    </w:rPr>
  </w:style>
  <w:style w:type="paragraph" w:customStyle="1" w:styleId="Normal18">
    <w:name w:val="Normal_18"/>
    <w:qFormat/>
    <w:pPr>
      <w:spacing w:after="0" w:line="240" w:lineRule="auto"/>
    </w:pPr>
    <w:rPr>
      <w:rFonts w:ascii="Times New Roman" w:eastAsia="Times New Roman" w:hAnsi="Times New Roman" w:cs="Times New Roman"/>
      <w:sz w:val="24"/>
      <w:szCs w:val="24"/>
    </w:rPr>
  </w:style>
  <w:style w:type="table" w:customStyle="1" w:styleId="CDMRange14">
    <w:name w:val="CDM Range 1_4"/>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24">
    <w:name w:val="Normal_24"/>
    <w:qFormat/>
    <w:rsid w:val="006650D9"/>
    <w:pPr>
      <w:spacing w:before="60" w:after="60" w:line="240" w:lineRule="auto"/>
    </w:pPr>
    <w:rPr>
      <w:rFonts w:ascii="Times New Roman" w:eastAsia="Times New Roman" w:hAnsi="Times New Roman" w:cs="Times New Roman"/>
      <w:sz w:val="20"/>
      <w:szCs w:val="20"/>
    </w:rPr>
  </w:style>
  <w:style w:type="table" w:customStyle="1" w:styleId="1">
    <w:name w:val="טבלה רגילה1"/>
    <w:uiPriority w:val="99"/>
    <w:semiHidden/>
    <w:rsid w:val="00A75E4E"/>
    <w:pPr>
      <w:spacing w:after="0" w:line="240" w:lineRule="auto"/>
    </w:pPr>
    <w:rPr>
      <w:rFonts w:ascii="Times New Roman" w:eastAsia="Times New Roman" w:hAnsi="Times New Roman" w:cs="Times New Roman"/>
      <w:sz w:val="20"/>
      <w:szCs w:val="20"/>
      <w:lang w:val="en-GB" w:eastAsia="en-GB" w:bidi="ar-SA"/>
    </w:rPr>
    <w:tblPr>
      <w:tblCellMar>
        <w:top w:w="0" w:type="dxa"/>
        <w:left w:w="108" w:type="dxa"/>
        <w:bottom w:w="0" w:type="dxa"/>
        <w:right w:w="108" w:type="dxa"/>
      </w:tblCellMar>
    </w:tblPr>
  </w:style>
  <w:style w:type="paragraph" w:customStyle="1" w:styleId="MyLastParagraph">
    <w:name w:val="MyLastParagraph"/>
    <w:rsid w:val="00B75213"/>
    <w:pPr>
      <w:spacing w:after="0" w:line="240" w:lineRule="auto"/>
    </w:pPr>
    <w:rPr>
      <w:rFonts w:ascii="Times New Roman" w:eastAsia="Times New Roman" w:hAnsi="Times New Roman" w:cs="Times New Roman"/>
      <w:sz w:val="4"/>
      <w:szCs w:val="20"/>
      <w:lang w:val="en-GB" w:eastAsia="en-GB"/>
    </w:rPr>
  </w:style>
  <w:style w:type="paragraph" w:customStyle="1" w:styleId="EYBusinessaddress">
    <w:name w:val="EY Business address"/>
    <w:basedOn w:val="Normal"/>
    <w:rsid w:val="00A97A65"/>
    <w:pPr>
      <w:tabs>
        <w:tab w:val="left" w:pos="567"/>
      </w:tabs>
      <w:suppressAutoHyphens/>
      <w:spacing w:before="0" w:after="0" w:line="170" w:lineRule="exact"/>
      <w:jc w:val="left"/>
    </w:pPr>
    <w:rPr>
      <w:rFonts w:ascii="Arial" w:eastAsia="Times New Roman" w:hAnsi="Arial"/>
      <w:color w:val="666666"/>
      <w:kern w:val="12"/>
      <w:sz w:val="15"/>
      <w:szCs w:val="22"/>
      <w:lang w:val="en-GB" w:bidi="ar-SA"/>
    </w:rPr>
  </w:style>
  <w:style w:type="paragraph" w:customStyle="1" w:styleId="Normal19">
    <w:name w:val="Normal_19"/>
    <w:qFormat/>
    <w:pPr>
      <w:spacing w:after="0" w:line="240" w:lineRule="auto"/>
    </w:pPr>
    <w:rPr>
      <w:rFonts w:ascii="Times New Roman" w:eastAsia="Times New Roman" w:hAnsi="Times New Roman" w:cs="Times New Roman"/>
      <w:sz w:val="24"/>
      <w:szCs w:val="24"/>
    </w:rPr>
  </w:style>
  <w:style w:type="table" w:customStyle="1" w:styleId="CDMRange24">
    <w:name w:val="CDM Range 2_4"/>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ader1">
    <w:name w:val="Header_1"/>
    <w:basedOn w:val="Normal19"/>
    <w:link w:val="HeaderChar1"/>
    <w:uiPriority w:val="99"/>
    <w:unhideWhenUsed/>
    <w:rsid w:val="002872BB"/>
    <w:pPr>
      <w:tabs>
        <w:tab w:val="center" w:pos="4680"/>
        <w:tab w:val="right" w:pos="9360"/>
      </w:tabs>
      <w:jc w:val="both"/>
    </w:pPr>
    <w:rPr>
      <w:rFonts w:eastAsiaTheme="minorHAnsi"/>
      <w:sz w:val="20"/>
      <w:szCs w:val="20"/>
      <w:lang w:bidi="ar-SA"/>
    </w:rPr>
  </w:style>
  <w:style w:type="character" w:customStyle="1" w:styleId="HeaderChar1">
    <w:name w:val="Header Char_1"/>
    <w:basedOn w:val="DefaultParagraphFont"/>
    <w:link w:val="Header1"/>
    <w:uiPriority w:val="99"/>
    <w:rsid w:val="002872BB"/>
    <w:rPr>
      <w:rFonts w:asciiTheme="minorHAnsi" w:eastAsiaTheme="minorHAnsi" w:hAnsiTheme="minorHAnsi" w:cstheme="minorBidi"/>
      <w:sz w:val="22"/>
      <w:szCs w:val="22"/>
      <w:lang w:val="en-US" w:eastAsia="en-US" w:bidi="ar-SA"/>
    </w:rPr>
  </w:style>
  <w:style w:type="paragraph" w:customStyle="1" w:styleId="Normal200">
    <w:name w:val="Normal_20"/>
    <w:qFormat/>
    <w:pPr>
      <w:spacing w:after="0" w:line="240" w:lineRule="auto"/>
    </w:pPr>
    <w:rPr>
      <w:rFonts w:ascii="Times New Roman" w:eastAsia="Times New Roman" w:hAnsi="Times New Roman" w:cs="Times New Roman"/>
      <w:sz w:val="24"/>
      <w:szCs w:val="24"/>
    </w:rPr>
  </w:style>
  <w:style w:type="table" w:customStyle="1" w:styleId="CDMRange15">
    <w:name w:val="CDM Range 1_5"/>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21">
    <w:name w:val="Normal_21"/>
    <w:qFormat/>
    <w:pPr>
      <w:spacing w:after="0" w:line="240" w:lineRule="auto"/>
    </w:pPr>
    <w:rPr>
      <w:rFonts w:ascii="Times New Roman" w:eastAsia="Times New Roman" w:hAnsi="Times New Roman" w:cs="Times New Roman"/>
      <w:sz w:val="24"/>
      <w:szCs w:val="24"/>
    </w:rPr>
  </w:style>
  <w:style w:type="table" w:customStyle="1" w:styleId="CDMRange25">
    <w:name w:val="CDM Range 2_5"/>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ader2">
    <w:name w:val="Header_2"/>
    <w:basedOn w:val="Normal21"/>
    <w:link w:val="HeaderChar2"/>
    <w:uiPriority w:val="99"/>
    <w:unhideWhenUsed/>
    <w:rsid w:val="002872BB"/>
    <w:pPr>
      <w:tabs>
        <w:tab w:val="center" w:pos="4680"/>
        <w:tab w:val="right" w:pos="9360"/>
      </w:tabs>
      <w:jc w:val="both"/>
    </w:pPr>
    <w:rPr>
      <w:rFonts w:eastAsiaTheme="minorHAnsi"/>
      <w:sz w:val="20"/>
      <w:szCs w:val="20"/>
      <w:lang w:bidi="ar-SA"/>
    </w:rPr>
  </w:style>
  <w:style w:type="character" w:customStyle="1" w:styleId="HeaderChar2">
    <w:name w:val="Header Char_2"/>
    <w:basedOn w:val="DefaultParagraphFont"/>
    <w:link w:val="Header2"/>
    <w:uiPriority w:val="99"/>
    <w:rsid w:val="002872BB"/>
    <w:rPr>
      <w:rFonts w:asciiTheme="minorHAnsi" w:eastAsiaTheme="minorHAnsi" w:hAnsiTheme="minorHAnsi" w:cstheme="minorBidi"/>
      <w:sz w:val="22"/>
      <w:szCs w:val="22"/>
      <w:lang w:val="en-US" w:eastAsia="en-US" w:bidi="ar-SA"/>
    </w:rPr>
  </w:style>
  <w:style w:type="paragraph" w:customStyle="1" w:styleId="Normal22">
    <w:name w:val="Normal_22"/>
    <w:qFormat/>
    <w:pPr>
      <w:spacing w:after="0" w:line="240" w:lineRule="auto"/>
    </w:pPr>
    <w:rPr>
      <w:rFonts w:ascii="Times New Roman" w:eastAsia="Times New Roman" w:hAnsi="Times New Roman" w:cs="Times New Roman"/>
      <w:sz w:val="24"/>
      <w:szCs w:val="24"/>
    </w:rPr>
  </w:style>
  <w:style w:type="table" w:customStyle="1" w:styleId="CDMRange16">
    <w:name w:val="CDM Range 1_6"/>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ader3">
    <w:name w:val="Header_3"/>
    <w:basedOn w:val="Normal22"/>
    <w:link w:val="HeaderChar3"/>
    <w:uiPriority w:val="99"/>
    <w:unhideWhenUsed/>
    <w:rsid w:val="002872BB"/>
    <w:pPr>
      <w:tabs>
        <w:tab w:val="center" w:pos="4680"/>
        <w:tab w:val="right" w:pos="9360"/>
      </w:tabs>
      <w:jc w:val="both"/>
    </w:pPr>
    <w:rPr>
      <w:rFonts w:eastAsiaTheme="minorHAnsi"/>
      <w:sz w:val="20"/>
      <w:szCs w:val="20"/>
      <w:lang w:bidi="ar-SA"/>
    </w:rPr>
  </w:style>
  <w:style w:type="character" w:customStyle="1" w:styleId="HeaderChar3">
    <w:name w:val="Header Char_3"/>
    <w:basedOn w:val="DefaultParagraphFont"/>
    <w:link w:val="Header3"/>
    <w:uiPriority w:val="99"/>
    <w:rsid w:val="002872BB"/>
    <w:rPr>
      <w:rFonts w:asciiTheme="minorHAnsi" w:eastAsiaTheme="minorHAnsi" w:hAnsiTheme="minorHAnsi" w:cstheme="minorBidi"/>
      <w:sz w:val="22"/>
      <w:szCs w:val="22"/>
      <w:lang w:val="en-US" w:eastAsia="en-US" w:bidi="ar-SA"/>
    </w:rPr>
  </w:style>
  <w:style w:type="paragraph" w:customStyle="1" w:styleId="Normal23">
    <w:name w:val="Normal_23"/>
    <w:qFormat/>
    <w:pPr>
      <w:spacing w:after="0" w:line="240" w:lineRule="auto"/>
    </w:pPr>
    <w:rPr>
      <w:rFonts w:ascii="Times New Roman" w:eastAsia="Times New Roman" w:hAnsi="Times New Roman" w:cs="Times New Roman"/>
      <w:sz w:val="24"/>
      <w:szCs w:val="24"/>
    </w:rPr>
  </w:style>
  <w:style w:type="table" w:customStyle="1" w:styleId="CDMRange26">
    <w:name w:val="CDM Range 2_6"/>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ader4">
    <w:name w:val="Header_4"/>
    <w:basedOn w:val="Normal23"/>
    <w:link w:val="HeaderChar4"/>
    <w:uiPriority w:val="99"/>
    <w:unhideWhenUsed/>
    <w:rsid w:val="002872BB"/>
    <w:pPr>
      <w:tabs>
        <w:tab w:val="center" w:pos="4680"/>
        <w:tab w:val="right" w:pos="9360"/>
      </w:tabs>
      <w:jc w:val="both"/>
    </w:pPr>
    <w:rPr>
      <w:rFonts w:eastAsiaTheme="minorHAnsi"/>
      <w:sz w:val="20"/>
      <w:szCs w:val="20"/>
      <w:lang w:bidi="ar-SA"/>
    </w:rPr>
  </w:style>
  <w:style w:type="character" w:customStyle="1" w:styleId="HeaderChar4">
    <w:name w:val="Header Char_4"/>
    <w:basedOn w:val="DefaultParagraphFont"/>
    <w:link w:val="Header4"/>
    <w:uiPriority w:val="99"/>
    <w:rsid w:val="002872BB"/>
    <w:rPr>
      <w:rFonts w:asciiTheme="minorHAnsi" w:eastAsiaTheme="minorHAnsi" w:hAnsiTheme="minorHAnsi" w:cstheme="minorBidi"/>
      <w:sz w:val="22"/>
      <w:szCs w:val="22"/>
      <w:lang w:val="en-US" w:eastAsia="en-US" w:bidi="ar-SA"/>
    </w:rPr>
  </w:style>
  <w:style w:type="paragraph" w:customStyle="1" w:styleId="Normal25">
    <w:name w:val="Normal_25"/>
    <w:qFormat/>
    <w:pPr>
      <w:spacing w:after="0" w:line="240" w:lineRule="auto"/>
    </w:pPr>
    <w:rPr>
      <w:rFonts w:ascii="Times New Roman" w:eastAsia="Times New Roman" w:hAnsi="Times New Roman" w:cs="Times New Roman"/>
      <w:sz w:val="24"/>
      <w:szCs w:val="24"/>
    </w:rPr>
  </w:style>
  <w:style w:type="table" w:customStyle="1" w:styleId="CDMRange17">
    <w:name w:val="CDM Range 1_7"/>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26">
    <w:name w:val="Normal_26"/>
    <w:qFormat/>
    <w:pPr>
      <w:spacing w:after="0" w:line="240" w:lineRule="auto"/>
    </w:pPr>
    <w:rPr>
      <w:rFonts w:ascii="Times New Roman" w:eastAsia="Times New Roman" w:hAnsi="Times New Roman" w:cs="Times New Roman"/>
      <w:sz w:val="24"/>
      <w:szCs w:val="24"/>
    </w:rPr>
  </w:style>
  <w:style w:type="table" w:customStyle="1" w:styleId="CDMRange27">
    <w:name w:val="CDM Range 2_7"/>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27">
    <w:name w:val="Normal_27"/>
    <w:qFormat/>
    <w:pPr>
      <w:spacing w:after="0" w:line="240" w:lineRule="auto"/>
    </w:pPr>
    <w:rPr>
      <w:rFonts w:ascii="Times New Roman" w:eastAsia="Times New Roman" w:hAnsi="Times New Roman" w:cs="Times New Roman"/>
      <w:sz w:val="24"/>
      <w:szCs w:val="24"/>
    </w:rPr>
  </w:style>
  <w:style w:type="table" w:customStyle="1" w:styleId="CDMRange18">
    <w:name w:val="CDM Range 1_8"/>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ader5">
    <w:name w:val="Header_5"/>
    <w:basedOn w:val="Normal27"/>
    <w:link w:val="HeaderChar5"/>
    <w:uiPriority w:val="99"/>
    <w:unhideWhenUsed/>
    <w:rsid w:val="002872BB"/>
    <w:pPr>
      <w:tabs>
        <w:tab w:val="center" w:pos="4680"/>
        <w:tab w:val="right" w:pos="9360"/>
      </w:tabs>
      <w:jc w:val="both"/>
    </w:pPr>
    <w:rPr>
      <w:rFonts w:eastAsiaTheme="minorHAnsi"/>
      <w:sz w:val="20"/>
      <w:szCs w:val="20"/>
      <w:lang w:bidi="ar-SA"/>
    </w:rPr>
  </w:style>
  <w:style w:type="character" w:customStyle="1" w:styleId="HeaderChar5">
    <w:name w:val="Header Char_5"/>
    <w:basedOn w:val="DefaultParagraphFont"/>
    <w:link w:val="Header5"/>
    <w:uiPriority w:val="99"/>
    <w:rsid w:val="002872BB"/>
    <w:rPr>
      <w:rFonts w:asciiTheme="minorHAnsi" w:eastAsiaTheme="minorHAnsi" w:hAnsiTheme="minorHAnsi" w:cstheme="minorBidi"/>
      <w:sz w:val="22"/>
      <w:szCs w:val="22"/>
      <w:lang w:val="en-US" w:eastAsia="en-US" w:bidi="ar-SA"/>
    </w:rPr>
  </w:style>
  <w:style w:type="paragraph" w:customStyle="1" w:styleId="Normal28">
    <w:name w:val="Normal_28"/>
    <w:qFormat/>
    <w:pPr>
      <w:spacing w:after="0" w:line="240" w:lineRule="auto"/>
    </w:pPr>
    <w:rPr>
      <w:rFonts w:ascii="Times New Roman" w:eastAsia="Times New Roman" w:hAnsi="Times New Roman" w:cs="Times New Roman"/>
      <w:sz w:val="24"/>
      <w:szCs w:val="24"/>
    </w:rPr>
  </w:style>
  <w:style w:type="table" w:customStyle="1" w:styleId="CDMRange28">
    <w:name w:val="CDM Range 2_8"/>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29">
    <w:name w:val="Normal_29"/>
    <w:qFormat/>
    <w:pPr>
      <w:spacing w:after="0" w:line="240" w:lineRule="auto"/>
    </w:pPr>
    <w:rPr>
      <w:rFonts w:ascii="Times New Roman" w:eastAsia="Times New Roman" w:hAnsi="Times New Roman" w:cs="Times New Roman"/>
      <w:sz w:val="24"/>
      <w:szCs w:val="24"/>
    </w:rPr>
  </w:style>
  <w:style w:type="table" w:customStyle="1" w:styleId="CDMRange19">
    <w:name w:val="CDM Range 1_9"/>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ListParagraph0">
    <w:name w:val="List Paragraph_0"/>
    <w:basedOn w:val="Normal"/>
    <w:uiPriority w:val="34"/>
    <w:qFormat/>
    <w:rsid w:val="002D0E27"/>
    <w:pPr>
      <w:spacing w:before="0" w:after="0" w:line="264" w:lineRule="auto"/>
      <w:ind w:left="720"/>
      <w:contextualSpacing/>
    </w:pPr>
  </w:style>
  <w:style w:type="paragraph" w:styleId="PlainText">
    <w:name w:val="Plain Text"/>
    <w:basedOn w:val="Normal"/>
    <w:link w:val="PlainTextChar"/>
    <w:uiPriority w:val="99"/>
    <w:semiHidden/>
    <w:unhideWhenUsed/>
    <w:rsid w:val="003D1DA1"/>
    <w:pPr>
      <w:bidi/>
      <w:spacing w:before="0" w:after="0" w:line="240" w:lineRule="auto"/>
      <w:jc w:val="left"/>
    </w:pPr>
    <w:rPr>
      <w:rFonts w:ascii="Calibri" w:eastAsia="Times New Roman" w:hAnsi="Calibri" w:cstheme="minorBidi"/>
      <w:sz w:val="28"/>
      <w:szCs w:val="21"/>
      <w:lang w:val="en-GB" w:eastAsia="en-GB"/>
    </w:rPr>
  </w:style>
  <w:style w:type="character" w:customStyle="1" w:styleId="PlainTextChar">
    <w:name w:val="Plain Text Char"/>
    <w:basedOn w:val="DefaultParagraphFont"/>
    <w:link w:val="PlainText"/>
    <w:uiPriority w:val="99"/>
    <w:semiHidden/>
    <w:rsid w:val="003D1DA1"/>
    <w:rPr>
      <w:rFonts w:ascii="Calibri" w:eastAsia="Times New Roman" w:hAnsi="Calibri"/>
      <w:sz w:val="28"/>
      <w:szCs w:val="21"/>
      <w:lang w:val="en-GB" w:eastAsia="en-GB"/>
    </w:rPr>
  </w:style>
  <w:style w:type="paragraph" w:customStyle="1" w:styleId="Normal30">
    <w:name w:val="Normal_30"/>
    <w:qFormat/>
    <w:pPr>
      <w:spacing w:after="0" w:line="240" w:lineRule="auto"/>
    </w:pPr>
    <w:rPr>
      <w:rFonts w:ascii="Times New Roman" w:eastAsia="Times New Roman" w:hAnsi="Times New Roman" w:cs="Times New Roman"/>
      <w:sz w:val="24"/>
      <w:szCs w:val="24"/>
    </w:rPr>
  </w:style>
  <w:style w:type="table" w:customStyle="1" w:styleId="CDMRange29">
    <w:name w:val="CDM Range 2_9"/>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ListParagraph13">
    <w:name w:val="List Paragraph_13"/>
    <w:basedOn w:val="Normal"/>
    <w:uiPriority w:val="34"/>
    <w:qFormat/>
    <w:rsid w:val="00F35320"/>
    <w:pPr>
      <w:bidi/>
      <w:spacing w:before="0" w:after="0" w:line="264" w:lineRule="auto"/>
      <w:ind w:left="720"/>
      <w:contextualSpacing/>
    </w:pPr>
  </w:style>
  <w:style w:type="paragraph" w:customStyle="1" w:styleId="Normal31">
    <w:name w:val="Normal_31"/>
    <w:qFormat/>
    <w:rsid w:val="00065D1F"/>
    <w:pPr>
      <w:bidi/>
      <w:spacing w:after="0" w:line="264" w:lineRule="auto"/>
      <w:jc w:val="both"/>
    </w:pPr>
    <w:rPr>
      <w:rFonts w:ascii="Times New Roman" w:hAnsi="Times New Roman" w:cs="Times New Roman"/>
      <w:sz w:val="20"/>
      <w:szCs w:val="20"/>
    </w:rPr>
  </w:style>
  <w:style w:type="paragraph" w:customStyle="1" w:styleId="Normal32">
    <w:name w:val="Normal_32"/>
    <w:qFormat/>
    <w:pPr>
      <w:spacing w:after="0" w:line="240" w:lineRule="auto"/>
    </w:pPr>
    <w:rPr>
      <w:rFonts w:ascii="Times New Roman" w:eastAsia="Times New Roman" w:hAnsi="Times New Roman" w:cs="Times New Roman"/>
      <w:sz w:val="24"/>
      <w:szCs w:val="24"/>
    </w:rPr>
  </w:style>
  <w:style w:type="table" w:customStyle="1" w:styleId="CDMRange110">
    <w:name w:val="CDM Range 1_10"/>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33">
    <w:name w:val="Normal_33"/>
    <w:qFormat/>
    <w:pPr>
      <w:spacing w:after="0" w:line="240" w:lineRule="auto"/>
    </w:pPr>
    <w:rPr>
      <w:rFonts w:ascii="Times New Roman" w:eastAsia="Times New Roman" w:hAnsi="Times New Roman" w:cs="Times New Roman"/>
      <w:sz w:val="24"/>
      <w:szCs w:val="24"/>
    </w:rPr>
  </w:style>
  <w:style w:type="table" w:customStyle="1" w:styleId="CDMRange210">
    <w:name w:val="CDM Range 2_10"/>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34">
    <w:name w:val="Normal_34"/>
    <w:qFormat/>
    <w:pPr>
      <w:spacing w:after="0" w:line="240" w:lineRule="auto"/>
    </w:pPr>
    <w:rPr>
      <w:rFonts w:ascii="Times New Roman" w:eastAsia="Times New Roman" w:hAnsi="Times New Roman" w:cs="Times New Roman"/>
      <w:sz w:val="24"/>
      <w:szCs w:val="24"/>
    </w:rPr>
  </w:style>
  <w:style w:type="table" w:customStyle="1" w:styleId="CDMRange111">
    <w:name w:val="CDM Range 1_11"/>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35">
    <w:name w:val="Normal_35"/>
    <w:qFormat/>
    <w:pPr>
      <w:spacing w:after="0" w:line="240" w:lineRule="auto"/>
    </w:pPr>
    <w:rPr>
      <w:rFonts w:ascii="Times New Roman" w:eastAsia="Times New Roman" w:hAnsi="Times New Roman" w:cs="Times New Roman"/>
      <w:sz w:val="24"/>
      <w:szCs w:val="24"/>
    </w:rPr>
  </w:style>
  <w:style w:type="table" w:customStyle="1" w:styleId="CDMRange211">
    <w:name w:val="CDM Range 2_11"/>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36">
    <w:name w:val="Normal_36"/>
    <w:qFormat/>
    <w:pPr>
      <w:spacing w:after="0" w:line="240" w:lineRule="auto"/>
    </w:pPr>
    <w:rPr>
      <w:rFonts w:ascii="Times New Roman" w:eastAsia="Times New Roman" w:hAnsi="Times New Roman" w:cs="Times New Roman"/>
      <w:sz w:val="24"/>
      <w:szCs w:val="24"/>
    </w:rPr>
  </w:style>
  <w:style w:type="table" w:customStyle="1" w:styleId="CDMRange112">
    <w:name w:val="CDM Range 1_12"/>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ader6">
    <w:name w:val="Header_6"/>
    <w:basedOn w:val="Normal36"/>
    <w:link w:val="HeaderChar6"/>
    <w:uiPriority w:val="99"/>
    <w:unhideWhenUsed/>
    <w:rsid w:val="002872BB"/>
    <w:pPr>
      <w:tabs>
        <w:tab w:val="center" w:pos="4680"/>
        <w:tab w:val="right" w:pos="9360"/>
      </w:tabs>
      <w:jc w:val="both"/>
    </w:pPr>
    <w:rPr>
      <w:rFonts w:eastAsiaTheme="minorHAnsi"/>
      <w:sz w:val="20"/>
      <w:szCs w:val="20"/>
      <w:lang w:bidi="ar-SA"/>
    </w:rPr>
  </w:style>
  <w:style w:type="character" w:customStyle="1" w:styleId="HeaderChar6">
    <w:name w:val="Header Char_6"/>
    <w:basedOn w:val="DefaultParagraphFont"/>
    <w:link w:val="Header6"/>
    <w:uiPriority w:val="99"/>
    <w:rsid w:val="002872BB"/>
    <w:rPr>
      <w:rFonts w:asciiTheme="minorHAnsi" w:eastAsiaTheme="minorHAnsi" w:hAnsiTheme="minorHAnsi" w:cstheme="minorBidi"/>
      <w:sz w:val="22"/>
      <w:szCs w:val="22"/>
      <w:lang w:val="en-US" w:eastAsia="en-US" w:bidi="ar-SA"/>
    </w:rPr>
  </w:style>
  <w:style w:type="paragraph" w:customStyle="1" w:styleId="Normal37">
    <w:name w:val="Normal_37"/>
    <w:qFormat/>
    <w:pPr>
      <w:spacing w:after="0" w:line="240" w:lineRule="auto"/>
    </w:pPr>
    <w:rPr>
      <w:rFonts w:ascii="Times New Roman" w:eastAsia="Times New Roman" w:hAnsi="Times New Roman" w:cs="Times New Roman"/>
      <w:sz w:val="24"/>
      <w:szCs w:val="24"/>
    </w:rPr>
  </w:style>
  <w:style w:type="table" w:customStyle="1" w:styleId="CDMRange212">
    <w:name w:val="CDM Range 2_12"/>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38">
    <w:name w:val="Normal_38"/>
    <w:qFormat/>
    <w:pPr>
      <w:spacing w:after="0" w:line="240" w:lineRule="auto"/>
    </w:pPr>
    <w:rPr>
      <w:rFonts w:ascii="Times New Roman" w:eastAsia="Times New Roman" w:hAnsi="Times New Roman" w:cs="Times New Roman"/>
      <w:sz w:val="24"/>
      <w:szCs w:val="24"/>
    </w:rPr>
  </w:style>
  <w:style w:type="table" w:customStyle="1" w:styleId="CDMRange113">
    <w:name w:val="CDM Range 1_13"/>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ader7">
    <w:name w:val="Header_7"/>
    <w:basedOn w:val="Normal38"/>
    <w:link w:val="HeaderChar7"/>
    <w:uiPriority w:val="99"/>
    <w:unhideWhenUsed/>
    <w:rsid w:val="002872BB"/>
    <w:pPr>
      <w:tabs>
        <w:tab w:val="center" w:pos="4680"/>
        <w:tab w:val="right" w:pos="9360"/>
      </w:tabs>
      <w:jc w:val="both"/>
    </w:pPr>
    <w:rPr>
      <w:rFonts w:eastAsiaTheme="minorHAnsi"/>
      <w:sz w:val="20"/>
      <w:szCs w:val="20"/>
      <w:lang w:bidi="ar-SA"/>
    </w:rPr>
  </w:style>
  <w:style w:type="character" w:customStyle="1" w:styleId="HeaderChar7">
    <w:name w:val="Header Char_7"/>
    <w:basedOn w:val="DefaultParagraphFont"/>
    <w:link w:val="Header7"/>
    <w:uiPriority w:val="99"/>
    <w:rsid w:val="002872BB"/>
    <w:rPr>
      <w:rFonts w:asciiTheme="minorHAnsi" w:eastAsiaTheme="minorHAnsi" w:hAnsiTheme="minorHAnsi" w:cstheme="minorBidi"/>
      <w:sz w:val="22"/>
      <w:szCs w:val="22"/>
      <w:lang w:val="en-US" w:eastAsia="en-US" w:bidi="ar-SA"/>
    </w:rPr>
  </w:style>
  <w:style w:type="paragraph" w:customStyle="1" w:styleId="Normal39">
    <w:name w:val="Normal_39"/>
    <w:qFormat/>
    <w:pPr>
      <w:spacing w:after="0" w:line="240" w:lineRule="auto"/>
    </w:pPr>
    <w:rPr>
      <w:rFonts w:ascii="Times New Roman" w:eastAsia="Times New Roman" w:hAnsi="Times New Roman" w:cs="Times New Roman"/>
      <w:sz w:val="24"/>
      <w:szCs w:val="24"/>
    </w:rPr>
  </w:style>
  <w:style w:type="table" w:customStyle="1" w:styleId="CDMRange213">
    <w:name w:val="CDM Range 2_13"/>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ader8">
    <w:name w:val="Header_8"/>
    <w:basedOn w:val="Normal39"/>
    <w:link w:val="HeaderChar8"/>
    <w:uiPriority w:val="99"/>
    <w:unhideWhenUsed/>
    <w:rsid w:val="002872BB"/>
    <w:pPr>
      <w:tabs>
        <w:tab w:val="center" w:pos="4680"/>
        <w:tab w:val="right" w:pos="9360"/>
      </w:tabs>
      <w:jc w:val="both"/>
    </w:pPr>
    <w:rPr>
      <w:rFonts w:eastAsiaTheme="minorHAnsi"/>
      <w:sz w:val="20"/>
      <w:szCs w:val="20"/>
      <w:lang w:bidi="ar-SA"/>
    </w:rPr>
  </w:style>
  <w:style w:type="character" w:customStyle="1" w:styleId="HeaderChar8">
    <w:name w:val="Header Char_8"/>
    <w:basedOn w:val="DefaultParagraphFont"/>
    <w:link w:val="Header8"/>
    <w:uiPriority w:val="99"/>
    <w:rsid w:val="002872BB"/>
    <w:rPr>
      <w:rFonts w:asciiTheme="minorHAnsi" w:eastAsiaTheme="minorHAnsi" w:hAnsiTheme="minorHAnsi" w:cstheme="minorBidi"/>
      <w:sz w:val="22"/>
      <w:szCs w:val="22"/>
      <w:lang w:val="en-US" w:eastAsia="en-US" w:bidi="ar-SA"/>
    </w:rPr>
  </w:style>
  <w:style w:type="paragraph" w:customStyle="1" w:styleId="Normal400">
    <w:name w:val="Normal_40"/>
    <w:qFormat/>
    <w:pPr>
      <w:spacing w:after="0" w:line="240" w:lineRule="auto"/>
    </w:pPr>
    <w:rPr>
      <w:rFonts w:ascii="Times New Roman" w:eastAsia="Times New Roman" w:hAnsi="Times New Roman" w:cs="Times New Roman"/>
      <w:sz w:val="24"/>
      <w:szCs w:val="24"/>
    </w:rPr>
  </w:style>
  <w:style w:type="table" w:customStyle="1" w:styleId="CDMRange114">
    <w:name w:val="CDM Range 1_14"/>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ader9">
    <w:name w:val="Header_9"/>
    <w:basedOn w:val="Normal400"/>
    <w:link w:val="HeaderChar9"/>
    <w:uiPriority w:val="99"/>
    <w:unhideWhenUsed/>
    <w:rsid w:val="002872BB"/>
    <w:pPr>
      <w:tabs>
        <w:tab w:val="center" w:pos="4680"/>
        <w:tab w:val="right" w:pos="9360"/>
      </w:tabs>
      <w:jc w:val="both"/>
    </w:pPr>
    <w:rPr>
      <w:rFonts w:eastAsiaTheme="minorHAnsi"/>
      <w:sz w:val="20"/>
      <w:szCs w:val="20"/>
      <w:lang w:bidi="ar-SA"/>
    </w:rPr>
  </w:style>
  <w:style w:type="character" w:customStyle="1" w:styleId="HeaderChar9">
    <w:name w:val="Header Char_9"/>
    <w:basedOn w:val="DefaultParagraphFont"/>
    <w:link w:val="Header9"/>
    <w:uiPriority w:val="99"/>
    <w:rsid w:val="002872BB"/>
    <w:rPr>
      <w:rFonts w:asciiTheme="minorHAnsi" w:eastAsiaTheme="minorHAnsi" w:hAnsiTheme="minorHAnsi" w:cstheme="minorBidi"/>
      <w:sz w:val="22"/>
      <w:szCs w:val="22"/>
      <w:lang w:val="en-US" w:eastAsia="en-US" w:bidi="ar-SA"/>
    </w:rPr>
  </w:style>
  <w:style w:type="paragraph" w:customStyle="1" w:styleId="Normal41">
    <w:name w:val="Normal_41"/>
    <w:qFormat/>
    <w:pPr>
      <w:spacing w:after="0" w:line="240" w:lineRule="auto"/>
    </w:pPr>
    <w:rPr>
      <w:rFonts w:ascii="Times New Roman" w:eastAsia="Times New Roman" w:hAnsi="Times New Roman" w:cs="Times New Roman"/>
      <w:sz w:val="24"/>
      <w:szCs w:val="24"/>
    </w:rPr>
  </w:style>
  <w:style w:type="table" w:customStyle="1" w:styleId="CDMRange214">
    <w:name w:val="CDM Range 2_14"/>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42">
    <w:name w:val="Normal_42"/>
    <w:qFormat/>
    <w:pPr>
      <w:spacing w:after="0" w:line="240" w:lineRule="auto"/>
    </w:pPr>
    <w:rPr>
      <w:rFonts w:ascii="Times New Roman" w:eastAsia="Times New Roman" w:hAnsi="Times New Roman" w:cs="Times New Roman"/>
      <w:sz w:val="24"/>
      <w:szCs w:val="24"/>
    </w:rPr>
  </w:style>
  <w:style w:type="table" w:customStyle="1" w:styleId="CDMRange115">
    <w:name w:val="CDM Range 1_15"/>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43">
    <w:name w:val="Normal_43"/>
    <w:qFormat/>
    <w:pPr>
      <w:spacing w:after="0" w:line="240" w:lineRule="auto"/>
    </w:pPr>
    <w:rPr>
      <w:rFonts w:ascii="Times New Roman" w:eastAsia="Times New Roman" w:hAnsi="Times New Roman" w:cs="Times New Roman"/>
      <w:sz w:val="24"/>
      <w:szCs w:val="24"/>
    </w:rPr>
  </w:style>
  <w:style w:type="table" w:customStyle="1" w:styleId="CDMRange215">
    <w:name w:val="CDM Range 2_15"/>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44">
    <w:name w:val="Normal_44"/>
    <w:qFormat/>
    <w:pPr>
      <w:spacing w:after="0" w:line="240" w:lineRule="auto"/>
    </w:pPr>
    <w:rPr>
      <w:rFonts w:ascii="Times New Roman" w:eastAsia="Times New Roman" w:hAnsi="Times New Roman" w:cs="Times New Roman"/>
      <w:sz w:val="24"/>
      <w:szCs w:val="24"/>
    </w:rPr>
  </w:style>
  <w:style w:type="table" w:customStyle="1" w:styleId="CDMRange116">
    <w:name w:val="CDM Range 1_16"/>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Bodytext2">
    <w:name w:val="Body text (2)"/>
    <w:basedOn w:val="Normal"/>
    <w:link w:val="Bodytext20"/>
    <w:uiPriority w:val="99"/>
    <w:rsid w:val="00392061"/>
    <w:pPr>
      <w:shd w:val="clear" w:color="auto" w:fill="FFFFFF"/>
      <w:spacing w:before="180" w:after="180" w:line="254" w:lineRule="exact"/>
    </w:pPr>
    <w:rPr>
      <w:sz w:val="21"/>
      <w:szCs w:val="21"/>
    </w:rPr>
  </w:style>
  <w:style w:type="character" w:customStyle="1" w:styleId="Bodytext20">
    <w:name w:val="Body text (2)_"/>
    <w:link w:val="Bodytext2"/>
    <w:uiPriority w:val="99"/>
    <w:locked/>
    <w:rsid w:val="00392061"/>
    <w:rPr>
      <w:rFonts w:ascii="Times New Roman" w:hAnsi="Times New Roman" w:cs="Times New Roman"/>
      <w:sz w:val="21"/>
      <w:szCs w:val="21"/>
      <w:shd w:val="clear" w:color="auto" w:fill="FFFFFF"/>
    </w:rPr>
  </w:style>
  <w:style w:type="paragraph" w:styleId="Footer">
    <w:name w:val="footer"/>
    <w:basedOn w:val="Normal"/>
    <w:link w:val="FooterChar"/>
    <w:uiPriority w:val="99"/>
    <w:unhideWhenUsed/>
    <w:rsid w:val="00CD671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6715"/>
    <w:rPr>
      <w:rFonts w:ascii="Times New Roman" w:hAnsi="Times New Roman" w:cs="Times New Roman"/>
      <w:sz w:val="20"/>
      <w:szCs w:val="20"/>
    </w:rPr>
  </w:style>
  <w:style w:type="table" w:customStyle="1" w:styleId="TableGrid11">
    <w:name w:val="Table Grid11"/>
    <w:basedOn w:val="TableNormal"/>
    <w:next w:val="TableGrid"/>
    <w:rsid w:val="00843B24"/>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338E"/>
    <w:rPr>
      <w:rFonts w:asciiTheme="majorHAnsi" w:eastAsiaTheme="majorEastAsia" w:hAnsiTheme="majorHAnsi" w:cstheme="majorBidi"/>
      <w:color w:val="365F91" w:themeColor="accent1" w:themeShade="BF"/>
      <w:sz w:val="26"/>
      <w:szCs w:val="26"/>
    </w:rPr>
  </w:style>
  <w:style w:type="paragraph" w:customStyle="1" w:styleId="ListParagraph20">
    <w:name w:val="List Paragraph_2_0"/>
    <w:basedOn w:val="Normal"/>
    <w:uiPriority w:val="34"/>
    <w:qFormat/>
    <w:rsid w:val="001056AB"/>
    <w:pPr>
      <w:ind w:left="720"/>
      <w:contextualSpacing/>
    </w:pPr>
    <w:rPr>
      <w:rFonts w:eastAsia="Calibri"/>
    </w:rPr>
  </w:style>
  <w:style w:type="paragraph" w:customStyle="1" w:styleId="Normal410">
    <w:name w:val="Normal_4_1"/>
    <w:qFormat/>
    <w:rsid w:val="000B41AF"/>
    <w:pPr>
      <w:spacing w:before="60" w:after="60"/>
      <w:jc w:val="both"/>
    </w:pPr>
    <w:rPr>
      <w:rFonts w:ascii="Times New Roman" w:eastAsia="Calibri" w:hAnsi="Times New Roman" w:cs="Times New Roman"/>
      <w:sz w:val="20"/>
      <w:szCs w:val="20"/>
      <w:lang w:val="en-GB" w:eastAsia="en-GB"/>
    </w:rPr>
  </w:style>
  <w:style w:type="character" w:customStyle="1" w:styleId="Heading3Char">
    <w:name w:val="Heading 3 Char"/>
    <w:basedOn w:val="DefaultParagraphFont"/>
    <w:link w:val="Heading3"/>
    <w:rsid w:val="00814ACA"/>
    <w:rPr>
      <w:rFonts w:asciiTheme="majorHAnsi" w:eastAsiaTheme="majorEastAsia" w:hAnsiTheme="majorHAnsi" w:cstheme="majorBidi"/>
      <w:color w:val="243F60" w:themeColor="accent1" w:themeShade="7F"/>
      <w:sz w:val="24"/>
      <w:szCs w:val="24"/>
    </w:rPr>
  </w:style>
  <w:style w:type="paragraph" w:customStyle="1" w:styleId="BodyText0">
    <w:name w:val="Body Text_0"/>
    <w:basedOn w:val="Normal"/>
    <w:link w:val="BodyTextChar0"/>
    <w:unhideWhenUsed/>
    <w:rsid w:val="00814ACA"/>
    <w:pPr>
      <w:spacing w:before="0" w:after="0" w:line="240" w:lineRule="auto"/>
    </w:pPr>
    <w:rPr>
      <w:rFonts w:eastAsia="Times New Roman"/>
      <w:b/>
      <w:bCs/>
      <w:sz w:val="24"/>
      <w:lang w:eastAsia="he-IL"/>
    </w:rPr>
  </w:style>
  <w:style w:type="character" w:customStyle="1" w:styleId="BodyTextChar0">
    <w:name w:val="Body Text Char_0"/>
    <w:basedOn w:val="DefaultParagraphFont"/>
    <w:link w:val="BodyText0"/>
    <w:rsid w:val="00814ACA"/>
    <w:rPr>
      <w:rFonts w:ascii="Times New Roman" w:eastAsia="Times New Roman" w:hAnsi="Times New Roman" w:cs="Times New Roman"/>
      <w:b/>
      <w:bCs/>
      <w:sz w:val="24"/>
      <w:szCs w:val="20"/>
      <w:lang w:eastAsia="he-IL"/>
    </w:rPr>
  </w:style>
  <w:style w:type="paragraph" w:customStyle="1" w:styleId="3">
    <w:name w:val="מא3"/>
    <w:basedOn w:val="Normal"/>
    <w:link w:val="30"/>
    <w:rsid w:val="00814ACA"/>
    <w:pPr>
      <w:tabs>
        <w:tab w:val="left" w:pos="1701"/>
        <w:tab w:val="left" w:pos="2268"/>
      </w:tabs>
      <w:overflowPunct w:val="0"/>
      <w:autoSpaceDE w:val="0"/>
      <w:autoSpaceDN w:val="0"/>
      <w:bidi/>
      <w:adjustRightInd w:val="0"/>
      <w:spacing w:before="0" w:after="0" w:line="240" w:lineRule="auto"/>
      <w:ind w:left="2268" w:hanging="567"/>
    </w:pPr>
    <w:rPr>
      <w:rFonts w:eastAsia="Calibri"/>
      <w:szCs w:val="24"/>
      <w:lang w:eastAsia="he-IL" w:bidi="ar-SA"/>
    </w:rPr>
  </w:style>
  <w:style w:type="character" w:customStyle="1" w:styleId="30">
    <w:name w:val="מא3 תו"/>
    <w:link w:val="3"/>
    <w:locked/>
    <w:rsid w:val="00814ACA"/>
    <w:rPr>
      <w:rFonts w:ascii="Times New Roman" w:eastAsia="Calibri" w:hAnsi="Times New Roman" w:cs="Times New Roman"/>
      <w:sz w:val="20"/>
      <w:szCs w:val="24"/>
      <w:lang w:eastAsia="he-IL" w:bidi="ar-SA"/>
    </w:rPr>
  </w:style>
  <w:style w:type="paragraph" w:customStyle="1" w:styleId="ListParagraph41">
    <w:name w:val="List Paragraph_41"/>
    <w:basedOn w:val="Normal39"/>
    <w:uiPriority w:val="34"/>
    <w:rsid w:val="00814ACA"/>
    <w:pPr>
      <w:bidi/>
      <w:ind w:left="720"/>
      <w:contextualSpacing/>
    </w:pPr>
    <w:rPr>
      <w:rFonts w:ascii="Arial" w:eastAsia="Calibri" w:hAnsi="Arial" w:cs="Arial"/>
      <w:sz w:val="20"/>
      <w:szCs w:val="20"/>
      <w:lang w:val="en-AU" w:eastAsia="en-AU"/>
    </w:rPr>
  </w:style>
  <w:style w:type="paragraph" w:styleId="BodyTextIndent2">
    <w:name w:val="Body Text Indent 2"/>
    <w:basedOn w:val="Normal"/>
    <w:link w:val="BodyTextIndent2Char"/>
    <w:uiPriority w:val="99"/>
    <w:semiHidden/>
    <w:unhideWhenUsed/>
    <w:rsid w:val="00B53563"/>
    <w:pPr>
      <w:spacing w:after="120" w:line="480" w:lineRule="auto"/>
      <w:ind w:left="283"/>
    </w:pPr>
  </w:style>
  <w:style w:type="character" w:customStyle="1" w:styleId="BodyTextIndent2Char">
    <w:name w:val="Body Text Indent 2 Char"/>
    <w:basedOn w:val="DefaultParagraphFont"/>
    <w:link w:val="BodyTextIndent2"/>
    <w:uiPriority w:val="99"/>
    <w:semiHidden/>
    <w:rsid w:val="00B53563"/>
    <w:rPr>
      <w:rFonts w:ascii="Times New Roman" w:hAnsi="Times New Roman" w:cs="Times New Roman"/>
      <w:sz w:val="20"/>
      <w:szCs w:val="20"/>
    </w:rPr>
  </w:style>
  <w:style w:type="paragraph" w:customStyle="1" w:styleId="Normal1">
    <w:name w:val="Normal__1"/>
    <w:basedOn w:val="Heading1"/>
    <w:rsid w:val="00B53563"/>
    <w:pPr>
      <w:numPr>
        <w:numId w:val="17"/>
      </w:numPr>
      <w:autoSpaceDE w:val="0"/>
      <w:autoSpaceDN w:val="0"/>
      <w:spacing w:before="60" w:after="60" w:line="276" w:lineRule="auto"/>
      <w:jc w:val="both"/>
      <w:outlineLvl w:val="9"/>
    </w:pPr>
    <w:rPr>
      <w:rFonts w:cs="Times New Roman"/>
      <w:b w:val="0"/>
      <w:bCs w:val="0"/>
      <w:kern w:val="28"/>
      <w:sz w:val="20"/>
    </w:rPr>
  </w:style>
  <w:style w:type="paragraph" w:customStyle="1" w:styleId="Normal2">
    <w:name w:val="Normal__2"/>
    <w:basedOn w:val="Heading1"/>
    <w:rsid w:val="00B53563"/>
    <w:pPr>
      <w:numPr>
        <w:ilvl w:val="1"/>
        <w:numId w:val="17"/>
      </w:numPr>
      <w:autoSpaceDE w:val="0"/>
      <w:autoSpaceDN w:val="0"/>
      <w:spacing w:before="60" w:after="60" w:line="276" w:lineRule="auto"/>
      <w:jc w:val="both"/>
      <w:outlineLvl w:val="9"/>
    </w:pPr>
    <w:rPr>
      <w:rFonts w:cs="Times New Roman"/>
      <w:b w:val="0"/>
      <w:bCs w:val="0"/>
      <w:kern w:val="28"/>
      <w:sz w:val="20"/>
    </w:rPr>
  </w:style>
  <w:style w:type="paragraph" w:customStyle="1" w:styleId="Normal4">
    <w:name w:val="Normal__4"/>
    <w:basedOn w:val="Heading1"/>
    <w:link w:val="Normal4Char"/>
    <w:rsid w:val="00B53563"/>
    <w:pPr>
      <w:numPr>
        <w:ilvl w:val="2"/>
        <w:numId w:val="17"/>
      </w:numPr>
      <w:autoSpaceDE w:val="0"/>
      <w:autoSpaceDN w:val="0"/>
      <w:spacing w:before="60" w:after="60" w:line="276" w:lineRule="auto"/>
      <w:jc w:val="both"/>
      <w:outlineLvl w:val="9"/>
    </w:pPr>
    <w:rPr>
      <w:rFonts w:cs="Times New Roman"/>
      <w:b w:val="0"/>
      <w:bCs w:val="0"/>
      <w:kern w:val="28"/>
      <w:sz w:val="20"/>
    </w:rPr>
  </w:style>
  <w:style w:type="character" w:customStyle="1" w:styleId="Normal4Char">
    <w:name w:val="Normal__4 Char"/>
    <w:basedOn w:val="Heading1Char"/>
    <w:link w:val="Normal4"/>
    <w:rsid w:val="00B53563"/>
    <w:rPr>
      <w:rFonts w:ascii="Times New Roman" w:eastAsia="Times New Roman" w:hAnsi="Times New Roman" w:cs="Times New Roman"/>
      <w:b w:val="0"/>
      <w:bCs w:val="0"/>
      <w:kern w:val="28"/>
      <w:sz w:val="20"/>
      <w:szCs w:val="20"/>
      <w:u w:val="single"/>
      <w:lang w:eastAsia="he-IL"/>
    </w:rPr>
  </w:style>
  <w:style w:type="paragraph" w:customStyle="1" w:styleId="Normal50">
    <w:name w:val="Normal__5"/>
    <w:basedOn w:val="Heading1"/>
    <w:link w:val="Normal5Char"/>
    <w:rsid w:val="00B53563"/>
    <w:pPr>
      <w:autoSpaceDE w:val="0"/>
      <w:autoSpaceDN w:val="0"/>
      <w:spacing w:before="60" w:after="60" w:line="276" w:lineRule="auto"/>
      <w:ind w:left="1276" w:hanging="142"/>
      <w:jc w:val="both"/>
      <w:outlineLvl w:val="9"/>
    </w:pPr>
    <w:rPr>
      <w:rFonts w:cs="Times New Roman"/>
      <w:b w:val="0"/>
      <w:bCs w:val="0"/>
      <w:kern w:val="28"/>
      <w:sz w:val="16"/>
      <w:szCs w:val="16"/>
      <w:bdr w:val="none" w:sz="0" w:space="0" w:color="auto" w:frame="1"/>
    </w:rPr>
  </w:style>
  <w:style w:type="character" w:customStyle="1" w:styleId="Normal5Char">
    <w:name w:val="Normal__5 Char"/>
    <w:basedOn w:val="Heading1Char"/>
    <w:link w:val="Normal50"/>
    <w:rsid w:val="00B53563"/>
    <w:rPr>
      <w:rFonts w:ascii="Times New Roman" w:eastAsia="Times New Roman" w:hAnsi="Times New Roman" w:cs="Times New Roman"/>
      <w:b w:val="0"/>
      <w:bCs w:val="0"/>
      <w:kern w:val="28"/>
      <w:sz w:val="16"/>
      <w:szCs w:val="16"/>
      <w:u w:val="single"/>
      <w:bdr w:val="none" w:sz="0" w:space="0" w:color="auto" w:frame="1"/>
      <w:lang w:eastAsia="he-IL"/>
    </w:rPr>
  </w:style>
  <w:style w:type="character" w:customStyle="1" w:styleId="ListParagraphChar">
    <w:name w:val="List Paragraph Char"/>
    <w:link w:val="ListParagraph"/>
    <w:uiPriority w:val="34"/>
    <w:locked/>
    <w:rsid w:val="00B53563"/>
    <w:rPr>
      <w:rFonts w:ascii="Times New Roman" w:hAnsi="Times New Roman" w:cs="Times New Roman"/>
      <w:sz w:val="20"/>
      <w:szCs w:val="20"/>
    </w:rPr>
  </w:style>
  <w:style w:type="table" w:customStyle="1" w:styleId="CDMRange201">
    <w:name w:val="CDM Range 2_01"/>
    <w:basedOn w:val="TableNormal"/>
    <w:next w:val="TableNormal"/>
    <w:semiHidden/>
    <w:rsid w:val="00523618"/>
    <w:pPr>
      <w:spacing w:after="0" w:line="240" w:lineRule="auto"/>
    </w:pPr>
    <w:rPr>
      <w:rFonts w:ascii="Times New Roman" w:eastAsia="Times New Roman" w:hAnsi="Times New Roman" w:cs="Times New Roman"/>
      <w:sz w:val="24"/>
      <w:szCs w:val="24"/>
    </w:rPr>
    <w:tblPr/>
  </w:style>
  <w:style w:type="table" w:customStyle="1" w:styleId="TableGrid2">
    <w:name w:val="Table Grid2"/>
    <w:basedOn w:val="TableNormal"/>
    <w:next w:val="TableGrid"/>
    <w:uiPriority w:val="59"/>
    <w:rsid w:val="000A0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E0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00">
    <w:name w:val="Body Text_0_0_0"/>
    <w:basedOn w:val="Normal"/>
    <w:link w:val="BodyTextChar000"/>
    <w:rsid w:val="00373ED2"/>
    <w:pPr>
      <w:spacing w:before="0" w:after="0" w:line="240" w:lineRule="auto"/>
    </w:pPr>
    <w:rPr>
      <w:rFonts w:eastAsia="Times New Roman"/>
      <w:b/>
      <w:bCs/>
      <w:sz w:val="24"/>
      <w:lang w:eastAsia="he-IL"/>
    </w:rPr>
  </w:style>
  <w:style w:type="character" w:customStyle="1" w:styleId="BodyTextChar000">
    <w:name w:val="Body Text Char_0_0_0"/>
    <w:basedOn w:val="DefaultParagraphFont"/>
    <w:link w:val="BodyText000"/>
    <w:locked/>
    <w:rsid w:val="00373ED2"/>
    <w:rPr>
      <w:rFonts w:ascii="Times New Roman" w:eastAsia="Times New Roman" w:hAnsi="Times New Roman" w:cs="Times New Roman"/>
      <w:b/>
      <w:bCs/>
      <w:sz w:val="24"/>
      <w:szCs w:val="20"/>
      <w:lang w:eastAsia="he-IL"/>
    </w:rPr>
  </w:style>
  <w:style w:type="table" w:customStyle="1" w:styleId="TableGrid3">
    <w:name w:val="Table Grid3"/>
    <w:basedOn w:val="TableNormal"/>
    <w:next w:val="TableGrid"/>
    <w:uiPriority w:val="59"/>
    <w:rsid w:val="00AC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C70AE"/>
    <w:pPr>
      <w:spacing w:after="0" w:line="240" w:lineRule="auto"/>
      <w:jc w:val="right"/>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DMRange117">
    <w:name w:val="CDM Range 1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216">
    <w:name w:val="CDM Range 2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01">
    <w:name w:val="CDM Range 1_0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202">
    <w:name w:val="CDM Range 2_02"/>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170">
    <w:name w:val="CDM Range 1_17"/>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2160">
    <w:name w:val="CDM Range 2_16"/>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21">
    <w:name w:val="CDM Range 1_2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221">
    <w:name w:val="CDM Range 2_2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31">
    <w:name w:val="CDM Range 1_3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231">
    <w:name w:val="CDM Range 2_3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41">
    <w:name w:val="CDM Range 1_4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11">
    <w:name w:val="טבלה רגילה11"/>
    <w:uiPriority w:val="99"/>
    <w:semiHidden/>
    <w:rsid w:val="00AC70AE"/>
    <w:pPr>
      <w:spacing w:after="0" w:line="240" w:lineRule="auto"/>
    </w:pPr>
    <w:rPr>
      <w:rFonts w:ascii="Times New Roman" w:eastAsia="Times New Roman" w:hAnsi="Times New Roman" w:cs="Times New Roman"/>
      <w:sz w:val="20"/>
      <w:szCs w:val="20"/>
      <w:lang w:val="en-GB" w:eastAsia="en-GB" w:bidi="ar-SA"/>
    </w:rPr>
    <w:tblPr>
      <w:tblCellMar>
        <w:top w:w="0" w:type="dxa"/>
        <w:left w:w="108" w:type="dxa"/>
        <w:bottom w:w="0" w:type="dxa"/>
        <w:right w:w="108" w:type="dxa"/>
      </w:tblCellMar>
    </w:tblPr>
  </w:style>
  <w:style w:type="table" w:customStyle="1" w:styleId="CDMRange241">
    <w:name w:val="CDM Range 2_4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51">
    <w:name w:val="CDM Range 1_5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251">
    <w:name w:val="CDM Range 2_5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61">
    <w:name w:val="CDM Range 1_6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261">
    <w:name w:val="CDM Range 2_6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71">
    <w:name w:val="CDM Range 1_7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271">
    <w:name w:val="CDM Range 2_7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81">
    <w:name w:val="CDM Range 1_8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281">
    <w:name w:val="CDM Range 2_8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91">
    <w:name w:val="CDM Range 1_9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291">
    <w:name w:val="CDM Range 2_9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101">
    <w:name w:val="CDM Range 1_10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2101">
    <w:name w:val="CDM Range 2_10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111">
    <w:name w:val="CDM Range 1_11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2111">
    <w:name w:val="CDM Range 2_11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121">
    <w:name w:val="CDM Range 1_12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2121">
    <w:name w:val="CDM Range 2_12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131">
    <w:name w:val="CDM Range 1_13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2131">
    <w:name w:val="CDM Range 2_13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141">
    <w:name w:val="CDM Range 1_14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2141">
    <w:name w:val="CDM Range 2_14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151">
    <w:name w:val="CDM Range 1_15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2151">
    <w:name w:val="CDM Range 2_15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table" w:customStyle="1" w:styleId="CDMRange1161">
    <w:name w:val="CDM Range 1_161"/>
    <w:basedOn w:val="TableNormal"/>
    <w:next w:val="TableNormal"/>
    <w:semiHidden/>
    <w:rsid w:val="00AC70AE"/>
    <w:pPr>
      <w:spacing w:after="0" w:line="240" w:lineRule="auto"/>
    </w:pPr>
    <w:rPr>
      <w:rFonts w:ascii="Times New Roman" w:eastAsia="Times New Roman" w:hAnsi="Times New Roman" w:cs="Times New Roman"/>
      <w:sz w:val="24"/>
      <w:szCs w:val="24"/>
    </w:rPr>
    <w:tblPr/>
  </w:style>
  <w:style w:type="paragraph" w:styleId="Revision">
    <w:name w:val="Revision"/>
    <w:hidden/>
    <w:uiPriority w:val="99"/>
    <w:semiHidden/>
    <w:rsid w:val="00C53A48"/>
    <w:pPr>
      <w:spacing w:after="0" w:line="240" w:lineRule="auto"/>
    </w:pPr>
    <w:rPr>
      <w:rFonts w:ascii="Times New Roman" w:hAnsi="Times New Roman" w:cs="Times New Roman"/>
      <w:sz w:val="20"/>
      <w:szCs w:val="20"/>
    </w:rPr>
  </w:style>
  <w:style w:type="paragraph" w:customStyle="1" w:styleId="2">
    <w:name w:val="מא2"/>
    <w:basedOn w:val="Normal"/>
    <w:link w:val="20"/>
    <w:rsid w:val="00C53A48"/>
    <w:pPr>
      <w:widowControl w:val="0"/>
      <w:tabs>
        <w:tab w:val="left" w:pos="1134"/>
        <w:tab w:val="left" w:pos="1701"/>
      </w:tabs>
      <w:overflowPunct w:val="0"/>
      <w:autoSpaceDE w:val="0"/>
      <w:autoSpaceDN w:val="0"/>
      <w:bidi/>
      <w:adjustRightInd w:val="0"/>
      <w:spacing w:before="0" w:after="0" w:line="264" w:lineRule="auto"/>
      <w:ind w:left="1701" w:hanging="567"/>
    </w:pPr>
    <w:rPr>
      <w:rFonts w:eastAsia="Calibri"/>
      <w:lang w:bidi="ar-SA"/>
    </w:rPr>
  </w:style>
  <w:style w:type="character" w:customStyle="1" w:styleId="20">
    <w:name w:val="מא2 תו"/>
    <w:basedOn w:val="DefaultParagraphFont"/>
    <w:link w:val="2"/>
    <w:locked/>
    <w:rsid w:val="00C53A48"/>
    <w:rPr>
      <w:rFonts w:ascii="Times New Roman" w:eastAsia="Calibri" w:hAnsi="Times New Roman" w:cs="Times New Roman"/>
      <w:sz w:val="20"/>
      <w:szCs w:val="20"/>
      <w:lang w:bidi="ar-SA"/>
    </w:rPr>
  </w:style>
  <w:style w:type="paragraph" w:customStyle="1" w:styleId="FootnoteText0">
    <w:name w:val="Footnote Text_0"/>
    <w:basedOn w:val="Normal40"/>
    <w:link w:val="FootnoteTextChar0"/>
    <w:uiPriority w:val="99"/>
    <w:semiHidden/>
    <w:rsid w:val="00C53A48"/>
    <w:pPr>
      <w:jc w:val="both"/>
    </w:pPr>
    <w:rPr>
      <w:rFonts w:eastAsia="Calibri"/>
      <w:sz w:val="20"/>
      <w:szCs w:val="20"/>
    </w:rPr>
  </w:style>
  <w:style w:type="character" w:customStyle="1" w:styleId="FootnoteTextChar0">
    <w:name w:val="Footnote Text Char_0"/>
    <w:basedOn w:val="DefaultParagraphFont"/>
    <w:link w:val="FootnoteText0"/>
    <w:uiPriority w:val="99"/>
    <w:semiHidden/>
    <w:locked/>
    <w:rsid w:val="00C53A48"/>
    <w:rPr>
      <w:rFonts w:ascii="Times New Roman" w:eastAsia="Calibri" w:hAnsi="Times New Roman" w:cs="Times New Roman"/>
      <w:sz w:val="20"/>
      <w:szCs w:val="20"/>
    </w:rPr>
  </w:style>
  <w:style w:type="paragraph" w:styleId="Index1">
    <w:name w:val="index 1"/>
    <w:basedOn w:val="Normal"/>
    <w:next w:val="Normal"/>
    <w:autoRedefine/>
    <w:uiPriority w:val="99"/>
    <w:semiHidden/>
    <w:unhideWhenUsed/>
    <w:rsid w:val="0057772A"/>
    <w:pPr>
      <w:spacing w:before="0" w:after="0" w:line="240" w:lineRule="auto"/>
      <w:ind w:left="200" w:hanging="200"/>
    </w:pPr>
  </w:style>
  <w:style w:type="paragraph" w:styleId="IndexHeading">
    <w:name w:val="index heading"/>
    <w:basedOn w:val="Normal"/>
    <w:next w:val="Index1"/>
    <w:rsid w:val="0057772A"/>
    <w:pPr>
      <w:overflowPunct w:val="0"/>
      <w:autoSpaceDE w:val="0"/>
      <w:autoSpaceDN w:val="0"/>
      <w:adjustRightInd w:val="0"/>
      <w:spacing w:before="0" w:after="0" w:line="240" w:lineRule="auto"/>
      <w:jc w:val="left"/>
      <w:textAlignment w:val="baseline"/>
    </w:pPr>
    <w:rPr>
      <w:rFonts w:eastAsia="Times New Roman"/>
      <w:sz w:val="22"/>
      <w:szCs w:val="22"/>
    </w:rPr>
  </w:style>
  <w:style w:type="paragraph" w:customStyle="1" w:styleId="normal1316145766">
    <w:name w:val="normal1316145766"/>
    <w:basedOn w:val="Heading1"/>
    <w:link w:val="normal1316145766Char"/>
    <w:rsid w:val="005B2439"/>
    <w:pPr>
      <w:spacing w:line="264" w:lineRule="auto"/>
      <w:jc w:val="center"/>
      <w:outlineLvl w:val="9"/>
    </w:pPr>
    <w:rPr>
      <w:rFonts w:cs="Times New Roman"/>
      <w:b w:val="0"/>
      <w:bCs w:val="0"/>
      <w:sz w:val="22"/>
    </w:rPr>
  </w:style>
  <w:style w:type="character" w:customStyle="1" w:styleId="normal1316145766Char">
    <w:name w:val="normal1316145766 Char"/>
    <w:basedOn w:val="Heading1Char"/>
    <w:link w:val="normal1316145766"/>
    <w:rsid w:val="005B2439"/>
    <w:rPr>
      <w:rFonts w:ascii="Times New Roman" w:eastAsia="Times New Roman" w:hAnsi="Times New Roman" w:cs="Times New Roman"/>
      <w:b w:val="0"/>
      <w:bCs w:val="0"/>
      <w:sz w:val="24"/>
      <w:szCs w:val="20"/>
      <w:u w:val="single"/>
      <w:lang w:eastAsia="he-IL"/>
    </w:rPr>
  </w:style>
  <w:style w:type="numbering" w:customStyle="1" w:styleId="NoList1">
    <w:name w:val="No List1"/>
    <w:next w:val="NoList"/>
    <w:uiPriority w:val="99"/>
    <w:semiHidden/>
    <w:unhideWhenUsed/>
    <w:rsid w:val="0085581F"/>
  </w:style>
  <w:style w:type="table" w:customStyle="1" w:styleId="CDMRange120">
    <w:name w:val="CDM Range 12"/>
    <w:basedOn w:val="TableNormal"/>
    <w:next w:val="TableNormal"/>
    <w:uiPriority w:val="99"/>
    <w:semiHidden/>
    <w:unhideWhenUsed/>
    <w:rsid w:val="0085581F"/>
    <w:tblPr/>
  </w:style>
  <w:style w:type="table" w:customStyle="1" w:styleId="CDMRange220">
    <w:name w:val="CDM Range 22"/>
    <w:basedOn w:val="TableNormal"/>
    <w:next w:val="TableNormal"/>
    <w:uiPriority w:val="99"/>
    <w:semiHidden/>
    <w:unhideWhenUsed/>
    <w:rsid w:val="0085581F"/>
    <w:tblPr/>
  </w:style>
  <w:style w:type="paragraph" w:styleId="HTMLPreformatted">
    <w:name w:val="HTML Preformatted"/>
    <w:basedOn w:val="Normal"/>
    <w:link w:val="HTMLPreformattedChar"/>
    <w:uiPriority w:val="99"/>
    <w:semiHidden/>
    <w:unhideWhenUsed/>
    <w:rsid w:val="00271F4D"/>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271F4D"/>
    <w:rPr>
      <w:rFonts w:ascii="Consolas"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5315">
      <w:bodyDiv w:val="1"/>
      <w:marLeft w:val="0"/>
      <w:marRight w:val="0"/>
      <w:marTop w:val="0"/>
      <w:marBottom w:val="0"/>
      <w:divBdr>
        <w:top w:val="none" w:sz="0" w:space="0" w:color="auto"/>
        <w:left w:val="none" w:sz="0" w:space="0" w:color="auto"/>
        <w:bottom w:val="none" w:sz="0" w:space="0" w:color="auto"/>
        <w:right w:val="none" w:sz="0" w:space="0" w:color="auto"/>
      </w:divBdr>
    </w:div>
    <w:div w:id="57486742">
      <w:bodyDiv w:val="1"/>
      <w:marLeft w:val="0"/>
      <w:marRight w:val="0"/>
      <w:marTop w:val="0"/>
      <w:marBottom w:val="0"/>
      <w:divBdr>
        <w:top w:val="none" w:sz="0" w:space="0" w:color="auto"/>
        <w:left w:val="none" w:sz="0" w:space="0" w:color="auto"/>
        <w:bottom w:val="none" w:sz="0" w:space="0" w:color="auto"/>
        <w:right w:val="none" w:sz="0" w:space="0" w:color="auto"/>
      </w:divBdr>
      <w:divsChild>
        <w:div w:id="687171658">
          <w:marLeft w:val="0"/>
          <w:marRight w:val="0"/>
          <w:marTop w:val="0"/>
          <w:marBottom w:val="0"/>
          <w:divBdr>
            <w:top w:val="none" w:sz="0" w:space="0" w:color="auto"/>
            <w:left w:val="none" w:sz="0" w:space="0" w:color="auto"/>
            <w:bottom w:val="none" w:sz="0" w:space="0" w:color="auto"/>
            <w:right w:val="none" w:sz="0" w:space="0" w:color="auto"/>
          </w:divBdr>
          <w:divsChild>
            <w:div w:id="1166549656">
              <w:marLeft w:val="0"/>
              <w:marRight w:val="0"/>
              <w:marTop w:val="0"/>
              <w:marBottom w:val="0"/>
              <w:divBdr>
                <w:top w:val="none" w:sz="0" w:space="0" w:color="auto"/>
                <w:left w:val="none" w:sz="0" w:space="0" w:color="auto"/>
                <w:bottom w:val="none" w:sz="0" w:space="0" w:color="auto"/>
                <w:right w:val="none" w:sz="0" w:space="0" w:color="auto"/>
              </w:divBdr>
              <w:divsChild>
                <w:div w:id="376439680">
                  <w:marLeft w:val="0"/>
                  <w:marRight w:val="0"/>
                  <w:marTop w:val="0"/>
                  <w:marBottom w:val="0"/>
                  <w:divBdr>
                    <w:top w:val="none" w:sz="0" w:space="0" w:color="auto"/>
                    <w:left w:val="none" w:sz="0" w:space="0" w:color="auto"/>
                    <w:bottom w:val="none" w:sz="0" w:space="0" w:color="auto"/>
                    <w:right w:val="none" w:sz="0" w:space="0" w:color="auto"/>
                  </w:divBdr>
                  <w:divsChild>
                    <w:div w:id="1209537741">
                      <w:marLeft w:val="0"/>
                      <w:marRight w:val="0"/>
                      <w:marTop w:val="0"/>
                      <w:marBottom w:val="0"/>
                      <w:divBdr>
                        <w:top w:val="none" w:sz="0" w:space="0" w:color="auto"/>
                        <w:left w:val="none" w:sz="0" w:space="0" w:color="auto"/>
                        <w:bottom w:val="none" w:sz="0" w:space="0" w:color="auto"/>
                        <w:right w:val="none" w:sz="0" w:space="0" w:color="auto"/>
                      </w:divBdr>
                      <w:divsChild>
                        <w:div w:id="1686207932">
                          <w:marLeft w:val="0"/>
                          <w:marRight w:val="0"/>
                          <w:marTop w:val="0"/>
                          <w:marBottom w:val="0"/>
                          <w:divBdr>
                            <w:top w:val="none" w:sz="0" w:space="0" w:color="auto"/>
                            <w:left w:val="none" w:sz="0" w:space="0" w:color="auto"/>
                            <w:bottom w:val="none" w:sz="0" w:space="0" w:color="auto"/>
                            <w:right w:val="none" w:sz="0" w:space="0" w:color="auto"/>
                          </w:divBdr>
                          <w:divsChild>
                            <w:div w:id="1993168217">
                              <w:marLeft w:val="0"/>
                              <w:marRight w:val="0"/>
                              <w:marTop w:val="0"/>
                              <w:marBottom w:val="0"/>
                              <w:divBdr>
                                <w:top w:val="none" w:sz="0" w:space="0" w:color="auto"/>
                                <w:left w:val="none" w:sz="0" w:space="0" w:color="auto"/>
                                <w:bottom w:val="none" w:sz="0" w:space="0" w:color="auto"/>
                                <w:right w:val="none" w:sz="0" w:space="0" w:color="auto"/>
                              </w:divBdr>
                              <w:divsChild>
                                <w:div w:id="14423201">
                                  <w:marLeft w:val="0"/>
                                  <w:marRight w:val="0"/>
                                  <w:marTop w:val="0"/>
                                  <w:marBottom w:val="0"/>
                                  <w:divBdr>
                                    <w:top w:val="none" w:sz="0" w:space="0" w:color="auto"/>
                                    <w:left w:val="none" w:sz="0" w:space="0" w:color="auto"/>
                                    <w:bottom w:val="none" w:sz="0" w:space="0" w:color="auto"/>
                                    <w:right w:val="none" w:sz="0" w:space="0" w:color="auto"/>
                                  </w:divBdr>
                                  <w:divsChild>
                                    <w:div w:id="2054499898">
                                      <w:marLeft w:val="0"/>
                                      <w:marRight w:val="0"/>
                                      <w:marTop w:val="0"/>
                                      <w:marBottom w:val="0"/>
                                      <w:divBdr>
                                        <w:top w:val="none" w:sz="0" w:space="0" w:color="auto"/>
                                        <w:left w:val="none" w:sz="0" w:space="0" w:color="auto"/>
                                        <w:bottom w:val="none" w:sz="0" w:space="0" w:color="auto"/>
                                        <w:right w:val="none" w:sz="0" w:space="0" w:color="auto"/>
                                      </w:divBdr>
                                    </w:div>
                                    <w:div w:id="1616793936">
                                      <w:marLeft w:val="0"/>
                                      <w:marRight w:val="0"/>
                                      <w:marTop w:val="0"/>
                                      <w:marBottom w:val="0"/>
                                      <w:divBdr>
                                        <w:top w:val="none" w:sz="0" w:space="0" w:color="auto"/>
                                        <w:left w:val="none" w:sz="0" w:space="0" w:color="auto"/>
                                        <w:bottom w:val="none" w:sz="0" w:space="0" w:color="auto"/>
                                        <w:right w:val="none" w:sz="0" w:space="0" w:color="auto"/>
                                      </w:divBdr>
                                      <w:divsChild>
                                        <w:div w:id="1990164011">
                                          <w:marLeft w:val="0"/>
                                          <w:marRight w:val="165"/>
                                          <w:marTop w:val="150"/>
                                          <w:marBottom w:val="0"/>
                                          <w:divBdr>
                                            <w:top w:val="none" w:sz="0" w:space="0" w:color="auto"/>
                                            <w:left w:val="none" w:sz="0" w:space="0" w:color="auto"/>
                                            <w:bottom w:val="none" w:sz="0" w:space="0" w:color="auto"/>
                                            <w:right w:val="none" w:sz="0" w:space="0" w:color="auto"/>
                                          </w:divBdr>
                                          <w:divsChild>
                                            <w:div w:id="814176262">
                                              <w:marLeft w:val="0"/>
                                              <w:marRight w:val="0"/>
                                              <w:marTop w:val="0"/>
                                              <w:marBottom w:val="0"/>
                                              <w:divBdr>
                                                <w:top w:val="none" w:sz="0" w:space="0" w:color="auto"/>
                                                <w:left w:val="none" w:sz="0" w:space="0" w:color="auto"/>
                                                <w:bottom w:val="none" w:sz="0" w:space="0" w:color="auto"/>
                                                <w:right w:val="none" w:sz="0" w:space="0" w:color="auto"/>
                                              </w:divBdr>
                                              <w:divsChild>
                                                <w:div w:id="1937403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23010">
      <w:bodyDiv w:val="1"/>
      <w:marLeft w:val="0"/>
      <w:marRight w:val="0"/>
      <w:marTop w:val="0"/>
      <w:marBottom w:val="0"/>
      <w:divBdr>
        <w:top w:val="none" w:sz="0" w:space="0" w:color="auto"/>
        <w:left w:val="none" w:sz="0" w:space="0" w:color="auto"/>
        <w:bottom w:val="none" w:sz="0" w:space="0" w:color="auto"/>
        <w:right w:val="none" w:sz="0" w:space="0" w:color="auto"/>
      </w:divBdr>
    </w:div>
    <w:div w:id="65500292">
      <w:bodyDiv w:val="1"/>
      <w:marLeft w:val="0"/>
      <w:marRight w:val="0"/>
      <w:marTop w:val="0"/>
      <w:marBottom w:val="0"/>
      <w:divBdr>
        <w:top w:val="none" w:sz="0" w:space="0" w:color="auto"/>
        <w:left w:val="none" w:sz="0" w:space="0" w:color="auto"/>
        <w:bottom w:val="none" w:sz="0" w:space="0" w:color="auto"/>
        <w:right w:val="none" w:sz="0" w:space="0" w:color="auto"/>
      </w:divBdr>
    </w:div>
    <w:div w:id="113256207">
      <w:bodyDiv w:val="1"/>
      <w:marLeft w:val="0"/>
      <w:marRight w:val="0"/>
      <w:marTop w:val="0"/>
      <w:marBottom w:val="0"/>
      <w:divBdr>
        <w:top w:val="none" w:sz="0" w:space="0" w:color="auto"/>
        <w:left w:val="none" w:sz="0" w:space="0" w:color="auto"/>
        <w:bottom w:val="none" w:sz="0" w:space="0" w:color="auto"/>
        <w:right w:val="none" w:sz="0" w:space="0" w:color="auto"/>
      </w:divBdr>
      <w:divsChild>
        <w:div w:id="865558896">
          <w:marLeft w:val="0"/>
          <w:marRight w:val="0"/>
          <w:marTop w:val="0"/>
          <w:marBottom w:val="0"/>
          <w:divBdr>
            <w:top w:val="single" w:sz="2" w:space="0" w:color="auto"/>
            <w:left w:val="single" w:sz="2" w:space="0" w:color="auto"/>
            <w:bottom w:val="single" w:sz="2" w:space="0" w:color="auto"/>
            <w:right w:val="single" w:sz="2" w:space="0" w:color="auto"/>
          </w:divBdr>
          <w:divsChild>
            <w:div w:id="955259427">
              <w:marLeft w:val="0"/>
              <w:marRight w:val="0"/>
              <w:marTop w:val="0"/>
              <w:marBottom w:val="0"/>
              <w:divBdr>
                <w:top w:val="single" w:sz="2" w:space="0" w:color="auto"/>
                <w:left w:val="single" w:sz="2" w:space="0" w:color="auto"/>
                <w:bottom w:val="single" w:sz="2" w:space="0" w:color="auto"/>
                <w:right w:val="single" w:sz="2" w:space="0" w:color="auto"/>
              </w:divBdr>
              <w:divsChild>
                <w:div w:id="10573624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5151748">
      <w:bodyDiv w:val="1"/>
      <w:marLeft w:val="0"/>
      <w:marRight w:val="0"/>
      <w:marTop w:val="0"/>
      <w:marBottom w:val="0"/>
      <w:divBdr>
        <w:top w:val="none" w:sz="0" w:space="0" w:color="auto"/>
        <w:left w:val="none" w:sz="0" w:space="0" w:color="auto"/>
        <w:bottom w:val="none" w:sz="0" w:space="0" w:color="auto"/>
        <w:right w:val="none" w:sz="0" w:space="0" w:color="auto"/>
      </w:divBdr>
    </w:div>
    <w:div w:id="178198620">
      <w:bodyDiv w:val="1"/>
      <w:marLeft w:val="0"/>
      <w:marRight w:val="0"/>
      <w:marTop w:val="0"/>
      <w:marBottom w:val="0"/>
      <w:divBdr>
        <w:top w:val="none" w:sz="0" w:space="0" w:color="auto"/>
        <w:left w:val="none" w:sz="0" w:space="0" w:color="auto"/>
        <w:bottom w:val="none" w:sz="0" w:space="0" w:color="auto"/>
        <w:right w:val="none" w:sz="0" w:space="0" w:color="auto"/>
      </w:divBdr>
    </w:div>
    <w:div w:id="192230931">
      <w:bodyDiv w:val="1"/>
      <w:marLeft w:val="0"/>
      <w:marRight w:val="0"/>
      <w:marTop w:val="0"/>
      <w:marBottom w:val="0"/>
      <w:divBdr>
        <w:top w:val="none" w:sz="0" w:space="0" w:color="auto"/>
        <w:left w:val="none" w:sz="0" w:space="0" w:color="auto"/>
        <w:bottom w:val="none" w:sz="0" w:space="0" w:color="auto"/>
        <w:right w:val="none" w:sz="0" w:space="0" w:color="auto"/>
      </w:divBdr>
    </w:div>
    <w:div w:id="207954209">
      <w:bodyDiv w:val="1"/>
      <w:marLeft w:val="0"/>
      <w:marRight w:val="0"/>
      <w:marTop w:val="0"/>
      <w:marBottom w:val="0"/>
      <w:divBdr>
        <w:top w:val="none" w:sz="0" w:space="0" w:color="auto"/>
        <w:left w:val="none" w:sz="0" w:space="0" w:color="auto"/>
        <w:bottom w:val="none" w:sz="0" w:space="0" w:color="auto"/>
        <w:right w:val="none" w:sz="0" w:space="0" w:color="auto"/>
      </w:divBdr>
      <w:divsChild>
        <w:div w:id="1913077315">
          <w:marLeft w:val="0"/>
          <w:marRight w:val="0"/>
          <w:marTop w:val="0"/>
          <w:marBottom w:val="0"/>
          <w:divBdr>
            <w:top w:val="none" w:sz="0" w:space="0" w:color="auto"/>
            <w:left w:val="none" w:sz="0" w:space="0" w:color="auto"/>
            <w:bottom w:val="none" w:sz="0" w:space="0" w:color="auto"/>
            <w:right w:val="none" w:sz="0" w:space="0" w:color="auto"/>
          </w:divBdr>
          <w:divsChild>
            <w:div w:id="559943781">
              <w:marLeft w:val="0"/>
              <w:marRight w:val="0"/>
              <w:marTop w:val="0"/>
              <w:marBottom w:val="0"/>
              <w:divBdr>
                <w:top w:val="none" w:sz="0" w:space="0" w:color="auto"/>
                <w:left w:val="none" w:sz="0" w:space="0" w:color="auto"/>
                <w:bottom w:val="none" w:sz="0" w:space="0" w:color="auto"/>
                <w:right w:val="none" w:sz="0" w:space="0" w:color="auto"/>
              </w:divBdr>
              <w:divsChild>
                <w:div w:id="182787702">
                  <w:marLeft w:val="0"/>
                  <w:marRight w:val="0"/>
                  <w:marTop w:val="0"/>
                  <w:marBottom w:val="0"/>
                  <w:divBdr>
                    <w:top w:val="none" w:sz="0" w:space="0" w:color="auto"/>
                    <w:left w:val="none" w:sz="0" w:space="0" w:color="auto"/>
                    <w:bottom w:val="none" w:sz="0" w:space="0" w:color="auto"/>
                    <w:right w:val="none" w:sz="0" w:space="0" w:color="auto"/>
                  </w:divBdr>
                  <w:divsChild>
                    <w:div w:id="1157956912">
                      <w:marLeft w:val="0"/>
                      <w:marRight w:val="0"/>
                      <w:marTop w:val="0"/>
                      <w:marBottom w:val="0"/>
                      <w:divBdr>
                        <w:top w:val="none" w:sz="0" w:space="0" w:color="auto"/>
                        <w:left w:val="none" w:sz="0" w:space="0" w:color="auto"/>
                        <w:bottom w:val="none" w:sz="0" w:space="0" w:color="auto"/>
                        <w:right w:val="none" w:sz="0" w:space="0" w:color="auto"/>
                      </w:divBdr>
                      <w:divsChild>
                        <w:div w:id="822239087">
                          <w:marLeft w:val="0"/>
                          <w:marRight w:val="0"/>
                          <w:marTop w:val="0"/>
                          <w:marBottom w:val="0"/>
                          <w:divBdr>
                            <w:top w:val="none" w:sz="0" w:space="0" w:color="auto"/>
                            <w:left w:val="none" w:sz="0" w:space="0" w:color="auto"/>
                            <w:bottom w:val="none" w:sz="0" w:space="0" w:color="auto"/>
                            <w:right w:val="none" w:sz="0" w:space="0" w:color="auto"/>
                          </w:divBdr>
                          <w:divsChild>
                            <w:div w:id="2045520767">
                              <w:marLeft w:val="0"/>
                              <w:marRight w:val="0"/>
                              <w:marTop w:val="0"/>
                              <w:marBottom w:val="0"/>
                              <w:divBdr>
                                <w:top w:val="none" w:sz="0" w:space="0" w:color="auto"/>
                                <w:left w:val="none" w:sz="0" w:space="0" w:color="auto"/>
                                <w:bottom w:val="none" w:sz="0" w:space="0" w:color="auto"/>
                                <w:right w:val="none" w:sz="0" w:space="0" w:color="auto"/>
                              </w:divBdr>
                              <w:divsChild>
                                <w:div w:id="1218472650">
                                  <w:marLeft w:val="0"/>
                                  <w:marRight w:val="0"/>
                                  <w:marTop w:val="0"/>
                                  <w:marBottom w:val="0"/>
                                  <w:divBdr>
                                    <w:top w:val="none" w:sz="0" w:space="0" w:color="auto"/>
                                    <w:left w:val="none" w:sz="0" w:space="0" w:color="auto"/>
                                    <w:bottom w:val="none" w:sz="0" w:space="0" w:color="auto"/>
                                    <w:right w:val="none" w:sz="0" w:space="0" w:color="auto"/>
                                  </w:divBdr>
                                  <w:divsChild>
                                    <w:div w:id="674770045">
                                      <w:marLeft w:val="0"/>
                                      <w:marRight w:val="0"/>
                                      <w:marTop w:val="0"/>
                                      <w:marBottom w:val="0"/>
                                      <w:divBdr>
                                        <w:top w:val="none" w:sz="0" w:space="0" w:color="auto"/>
                                        <w:left w:val="none" w:sz="0" w:space="0" w:color="auto"/>
                                        <w:bottom w:val="none" w:sz="0" w:space="0" w:color="auto"/>
                                        <w:right w:val="none" w:sz="0" w:space="0" w:color="auto"/>
                                      </w:divBdr>
                                    </w:div>
                                    <w:div w:id="112212187">
                                      <w:marLeft w:val="0"/>
                                      <w:marRight w:val="0"/>
                                      <w:marTop w:val="0"/>
                                      <w:marBottom w:val="0"/>
                                      <w:divBdr>
                                        <w:top w:val="none" w:sz="0" w:space="0" w:color="auto"/>
                                        <w:left w:val="none" w:sz="0" w:space="0" w:color="auto"/>
                                        <w:bottom w:val="none" w:sz="0" w:space="0" w:color="auto"/>
                                        <w:right w:val="none" w:sz="0" w:space="0" w:color="auto"/>
                                      </w:divBdr>
                                      <w:divsChild>
                                        <w:div w:id="1029263292">
                                          <w:marLeft w:val="0"/>
                                          <w:marRight w:val="165"/>
                                          <w:marTop w:val="150"/>
                                          <w:marBottom w:val="0"/>
                                          <w:divBdr>
                                            <w:top w:val="none" w:sz="0" w:space="0" w:color="auto"/>
                                            <w:left w:val="none" w:sz="0" w:space="0" w:color="auto"/>
                                            <w:bottom w:val="none" w:sz="0" w:space="0" w:color="auto"/>
                                            <w:right w:val="none" w:sz="0" w:space="0" w:color="auto"/>
                                          </w:divBdr>
                                          <w:divsChild>
                                            <w:div w:id="192966565">
                                              <w:marLeft w:val="0"/>
                                              <w:marRight w:val="0"/>
                                              <w:marTop w:val="0"/>
                                              <w:marBottom w:val="0"/>
                                              <w:divBdr>
                                                <w:top w:val="none" w:sz="0" w:space="0" w:color="auto"/>
                                                <w:left w:val="none" w:sz="0" w:space="0" w:color="auto"/>
                                                <w:bottom w:val="none" w:sz="0" w:space="0" w:color="auto"/>
                                                <w:right w:val="none" w:sz="0" w:space="0" w:color="auto"/>
                                              </w:divBdr>
                                              <w:divsChild>
                                                <w:div w:id="10634553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708259">
      <w:bodyDiv w:val="1"/>
      <w:marLeft w:val="0"/>
      <w:marRight w:val="0"/>
      <w:marTop w:val="0"/>
      <w:marBottom w:val="0"/>
      <w:divBdr>
        <w:top w:val="none" w:sz="0" w:space="0" w:color="auto"/>
        <w:left w:val="none" w:sz="0" w:space="0" w:color="auto"/>
        <w:bottom w:val="none" w:sz="0" w:space="0" w:color="auto"/>
        <w:right w:val="none" w:sz="0" w:space="0" w:color="auto"/>
      </w:divBdr>
    </w:div>
    <w:div w:id="423501179">
      <w:bodyDiv w:val="1"/>
      <w:marLeft w:val="0"/>
      <w:marRight w:val="0"/>
      <w:marTop w:val="0"/>
      <w:marBottom w:val="0"/>
      <w:divBdr>
        <w:top w:val="none" w:sz="0" w:space="0" w:color="auto"/>
        <w:left w:val="none" w:sz="0" w:space="0" w:color="auto"/>
        <w:bottom w:val="none" w:sz="0" w:space="0" w:color="auto"/>
        <w:right w:val="none" w:sz="0" w:space="0" w:color="auto"/>
      </w:divBdr>
    </w:div>
    <w:div w:id="443307763">
      <w:bodyDiv w:val="1"/>
      <w:marLeft w:val="0"/>
      <w:marRight w:val="0"/>
      <w:marTop w:val="0"/>
      <w:marBottom w:val="0"/>
      <w:divBdr>
        <w:top w:val="none" w:sz="0" w:space="0" w:color="auto"/>
        <w:left w:val="none" w:sz="0" w:space="0" w:color="auto"/>
        <w:bottom w:val="none" w:sz="0" w:space="0" w:color="auto"/>
        <w:right w:val="none" w:sz="0" w:space="0" w:color="auto"/>
      </w:divBdr>
      <w:divsChild>
        <w:div w:id="1913662337">
          <w:marLeft w:val="0"/>
          <w:marRight w:val="0"/>
          <w:marTop w:val="0"/>
          <w:marBottom w:val="0"/>
          <w:divBdr>
            <w:top w:val="none" w:sz="0" w:space="0" w:color="auto"/>
            <w:left w:val="none" w:sz="0" w:space="0" w:color="auto"/>
            <w:bottom w:val="none" w:sz="0" w:space="0" w:color="auto"/>
            <w:right w:val="none" w:sz="0" w:space="0" w:color="auto"/>
          </w:divBdr>
          <w:divsChild>
            <w:div w:id="234243420">
              <w:marLeft w:val="0"/>
              <w:marRight w:val="0"/>
              <w:marTop w:val="0"/>
              <w:marBottom w:val="0"/>
              <w:divBdr>
                <w:top w:val="none" w:sz="0" w:space="0" w:color="auto"/>
                <w:left w:val="none" w:sz="0" w:space="0" w:color="auto"/>
                <w:bottom w:val="none" w:sz="0" w:space="0" w:color="auto"/>
                <w:right w:val="none" w:sz="0" w:space="0" w:color="auto"/>
              </w:divBdr>
              <w:divsChild>
                <w:div w:id="717169206">
                  <w:marLeft w:val="0"/>
                  <w:marRight w:val="0"/>
                  <w:marTop w:val="0"/>
                  <w:marBottom w:val="0"/>
                  <w:divBdr>
                    <w:top w:val="none" w:sz="0" w:space="0" w:color="auto"/>
                    <w:left w:val="none" w:sz="0" w:space="0" w:color="auto"/>
                    <w:bottom w:val="none" w:sz="0" w:space="0" w:color="auto"/>
                    <w:right w:val="none" w:sz="0" w:space="0" w:color="auto"/>
                  </w:divBdr>
                  <w:divsChild>
                    <w:div w:id="427426380">
                      <w:marLeft w:val="0"/>
                      <w:marRight w:val="0"/>
                      <w:marTop w:val="0"/>
                      <w:marBottom w:val="0"/>
                      <w:divBdr>
                        <w:top w:val="none" w:sz="0" w:space="0" w:color="auto"/>
                        <w:left w:val="none" w:sz="0" w:space="0" w:color="auto"/>
                        <w:bottom w:val="none" w:sz="0" w:space="0" w:color="auto"/>
                        <w:right w:val="none" w:sz="0" w:space="0" w:color="auto"/>
                      </w:divBdr>
                      <w:divsChild>
                        <w:div w:id="1594245345">
                          <w:marLeft w:val="0"/>
                          <w:marRight w:val="0"/>
                          <w:marTop w:val="0"/>
                          <w:marBottom w:val="0"/>
                          <w:divBdr>
                            <w:top w:val="none" w:sz="0" w:space="0" w:color="auto"/>
                            <w:left w:val="none" w:sz="0" w:space="0" w:color="auto"/>
                            <w:bottom w:val="none" w:sz="0" w:space="0" w:color="auto"/>
                            <w:right w:val="none" w:sz="0" w:space="0" w:color="auto"/>
                          </w:divBdr>
                          <w:divsChild>
                            <w:div w:id="932201229">
                              <w:marLeft w:val="0"/>
                              <w:marRight w:val="0"/>
                              <w:marTop w:val="0"/>
                              <w:marBottom w:val="0"/>
                              <w:divBdr>
                                <w:top w:val="none" w:sz="0" w:space="0" w:color="auto"/>
                                <w:left w:val="none" w:sz="0" w:space="0" w:color="auto"/>
                                <w:bottom w:val="none" w:sz="0" w:space="0" w:color="auto"/>
                                <w:right w:val="none" w:sz="0" w:space="0" w:color="auto"/>
                              </w:divBdr>
                              <w:divsChild>
                                <w:div w:id="373888600">
                                  <w:marLeft w:val="0"/>
                                  <w:marRight w:val="0"/>
                                  <w:marTop w:val="0"/>
                                  <w:marBottom w:val="0"/>
                                  <w:divBdr>
                                    <w:top w:val="none" w:sz="0" w:space="0" w:color="auto"/>
                                    <w:left w:val="none" w:sz="0" w:space="0" w:color="auto"/>
                                    <w:bottom w:val="none" w:sz="0" w:space="0" w:color="auto"/>
                                    <w:right w:val="none" w:sz="0" w:space="0" w:color="auto"/>
                                  </w:divBdr>
                                  <w:divsChild>
                                    <w:div w:id="1321499600">
                                      <w:marLeft w:val="0"/>
                                      <w:marRight w:val="0"/>
                                      <w:marTop w:val="0"/>
                                      <w:marBottom w:val="0"/>
                                      <w:divBdr>
                                        <w:top w:val="none" w:sz="0" w:space="0" w:color="auto"/>
                                        <w:left w:val="none" w:sz="0" w:space="0" w:color="auto"/>
                                        <w:bottom w:val="none" w:sz="0" w:space="0" w:color="auto"/>
                                        <w:right w:val="none" w:sz="0" w:space="0" w:color="auto"/>
                                      </w:divBdr>
                                    </w:div>
                                    <w:div w:id="1735008873">
                                      <w:marLeft w:val="0"/>
                                      <w:marRight w:val="0"/>
                                      <w:marTop w:val="0"/>
                                      <w:marBottom w:val="0"/>
                                      <w:divBdr>
                                        <w:top w:val="none" w:sz="0" w:space="0" w:color="auto"/>
                                        <w:left w:val="none" w:sz="0" w:space="0" w:color="auto"/>
                                        <w:bottom w:val="none" w:sz="0" w:space="0" w:color="auto"/>
                                        <w:right w:val="none" w:sz="0" w:space="0" w:color="auto"/>
                                      </w:divBdr>
                                      <w:divsChild>
                                        <w:div w:id="1755933993">
                                          <w:marLeft w:val="0"/>
                                          <w:marRight w:val="165"/>
                                          <w:marTop w:val="150"/>
                                          <w:marBottom w:val="0"/>
                                          <w:divBdr>
                                            <w:top w:val="none" w:sz="0" w:space="0" w:color="auto"/>
                                            <w:left w:val="none" w:sz="0" w:space="0" w:color="auto"/>
                                            <w:bottom w:val="none" w:sz="0" w:space="0" w:color="auto"/>
                                            <w:right w:val="none" w:sz="0" w:space="0" w:color="auto"/>
                                          </w:divBdr>
                                          <w:divsChild>
                                            <w:div w:id="130487220">
                                              <w:marLeft w:val="0"/>
                                              <w:marRight w:val="0"/>
                                              <w:marTop w:val="0"/>
                                              <w:marBottom w:val="0"/>
                                              <w:divBdr>
                                                <w:top w:val="none" w:sz="0" w:space="0" w:color="auto"/>
                                                <w:left w:val="none" w:sz="0" w:space="0" w:color="auto"/>
                                                <w:bottom w:val="none" w:sz="0" w:space="0" w:color="auto"/>
                                                <w:right w:val="none" w:sz="0" w:space="0" w:color="auto"/>
                                              </w:divBdr>
                                              <w:divsChild>
                                                <w:div w:id="3609075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382411">
      <w:bodyDiv w:val="1"/>
      <w:marLeft w:val="0"/>
      <w:marRight w:val="0"/>
      <w:marTop w:val="0"/>
      <w:marBottom w:val="0"/>
      <w:divBdr>
        <w:top w:val="none" w:sz="0" w:space="0" w:color="auto"/>
        <w:left w:val="none" w:sz="0" w:space="0" w:color="auto"/>
        <w:bottom w:val="none" w:sz="0" w:space="0" w:color="auto"/>
        <w:right w:val="none" w:sz="0" w:space="0" w:color="auto"/>
      </w:divBdr>
    </w:div>
    <w:div w:id="559824595">
      <w:bodyDiv w:val="1"/>
      <w:marLeft w:val="0"/>
      <w:marRight w:val="0"/>
      <w:marTop w:val="0"/>
      <w:marBottom w:val="0"/>
      <w:divBdr>
        <w:top w:val="none" w:sz="0" w:space="0" w:color="auto"/>
        <w:left w:val="none" w:sz="0" w:space="0" w:color="auto"/>
        <w:bottom w:val="none" w:sz="0" w:space="0" w:color="auto"/>
        <w:right w:val="none" w:sz="0" w:space="0" w:color="auto"/>
      </w:divBdr>
    </w:div>
    <w:div w:id="626081769">
      <w:bodyDiv w:val="1"/>
      <w:marLeft w:val="0"/>
      <w:marRight w:val="0"/>
      <w:marTop w:val="0"/>
      <w:marBottom w:val="0"/>
      <w:divBdr>
        <w:top w:val="none" w:sz="0" w:space="0" w:color="auto"/>
        <w:left w:val="none" w:sz="0" w:space="0" w:color="auto"/>
        <w:bottom w:val="none" w:sz="0" w:space="0" w:color="auto"/>
        <w:right w:val="none" w:sz="0" w:space="0" w:color="auto"/>
      </w:divBdr>
    </w:div>
    <w:div w:id="645204036">
      <w:bodyDiv w:val="1"/>
      <w:marLeft w:val="0"/>
      <w:marRight w:val="0"/>
      <w:marTop w:val="0"/>
      <w:marBottom w:val="0"/>
      <w:divBdr>
        <w:top w:val="none" w:sz="0" w:space="0" w:color="auto"/>
        <w:left w:val="none" w:sz="0" w:space="0" w:color="auto"/>
        <w:bottom w:val="none" w:sz="0" w:space="0" w:color="auto"/>
        <w:right w:val="none" w:sz="0" w:space="0" w:color="auto"/>
      </w:divBdr>
    </w:div>
    <w:div w:id="744690732">
      <w:bodyDiv w:val="1"/>
      <w:marLeft w:val="0"/>
      <w:marRight w:val="0"/>
      <w:marTop w:val="0"/>
      <w:marBottom w:val="0"/>
      <w:divBdr>
        <w:top w:val="none" w:sz="0" w:space="0" w:color="auto"/>
        <w:left w:val="none" w:sz="0" w:space="0" w:color="auto"/>
        <w:bottom w:val="none" w:sz="0" w:space="0" w:color="auto"/>
        <w:right w:val="none" w:sz="0" w:space="0" w:color="auto"/>
      </w:divBdr>
    </w:div>
    <w:div w:id="830021411">
      <w:bodyDiv w:val="1"/>
      <w:marLeft w:val="0"/>
      <w:marRight w:val="0"/>
      <w:marTop w:val="0"/>
      <w:marBottom w:val="0"/>
      <w:divBdr>
        <w:top w:val="none" w:sz="0" w:space="0" w:color="auto"/>
        <w:left w:val="none" w:sz="0" w:space="0" w:color="auto"/>
        <w:bottom w:val="none" w:sz="0" w:space="0" w:color="auto"/>
        <w:right w:val="none" w:sz="0" w:space="0" w:color="auto"/>
      </w:divBdr>
      <w:divsChild>
        <w:div w:id="182864093">
          <w:marLeft w:val="0"/>
          <w:marRight w:val="0"/>
          <w:marTop w:val="0"/>
          <w:marBottom w:val="0"/>
          <w:divBdr>
            <w:top w:val="none" w:sz="0" w:space="0" w:color="auto"/>
            <w:left w:val="none" w:sz="0" w:space="0" w:color="auto"/>
            <w:bottom w:val="none" w:sz="0" w:space="0" w:color="auto"/>
            <w:right w:val="none" w:sz="0" w:space="0" w:color="auto"/>
          </w:divBdr>
          <w:divsChild>
            <w:div w:id="487329189">
              <w:marLeft w:val="0"/>
              <w:marRight w:val="0"/>
              <w:marTop w:val="0"/>
              <w:marBottom w:val="0"/>
              <w:divBdr>
                <w:top w:val="none" w:sz="0" w:space="0" w:color="auto"/>
                <w:left w:val="none" w:sz="0" w:space="0" w:color="auto"/>
                <w:bottom w:val="none" w:sz="0" w:space="0" w:color="auto"/>
                <w:right w:val="none" w:sz="0" w:space="0" w:color="auto"/>
              </w:divBdr>
              <w:divsChild>
                <w:div w:id="145898324">
                  <w:marLeft w:val="0"/>
                  <w:marRight w:val="0"/>
                  <w:marTop w:val="0"/>
                  <w:marBottom w:val="0"/>
                  <w:divBdr>
                    <w:top w:val="none" w:sz="0" w:space="0" w:color="auto"/>
                    <w:left w:val="none" w:sz="0" w:space="0" w:color="auto"/>
                    <w:bottom w:val="none" w:sz="0" w:space="0" w:color="auto"/>
                    <w:right w:val="none" w:sz="0" w:space="0" w:color="auto"/>
                  </w:divBdr>
                  <w:divsChild>
                    <w:div w:id="607271003">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1071543888">
                              <w:marLeft w:val="0"/>
                              <w:marRight w:val="0"/>
                              <w:marTop w:val="0"/>
                              <w:marBottom w:val="0"/>
                              <w:divBdr>
                                <w:top w:val="none" w:sz="0" w:space="0" w:color="auto"/>
                                <w:left w:val="none" w:sz="0" w:space="0" w:color="auto"/>
                                <w:bottom w:val="none" w:sz="0" w:space="0" w:color="auto"/>
                                <w:right w:val="none" w:sz="0" w:space="0" w:color="auto"/>
                              </w:divBdr>
                              <w:divsChild>
                                <w:div w:id="822241609">
                                  <w:marLeft w:val="0"/>
                                  <w:marRight w:val="0"/>
                                  <w:marTop w:val="0"/>
                                  <w:marBottom w:val="0"/>
                                  <w:divBdr>
                                    <w:top w:val="none" w:sz="0" w:space="0" w:color="auto"/>
                                    <w:left w:val="none" w:sz="0" w:space="0" w:color="auto"/>
                                    <w:bottom w:val="none" w:sz="0" w:space="0" w:color="auto"/>
                                    <w:right w:val="none" w:sz="0" w:space="0" w:color="auto"/>
                                  </w:divBdr>
                                  <w:divsChild>
                                    <w:div w:id="881163548">
                                      <w:marLeft w:val="0"/>
                                      <w:marRight w:val="0"/>
                                      <w:marTop w:val="0"/>
                                      <w:marBottom w:val="0"/>
                                      <w:divBdr>
                                        <w:top w:val="none" w:sz="0" w:space="0" w:color="auto"/>
                                        <w:left w:val="none" w:sz="0" w:space="0" w:color="auto"/>
                                        <w:bottom w:val="none" w:sz="0" w:space="0" w:color="auto"/>
                                        <w:right w:val="none" w:sz="0" w:space="0" w:color="auto"/>
                                      </w:divBdr>
                                    </w:div>
                                    <w:div w:id="534003404">
                                      <w:marLeft w:val="0"/>
                                      <w:marRight w:val="0"/>
                                      <w:marTop w:val="0"/>
                                      <w:marBottom w:val="0"/>
                                      <w:divBdr>
                                        <w:top w:val="none" w:sz="0" w:space="0" w:color="auto"/>
                                        <w:left w:val="none" w:sz="0" w:space="0" w:color="auto"/>
                                        <w:bottom w:val="none" w:sz="0" w:space="0" w:color="auto"/>
                                        <w:right w:val="none" w:sz="0" w:space="0" w:color="auto"/>
                                      </w:divBdr>
                                      <w:divsChild>
                                        <w:div w:id="741681552">
                                          <w:marLeft w:val="0"/>
                                          <w:marRight w:val="165"/>
                                          <w:marTop w:val="150"/>
                                          <w:marBottom w:val="0"/>
                                          <w:divBdr>
                                            <w:top w:val="none" w:sz="0" w:space="0" w:color="auto"/>
                                            <w:left w:val="none" w:sz="0" w:space="0" w:color="auto"/>
                                            <w:bottom w:val="none" w:sz="0" w:space="0" w:color="auto"/>
                                            <w:right w:val="none" w:sz="0" w:space="0" w:color="auto"/>
                                          </w:divBdr>
                                          <w:divsChild>
                                            <w:div w:id="1965847521">
                                              <w:marLeft w:val="0"/>
                                              <w:marRight w:val="0"/>
                                              <w:marTop w:val="0"/>
                                              <w:marBottom w:val="0"/>
                                              <w:divBdr>
                                                <w:top w:val="none" w:sz="0" w:space="0" w:color="auto"/>
                                                <w:left w:val="none" w:sz="0" w:space="0" w:color="auto"/>
                                                <w:bottom w:val="none" w:sz="0" w:space="0" w:color="auto"/>
                                                <w:right w:val="none" w:sz="0" w:space="0" w:color="auto"/>
                                              </w:divBdr>
                                              <w:divsChild>
                                                <w:div w:id="939070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3179142">
      <w:bodyDiv w:val="1"/>
      <w:marLeft w:val="0"/>
      <w:marRight w:val="0"/>
      <w:marTop w:val="0"/>
      <w:marBottom w:val="0"/>
      <w:divBdr>
        <w:top w:val="none" w:sz="0" w:space="0" w:color="auto"/>
        <w:left w:val="none" w:sz="0" w:space="0" w:color="auto"/>
        <w:bottom w:val="none" w:sz="0" w:space="0" w:color="auto"/>
        <w:right w:val="none" w:sz="0" w:space="0" w:color="auto"/>
      </w:divBdr>
    </w:div>
    <w:div w:id="891695010">
      <w:bodyDiv w:val="1"/>
      <w:marLeft w:val="0"/>
      <w:marRight w:val="0"/>
      <w:marTop w:val="0"/>
      <w:marBottom w:val="0"/>
      <w:divBdr>
        <w:top w:val="none" w:sz="0" w:space="0" w:color="auto"/>
        <w:left w:val="none" w:sz="0" w:space="0" w:color="auto"/>
        <w:bottom w:val="none" w:sz="0" w:space="0" w:color="auto"/>
        <w:right w:val="none" w:sz="0" w:space="0" w:color="auto"/>
      </w:divBdr>
    </w:div>
    <w:div w:id="893005465">
      <w:bodyDiv w:val="1"/>
      <w:marLeft w:val="0"/>
      <w:marRight w:val="0"/>
      <w:marTop w:val="0"/>
      <w:marBottom w:val="0"/>
      <w:divBdr>
        <w:top w:val="none" w:sz="0" w:space="0" w:color="auto"/>
        <w:left w:val="none" w:sz="0" w:space="0" w:color="auto"/>
        <w:bottom w:val="none" w:sz="0" w:space="0" w:color="auto"/>
        <w:right w:val="none" w:sz="0" w:space="0" w:color="auto"/>
      </w:divBdr>
    </w:div>
    <w:div w:id="920677342">
      <w:bodyDiv w:val="1"/>
      <w:marLeft w:val="0"/>
      <w:marRight w:val="0"/>
      <w:marTop w:val="0"/>
      <w:marBottom w:val="0"/>
      <w:divBdr>
        <w:top w:val="none" w:sz="0" w:space="0" w:color="auto"/>
        <w:left w:val="none" w:sz="0" w:space="0" w:color="auto"/>
        <w:bottom w:val="none" w:sz="0" w:space="0" w:color="auto"/>
        <w:right w:val="none" w:sz="0" w:space="0" w:color="auto"/>
      </w:divBdr>
    </w:div>
    <w:div w:id="933633102">
      <w:bodyDiv w:val="1"/>
      <w:marLeft w:val="0"/>
      <w:marRight w:val="0"/>
      <w:marTop w:val="0"/>
      <w:marBottom w:val="0"/>
      <w:divBdr>
        <w:top w:val="none" w:sz="0" w:space="0" w:color="auto"/>
        <w:left w:val="none" w:sz="0" w:space="0" w:color="auto"/>
        <w:bottom w:val="none" w:sz="0" w:space="0" w:color="auto"/>
        <w:right w:val="none" w:sz="0" w:space="0" w:color="auto"/>
      </w:divBdr>
    </w:div>
    <w:div w:id="1058017195">
      <w:bodyDiv w:val="1"/>
      <w:marLeft w:val="0"/>
      <w:marRight w:val="0"/>
      <w:marTop w:val="0"/>
      <w:marBottom w:val="0"/>
      <w:divBdr>
        <w:top w:val="none" w:sz="0" w:space="0" w:color="auto"/>
        <w:left w:val="none" w:sz="0" w:space="0" w:color="auto"/>
        <w:bottom w:val="none" w:sz="0" w:space="0" w:color="auto"/>
        <w:right w:val="none" w:sz="0" w:space="0" w:color="auto"/>
      </w:divBdr>
    </w:div>
    <w:div w:id="1256016124">
      <w:bodyDiv w:val="1"/>
      <w:marLeft w:val="0"/>
      <w:marRight w:val="0"/>
      <w:marTop w:val="0"/>
      <w:marBottom w:val="0"/>
      <w:divBdr>
        <w:top w:val="none" w:sz="0" w:space="0" w:color="auto"/>
        <w:left w:val="none" w:sz="0" w:space="0" w:color="auto"/>
        <w:bottom w:val="none" w:sz="0" w:space="0" w:color="auto"/>
        <w:right w:val="none" w:sz="0" w:space="0" w:color="auto"/>
      </w:divBdr>
    </w:div>
    <w:div w:id="1358385296">
      <w:bodyDiv w:val="1"/>
      <w:marLeft w:val="0"/>
      <w:marRight w:val="0"/>
      <w:marTop w:val="0"/>
      <w:marBottom w:val="0"/>
      <w:divBdr>
        <w:top w:val="none" w:sz="0" w:space="0" w:color="auto"/>
        <w:left w:val="none" w:sz="0" w:space="0" w:color="auto"/>
        <w:bottom w:val="none" w:sz="0" w:space="0" w:color="auto"/>
        <w:right w:val="none" w:sz="0" w:space="0" w:color="auto"/>
      </w:divBdr>
    </w:div>
    <w:div w:id="1396465718">
      <w:bodyDiv w:val="1"/>
      <w:marLeft w:val="0"/>
      <w:marRight w:val="0"/>
      <w:marTop w:val="0"/>
      <w:marBottom w:val="0"/>
      <w:divBdr>
        <w:top w:val="none" w:sz="0" w:space="0" w:color="auto"/>
        <w:left w:val="none" w:sz="0" w:space="0" w:color="auto"/>
        <w:bottom w:val="none" w:sz="0" w:space="0" w:color="auto"/>
        <w:right w:val="none" w:sz="0" w:space="0" w:color="auto"/>
      </w:divBdr>
    </w:div>
    <w:div w:id="1403215017">
      <w:bodyDiv w:val="1"/>
      <w:marLeft w:val="0"/>
      <w:marRight w:val="0"/>
      <w:marTop w:val="0"/>
      <w:marBottom w:val="0"/>
      <w:divBdr>
        <w:top w:val="none" w:sz="0" w:space="0" w:color="auto"/>
        <w:left w:val="none" w:sz="0" w:space="0" w:color="auto"/>
        <w:bottom w:val="none" w:sz="0" w:space="0" w:color="auto"/>
        <w:right w:val="none" w:sz="0" w:space="0" w:color="auto"/>
      </w:divBdr>
    </w:div>
    <w:div w:id="1478301459">
      <w:bodyDiv w:val="1"/>
      <w:marLeft w:val="0"/>
      <w:marRight w:val="0"/>
      <w:marTop w:val="0"/>
      <w:marBottom w:val="0"/>
      <w:divBdr>
        <w:top w:val="none" w:sz="0" w:space="0" w:color="auto"/>
        <w:left w:val="none" w:sz="0" w:space="0" w:color="auto"/>
        <w:bottom w:val="none" w:sz="0" w:space="0" w:color="auto"/>
        <w:right w:val="none" w:sz="0" w:space="0" w:color="auto"/>
      </w:divBdr>
    </w:div>
    <w:div w:id="1478649297">
      <w:bodyDiv w:val="1"/>
      <w:marLeft w:val="0"/>
      <w:marRight w:val="0"/>
      <w:marTop w:val="0"/>
      <w:marBottom w:val="0"/>
      <w:divBdr>
        <w:top w:val="none" w:sz="0" w:space="0" w:color="auto"/>
        <w:left w:val="none" w:sz="0" w:space="0" w:color="auto"/>
        <w:bottom w:val="none" w:sz="0" w:space="0" w:color="auto"/>
        <w:right w:val="none" w:sz="0" w:space="0" w:color="auto"/>
      </w:divBdr>
    </w:div>
    <w:div w:id="1526940303">
      <w:bodyDiv w:val="1"/>
      <w:marLeft w:val="0"/>
      <w:marRight w:val="0"/>
      <w:marTop w:val="0"/>
      <w:marBottom w:val="0"/>
      <w:divBdr>
        <w:top w:val="none" w:sz="0" w:space="0" w:color="auto"/>
        <w:left w:val="none" w:sz="0" w:space="0" w:color="auto"/>
        <w:bottom w:val="none" w:sz="0" w:space="0" w:color="auto"/>
        <w:right w:val="none" w:sz="0" w:space="0" w:color="auto"/>
      </w:divBdr>
    </w:div>
    <w:div w:id="1676106317">
      <w:bodyDiv w:val="1"/>
      <w:marLeft w:val="0"/>
      <w:marRight w:val="0"/>
      <w:marTop w:val="0"/>
      <w:marBottom w:val="0"/>
      <w:divBdr>
        <w:top w:val="none" w:sz="0" w:space="0" w:color="auto"/>
        <w:left w:val="none" w:sz="0" w:space="0" w:color="auto"/>
        <w:bottom w:val="none" w:sz="0" w:space="0" w:color="auto"/>
        <w:right w:val="none" w:sz="0" w:space="0" w:color="auto"/>
      </w:divBdr>
    </w:div>
    <w:div w:id="1705667913">
      <w:bodyDiv w:val="1"/>
      <w:marLeft w:val="0"/>
      <w:marRight w:val="0"/>
      <w:marTop w:val="0"/>
      <w:marBottom w:val="0"/>
      <w:divBdr>
        <w:top w:val="none" w:sz="0" w:space="0" w:color="auto"/>
        <w:left w:val="none" w:sz="0" w:space="0" w:color="auto"/>
        <w:bottom w:val="none" w:sz="0" w:space="0" w:color="auto"/>
        <w:right w:val="none" w:sz="0" w:space="0" w:color="auto"/>
      </w:divBdr>
    </w:div>
    <w:div w:id="1733389906">
      <w:bodyDiv w:val="1"/>
      <w:marLeft w:val="0"/>
      <w:marRight w:val="0"/>
      <w:marTop w:val="0"/>
      <w:marBottom w:val="0"/>
      <w:divBdr>
        <w:top w:val="none" w:sz="0" w:space="0" w:color="auto"/>
        <w:left w:val="none" w:sz="0" w:space="0" w:color="auto"/>
        <w:bottom w:val="none" w:sz="0" w:space="0" w:color="auto"/>
        <w:right w:val="none" w:sz="0" w:space="0" w:color="auto"/>
      </w:divBdr>
    </w:div>
    <w:div w:id="1756249079">
      <w:bodyDiv w:val="1"/>
      <w:marLeft w:val="0"/>
      <w:marRight w:val="0"/>
      <w:marTop w:val="0"/>
      <w:marBottom w:val="0"/>
      <w:divBdr>
        <w:top w:val="none" w:sz="0" w:space="0" w:color="auto"/>
        <w:left w:val="none" w:sz="0" w:space="0" w:color="auto"/>
        <w:bottom w:val="none" w:sz="0" w:space="0" w:color="auto"/>
        <w:right w:val="none" w:sz="0" w:space="0" w:color="auto"/>
      </w:divBdr>
    </w:div>
    <w:div w:id="1782608556">
      <w:bodyDiv w:val="1"/>
      <w:marLeft w:val="0"/>
      <w:marRight w:val="0"/>
      <w:marTop w:val="0"/>
      <w:marBottom w:val="0"/>
      <w:divBdr>
        <w:top w:val="none" w:sz="0" w:space="0" w:color="auto"/>
        <w:left w:val="none" w:sz="0" w:space="0" w:color="auto"/>
        <w:bottom w:val="none" w:sz="0" w:space="0" w:color="auto"/>
        <w:right w:val="none" w:sz="0" w:space="0" w:color="auto"/>
      </w:divBdr>
    </w:div>
    <w:div w:id="1859156615">
      <w:bodyDiv w:val="1"/>
      <w:marLeft w:val="0"/>
      <w:marRight w:val="0"/>
      <w:marTop w:val="0"/>
      <w:marBottom w:val="0"/>
      <w:divBdr>
        <w:top w:val="none" w:sz="0" w:space="0" w:color="auto"/>
        <w:left w:val="none" w:sz="0" w:space="0" w:color="auto"/>
        <w:bottom w:val="none" w:sz="0" w:space="0" w:color="auto"/>
        <w:right w:val="none" w:sz="0" w:space="0" w:color="auto"/>
      </w:divBdr>
      <w:divsChild>
        <w:div w:id="365915243">
          <w:marLeft w:val="0"/>
          <w:marRight w:val="0"/>
          <w:marTop w:val="0"/>
          <w:marBottom w:val="0"/>
          <w:divBdr>
            <w:top w:val="single" w:sz="2" w:space="0" w:color="auto"/>
            <w:left w:val="single" w:sz="2" w:space="0" w:color="auto"/>
            <w:bottom w:val="single" w:sz="2" w:space="0" w:color="auto"/>
            <w:right w:val="single" w:sz="2" w:space="0" w:color="auto"/>
          </w:divBdr>
          <w:divsChild>
            <w:div w:id="1539079978">
              <w:marLeft w:val="0"/>
              <w:marRight w:val="0"/>
              <w:marTop w:val="0"/>
              <w:marBottom w:val="0"/>
              <w:divBdr>
                <w:top w:val="single" w:sz="2" w:space="0" w:color="auto"/>
                <w:left w:val="single" w:sz="2" w:space="0" w:color="auto"/>
                <w:bottom w:val="single" w:sz="2" w:space="0" w:color="auto"/>
                <w:right w:val="single" w:sz="2" w:space="0" w:color="auto"/>
              </w:divBdr>
              <w:divsChild>
                <w:div w:id="8472505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53586915">
      <w:bodyDiv w:val="1"/>
      <w:marLeft w:val="0"/>
      <w:marRight w:val="0"/>
      <w:marTop w:val="0"/>
      <w:marBottom w:val="0"/>
      <w:divBdr>
        <w:top w:val="none" w:sz="0" w:space="0" w:color="auto"/>
        <w:left w:val="none" w:sz="0" w:space="0" w:color="auto"/>
        <w:bottom w:val="none" w:sz="0" w:space="0" w:color="auto"/>
        <w:right w:val="none" w:sz="0" w:space="0" w:color="auto"/>
      </w:divBdr>
    </w:div>
    <w:div w:id="1954825973">
      <w:bodyDiv w:val="1"/>
      <w:marLeft w:val="0"/>
      <w:marRight w:val="0"/>
      <w:marTop w:val="0"/>
      <w:marBottom w:val="0"/>
      <w:divBdr>
        <w:top w:val="none" w:sz="0" w:space="0" w:color="auto"/>
        <w:left w:val="none" w:sz="0" w:space="0" w:color="auto"/>
        <w:bottom w:val="none" w:sz="0" w:space="0" w:color="auto"/>
        <w:right w:val="none" w:sz="0" w:space="0" w:color="auto"/>
      </w:divBdr>
    </w:div>
    <w:div w:id="2024747064">
      <w:bodyDiv w:val="1"/>
      <w:marLeft w:val="0"/>
      <w:marRight w:val="0"/>
      <w:marTop w:val="0"/>
      <w:marBottom w:val="0"/>
      <w:divBdr>
        <w:top w:val="none" w:sz="0" w:space="0" w:color="auto"/>
        <w:left w:val="none" w:sz="0" w:space="0" w:color="auto"/>
        <w:bottom w:val="none" w:sz="0" w:space="0" w:color="auto"/>
        <w:right w:val="none" w:sz="0" w:space="0" w:color="auto"/>
      </w:divBdr>
    </w:div>
    <w:div w:id="209361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5.xml"/><Relationship Id="rId42" Type="http://schemas.openxmlformats.org/officeDocument/2006/relationships/footer" Target="footer13.xml"/><Relationship Id="rId47" Type="http://schemas.openxmlformats.org/officeDocument/2006/relationships/header" Target="header18.xml"/><Relationship Id="rId63" Type="http://schemas.openxmlformats.org/officeDocument/2006/relationships/footer" Target="footer24.xml"/><Relationship Id="rId68" Type="http://schemas.openxmlformats.org/officeDocument/2006/relationships/header" Target="header28.xml"/><Relationship Id="rId84" Type="http://schemas.openxmlformats.org/officeDocument/2006/relationships/header" Target="header37.xml"/><Relationship Id="rId89" Type="http://schemas.openxmlformats.org/officeDocument/2006/relationships/header" Target="header39.xml"/><Relationship Id="rId16" Type="http://schemas.openxmlformats.org/officeDocument/2006/relationships/footer" Target="footer1.xml"/><Relationship Id="rId11" Type="http://schemas.openxmlformats.org/officeDocument/2006/relationships/chart" Target="charts/chart1.xml"/><Relationship Id="rId32" Type="http://schemas.openxmlformats.org/officeDocument/2006/relationships/image" Target="media/image4.emf"/><Relationship Id="rId37" Type="http://schemas.openxmlformats.org/officeDocument/2006/relationships/footer" Target="footer11.xml"/><Relationship Id="rId53" Type="http://schemas.openxmlformats.org/officeDocument/2006/relationships/header" Target="header21.xml"/><Relationship Id="rId58" Type="http://schemas.openxmlformats.org/officeDocument/2006/relationships/header" Target="header23.xml"/><Relationship Id="rId74" Type="http://schemas.openxmlformats.org/officeDocument/2006/relationships/footer" Target="footer29.xml"/><Relationship Id="rId79" Type="http://schemas.openxmlformats.org/officeDocument/2006/relationships/footer" Target="footer31.xm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eader" Target="header40.xml"/><Relationship Id="rId95" Type="http://schemas.openxmlformats.org/officeDocument/2006/relationships/header" Target="header42.xml"/><Relationship Id="rId22" Type="http://schemas.openxmlformats.org/officeDocument/2006/relationships/footer" Target="footer4.xml"/><Relationship Id="rId27" Type="http://schemas.openxmlformats.org/officeDocument/2006/relationships/header" Target="header8.xml"/><Relationship Id="rId43" Type="http://schemas.openxmlformats.org/officeDocument/2006/relationships/footer" Target="footer14.xml"/><Relationship Id="rId48" Type="http://schemas.openxmlformats.org/officeDocument/2006/relationships/footer" Target="footer16.xml"/><Relationship Id="rId64" Type="http://schemas.openxmlformats.org/officeDocument/2006/relationships/header" Target="header26.xml"/><Relationship Id="rId69" Type="http://schemas.openxmlformats.org/officeDocument/2006/relationships/footer" Target="footer27.xml"/><Relationship Id="rId80" Type="http://schemas.openxmlformats.org/officeDocument/2006/relationships/footer" Target="footer32.xml"/><Relationship Id="rId85" Type="http://schemas.openxmlformats.org/officeDocument/2006/relationships/footer" Target="footer34.xml"/><Relationship Id="rId12" Type="http://schemas.openxmlformats.org/officeDocument/2006/relationships/chart" Target="charts/chart2.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header" Target="header24.xml"/><Relationship Id="rId67" Type="http://schemas.openxmlformats.org/officeDocument/2006/relationships/footer" Target="footer26.xml"/><Relationship Id="rId103"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eader" Target="header15.xml"/><Relationship Id="rId54" Type="http://schemas.openxmlformats.org/officeDocument/2006/relationships/footer" Target="footer19.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header" Target="header32.xml"/><Relationship Id="rId83" Type="http://schemas.openxmlformats.org/officeDocument/2006/relationships/header" Target="header36.xml"/><Relationship Id="rId88" Type="http://schemas.openxmlformats.org/officeDocument/2006/relationships/footer" Target="footer36.xml"/><Relationship Id="rId91" Type="http://schemas.openxmlformats.org/officeDocument/2006/relationships/footer" Target="footer37.xml"/><Relationship Id="rId96"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image" Target="media/image2.png"/><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footer" Target="footer22.xml"/><Relationship Id="rId65" Type="http://schemas.openxmlformats.org/officeDocument/2006/relationships/header" Target="header27.xml"/><Relationship Id="rId73" Type="http://schemas.openxmlformats.org/officeDocument/2006/relationships/footer" Target="footer28.xml"/><Relationship Id="rId78" Type="http://schemas.openxmlformats.org/officeDocument/2006/relationships/header" Target="header34.xml"/><Relationship Id="rId81" Type="http://schemas.openxmlformats.org/officeDocument/2006/relationships/header" Target="header35.xml"/><Relationship Id="rId86" Type="http://schemas.openxmlformats.org/officeDocument/2006/relationships/footer" Target="footer35.xml"/><Relationship Id="rId94" Type="http://schemas.openxmlformats.org/officeDocument/2006/relationships/footer" Target="footer39.xml"/><Relationship Id="rId99" Type="http://schemas.openxmlformats.org/officeDocument/2006/relationships/header" Target="header44.xml"/><Relationship Id="rId101"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9" Type="http://schemas.openxmlformats.org/officeDocument/2006/relationships/footer" Target="footer12.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footer" Target="footer20.xml"/><Relationship Id="rId76" Type="http://schemas.openxmlformats.org/officeDocument/2006/relationships/footer" Target="footer30.xml"/><Relationship Id="rId97" Type="http://schemas.openxmlformats.org/officeDocument/2006/relationships/footer" Target="footer40.xm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footer" Target="footer38.xml"/><Relationship Id="rId2" Type="http://schemas.openxmlformats.org/officeDocument/2006/relationships/numbering" Target="numbering.xml"/><Relationship Id="rId29" Type="http://schemas.openxmlformats.org/officeDocument/2006/relationships/footer" Target="footer8.xml"/><Relationship Id="rId24" Type="http://schemas.openxmlformats.org/officeDocument/2006/relationships/header" Target="header6.xml"/><Relationship Id="rId40" Type="http://schemas.openxmlformats.org/officeDocument/2006/relationships/header" Target="header14.xml"/><Relationship Id="rId45" Type="http://schemas.openxmlformats.org/officeDocument/2006/relationships/footer" Target="footer15.xml"/><Relationship Id="rId66" Type="http://schemas.openxmlformats.org/officeDocument/2006/relationships/footer" Target="footer25.xml"/><Relationship Id="rId87" Type="http://schemas.openxmlformats.org/officeDocument/2006/relationships/header" Target="header38.xml"/><Relationship Id="rId61" Type="http://schemas.openxmlformats.org/officeDocument/2006/relationships/footer" Target="footer23.xml"/><Relationship Id="rId82" Type="http://schemas.openxmlformats.org/officeDocument/2006/relationships/footer" Target="footer33.xm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eader" Target="header9.xml"/><Relationship Id="rId35" Type="http://schemas.openxmlformats.org/officeDocument/2006/relationships/header" Target="header12.xml"/><Relationship Id="rId56" Type="http://schemas.openxmlformats.org/officeDocument/2006/relationships/header" Target="header22.xml"/><Relationship Id="rId77" Type="http://schemas.openxmlformats.org/officeDocument/2006/relationships/header" Target="header33.xml"/><Relationship Id="rId100" Type="http://schemas.openxmlformats.org/officeDocument/2006/relationships/footer" Target="footer42.xml"/><Relationship Id="rId8" Type="http://schemas.openxmlformats.org/officeDocument/2006/relationships/hyperlink" Target="https://wecoltd.sharepoint.com/:b:/s/WeCo'sCustomer'sDocumentAccessibilityPortal/ERkhwpIWFMNBrTRx3IbzGi0B90q4Moo5ml32crZWLVykUA?e=UVpEKX" TargetMode="External"/><Relationship Id="rId51" Type="http://schemas.openxmlformats.org/officeDocument/2006/relationships/footer" Target="footer18.xml"/><Relationship Id="rId72" Type="http://schemas.openxmlformats.org/officeDocument/2006/relationships/header" Target="header31.xml"/><Relationship Id="rId93" Type="http://schemas.openxmlformats.org/officeDocument/2006/relationships/header" Target="header41.xml"/><Relationship Id="rId98" Type="http://schemas.openxmlformats.org/officeDocument/2006/relationships/footer" Target="footer4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wrap="square"/>
          <a:lstStyle/>
          <a:p>
            <a:pPr algn="ctr">
              <a:defRPr lang="en-US" sz="1050" b="0" i="0" u="sng" baseline="0">
                <a:solidFill>
                  <a:schemeClr val="tx1"/>
                </a:solidFill>
                <a:latin typeface="Ploni ML Medium AAA Medium"/>
                <a:ea typeface="Ploni ML Medium AAA Medium"/>
                <a:cs typeface="Ploni ML Medium AAA Medium"/>
              </a:defRPr>
            </a:pPr>
            <a:r>
              <a:rPr lang="en-US"/>
              <a:t>Carry</a:t>
            </a:r>
            <a:r>
              <a:rPr lang="en-US" baseline="0"/>
              <a:t> Amount</a:t>
            </a:r>
          </a:p>
        </c:rich>
      </c:tx>
      <c:layout>
        <c:manualLayout>
          <c:xMode val="edge"/>
          <c:yMode val="edge"/>
          <c:x val="0.3607484756713103"/>
          <c:y val="0"/>
        </c:manualLayout>
      </c:layout>
      <c:overlay val="0"/>
      <c:spPr>
        <a:noFill/>
        <a:ln w="9525">
          <a:noFill/>
        </a:ln>
        <a:effectLst/>
      </c:spPr>
    </c:title>
    <c:autoTitleDeleted val="0"/>
    <c:plotArea>
      <c:layout>
        <c:manualLayout>
          <c:layoutTarget val="inner"/>
          <c:xMode val="edge"/>
          <c:yMode val="edge"/>
          <c:x val="0.35095853018372702"/>
          <c:y val="0.29470571497711723"/>
          <c:w val="0.35551851403189988"/>
          <c:h val="0.58532683414573183"/>
        </c:manualLayout>
      </c:layout>
      <c:doughnutChart>
        <c:varyColors val="1"/>
        <c:ser>
          <c:idx val="0"/>
          <c:order val="0"/>
          <c:tx>
            <c:strRef>
              <c:f>'גרפי התפלגות'!$D$3</c:f>
              <c:strCache>
                <c:ptCount val="1"/>
                <c:pt idx="0">
                  <c:v>ערך בספרים</c:v>
                </c:pt>
              </c:strCache>
            </c:strRef>
          </c:tx>
          <c:explosion val="5"/>
          <c:dPt>
            <c:idx val="0"/>
            <c:bubble3D val="0"/>
            <c:spPr>
              <a:solidFill>
                <a:srgbClr val="604A7B"/>
              </a:solidFill>
              <a:ln w="9525">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FC2-412E-A032-6093CD2F69C7}"/>
              </c:ext>
            </c:extLst>
          </c:dPt>
          <c:dPt>
            <c:idx val="1"/>
            <c:bubble3D val="0"/>
            <c:spPr>
              <a:solidFill>
                <a:srgbClr val="4BACC6"/>
              </a:solidFill>
              <a:ln w="9525">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FC2-412E-A032-6093CD2F69C7}"/>
              </c:ext>
            </c:extLst>
          </c:dPt>
          <c:dPt>
            <c:idx val="2"/>
            <c:bubble3D val="0"/>
            <c:spPr>
              <a:solidFill>
                <a:srgbClr val="7F7F7F"/>
              </a:solidFill>
              <a:ln w="9525">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FC2-412E-A032-6093CD2F69C7}"/>
              </c:ext>
            </c:extLst>
          </c:dPt>
          <c:dPt>
            <c:idx val="3"/>
            <c:bubble3D val="0"/>
            <c:spPr>
              <a:solidFill>
                <a:srgbClr val="363443"/>
              </a:solidFill>
              <a:ln w="9525">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FC2-412E-A032-6093CD2F69C7}"/>
              </c:ext>
            </c:extLst>
          </c:dPt>
          <c:dPt>
            <c:idx val="4"/>
            <c:bubble3D val="0"/>
            <c:spPr>
              <a:solidFill>
                <a:srgbClr val="948A54"/>
              </a:solidFill>
              <a:ln w="9525">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FC2-412E-A032-6093CD2F69C7}"/>
              </c:ext>
            </c:extLst>
          </c:dPt>
          <c:dPt>
            <c:idx val="5"/>
            <c:bubble3D val="0"/>
            <c:spPr>
              <a:solidFill>
                <a:srgbClr val="1F497D"/>
              </a:solidFill>
              <a:ln w="9525">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CFC2-412E-A032-6093CD2F69C7}"/>
              </c:ext>
            </c:extLst>
          </c:dPt>
          <c:dLbls>
            <c:dLbl>
              <c:idx val="0"/>
              <c:layout>
                <c:manualLayout>
                  <c:x val="7.1788734100545204E-2"/>
                  <c:y val="-0.11002853366733413"/>
                </c:manualLayout>
              </c:layout>
              <c:tx>
                <c:rich>
                  <a:bodyPr/>
                  <a:lstStyle/>
                  <a:p>
                    <a:r>
                      <a:rPr lang="en-US"/>
                      <a:t>Northen Europe,</a:t>
                    </a:r>
                  </a:p>
                  <a:p>
                    <a:fld id="{318E2BF5-B360-486D-92B2-8CAD12FC7C4F}" type="PERCENTAGE">
                      <a:rPr lang="en-US" baseline="0"/>
                      <a:pPr/>
                      <a:t>[PERCENTAGE]</a:t>
                    </a:fld>
                    <a:endParaRPr lang="en-IL"/>
                  </a:p>
                </c:rich>
              </c:tx>
              <c:showLegendKey val="0"/>
              <c:showVal val="0"/>
              <c:showCatName val="1"/>
              <c:showSerName val="0"/>
              <c:showPercent val="1"/>
              <c:showBubbleSize val="0"/>
              <c:separator>, </c:separator>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layout>
                    <c:manualLayout>
                      <c:w val="0.29212323844134869"/>
                      <c:h val="0.294213126323218"/>
                    </c:manualLayout>
                  </c15:layout>
                  <c15:dlblFieldTable/>
                  <c15:showDataLabelsRange val="0"/>
                </c:ext>
                <c:ext xmlns:c16="http://schemas.microsoft.com/office/drawing/2014/chart" uri="{C3380CC4-5D6E-409C-BE32-E72D297353CC}">
                  <c16:uniqueId val="{00000001-CFC2-412E-A032-6093CD2F69C7}"/>
                </c:ext>
              </c:extLst>
            </c:dLbl>
            <c:dLbl>
              <c:idx val="1"/>
              <c:layout>
                <c:manualLayout>
                  <c:x val="0.19917948717948714"/>
                  <c:y val="-4.7535761898720913E-2"/>
                </c:manualLayout>
              </c:layout>
              <c:tx>
                <c:rich>
                  <a:bodyPr/>
                  <a:lstStyle/>
                  <a:p>
                    <a:r>
                      <a:rPr lang="en-US"/>
                      <a:t>  Israel,</a:t>
                    </a:r>
                    <a:r>
                      <a:rPr lang="en-US" baseline="0"/>
                      <a:t> </a:t>
                    </a:r>
                    <a:fld id="{6C59EE68-2424-4A1A-8727-F03D9DC1DAFB}" type="PERCENTAGE">
                      <a:rPr lang="en-US" baseline="0"/>
                      <a:pPr/>
                      <a:t>[PERCENTAGE]</a:t>
                    </a:fld>
                    <a:endParaRPr lang="en-US" baseline="0"/>
                  </a:p>
                </c:rich>
              </c:tx>
              <c:showLegendKey val="0"/>
              <c:showVal val="0"/>
              <c:showCatName val="1"/>
              <c:showSerName val="0"/>
              <c:showPercent val="1"/>
              <c:showBubbleSize val="0"/>
              <c:separator>, </c:separator>
              <c:extLst>
                <c:ext xmlns:c15="http://schemas.microsoft.com/office/drawing/2012/chart" uri="{CE6537A1-D6FC-4f65-9D91-7224C49458BB}">
                  <c15:layout>
                    <c:manualLayout>
                      <c:w val="0.23353862305673326"/>
                      <c:h val="0.10564583682358852"/>
                    </c:manualLayout>
                  </c15:layout>
                  <c15:dlblFieldTable/>
                  <c15:showDataLabelsRange val="0"/>
                </c:ext>
                <c:ext xmlns:c16="http://schemas.microsoft.com/office/drawing/2014/chart" uri="{C3380CC4-5D6E-409C-BE32-E72D297353CC}">
                  <c16:uniqueId val="{00000003-CFC2-412E-A032-6093CD2F69C7}"/>
                </c:ext>
              </c:extLst>
            </c:dLbl>
            <c:dLbl>
              <c:idx val="2"/>
              <c:layout>
                <c:manualLayout>
                  <c:x val="7.6749999999999999E-2"/>
                  <c:y val="0.10324999999999999"/>
                </c:manualLayout>
              </c:layout>
              <c:tx>
                <c:rich>
                  <a:bodyPr/>
                  <a:lstStyle/>
                  <a:p>
                    <a:r>
                      <a:rPr lang="en-US" baseline="0"/>
                      <a:t>  Brazil </a:t>
                    </a:r>
                    <a:fld id="{311550D5-AC61-4F2E-B16F-1A1F8E88FF38}" type="PERCENTAGE">
                      <a:rPr lang="en-US" baseline="0"/>
                      <a:pPr/>
                      <a:t>[PERCENTAGE]</a:t>
                    </a:fld>
                    <a:endParaRPr lang="en-US" baseline="0"/>
                  </a:p>
                </c:rich>
              </c:tx>
              <c:showLegendKey val="0"/>
              <c:showVal val="0"/>
              <c:showCatName val="1"/>
              <c:showSerName val="0"/>
              <c:showPercent val="1"/>
              <c:showBubbleSize val="0"/>
              <c:separator>, </c:separator>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dlblFieldTable/>
                  <c15:showDataLabelsRange val="0"/>
                </c:ext>
                <c:ext xmlns:c16="http://schemas.microsoft.com/office/drawing/2014/chart" uri="{C3380CC4-5D6E-409C-BE32-E72D297353CC}">
                  <c16:uniqueId val="{00000005-CFC2-412E-A032-6093CD2F69C7}"/>
                </c:ext>
              </c:extLst>
            </c:dLbl>
            <c:dLbl>
              <c:idx val="3"/>
              <c:layout>
                <c:manualLayout>
                  <c:x val="-1.1532081566727236E-2"/>
                  <c:y val="0.12881322968009379"/>
                </c:manualLayout>
              </c:layout>
              <c:tx>
                <c:rich>
                  <a:bodyPr/>
                  <a:lstStyle/>
                  <a:p>
                    <a:r>
                      <a:rPr lang="en-US" baseline="0"/>
                      <a:t> USA, </a:t>
                    </a:r>
                    <a:fld id="{75AAECCA-982C-4975-AC05-CAB9CD14D258}" type="PERCENTAGE">
                      <a:rPr lang="en-US" baseline="0"/>
                      <a:pPr/>
                      <a:t>[PERCENTAGE]</a:t>
                    </a:fld>
                    <a:endParaRPr lang="en-US" baseline="0"/>
                  </a:p>
                </c:rich>
              </c:tx>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CFC2-412E-A032-6093CD2F69C7}"/>
                </c:ext>
              </c:extLst>
            </c:dLbl>
            <c:dLbl>
              <c:idx val="4"/>
              <c:layout>
                <c:manualLayout>
                  <c:x val="-0.12225"/>
                  <c:y val="0.09"/>
                </c:manualLayout>
              </c:layout>
              <c:tx>
                <c:rich>
                  <a:bodyPr rot="0" vert="horz" wrap="square"/>
                  <a:lstStyle/>
                  <a:p>
                    <a:pPr algn="ctr">
                      <a:defRPr lang="en-US" sz="900" u="none" baseline="0">
                        <a:solidFill>
                          <a:schemeClr val="tx1"/>
                        </a:solidFill>
                        <a:latin typeface="Ploni ML Medium AAA Medium"/>
                        <a:ea typeface="Ploni ML Medium AAA Medium"/>
                        <a:cs typeface="Ploni ML Medium AAA Medium"/>
                      </a:defRPr>
                    </a:pPr>
                    <a:r>
                      <a:rPr lang="en-US" baseline="0"/>
                      <a:t> Canada, </a:t>
                    </a:r>
                    <a:fld id="{0776199C-E87A-4BFD-97F3-54F54B00BFA5}" type="PERCENTAGE">
                      <a:rPr lang="en-US" baseline="0"/>
                      <a:pPr algn="ctr">
                        <a:defRPr lang="en-US" sz="900" u="none" baseline="0">
                          <a:solidFill>
                            <a:schemeClr val="tx1"/>
                          </a:solidFill>
                          <a:latin typeface="Ploni ML Medium AAA Medium"/>
                          <a:ea typeface="Ploni ML Medium AAA Medium"/>
                          <a:cs typeface="Ploni ML Medium AAA Medium"/>
                        </a:defRPr>
                      </a:pPr>
                      <a:t>[PERCENTAGE]</a:t>
                    </a:fld>
                    <a:endParaRPr lang="en-US" baseline="0"/>
                  </a:p>
                </c:rich>
              </c:tx>
              <c:spPr>
                <a:noFill/>
                <a:ln w="9525">
                  <a:noFill/>
                  <a:prstDash val="solid"/>
                  <a:round/>
                  <a:headEnd type="none" w="med" len="med"/>
                  <a:tailEnd type="none" w="med" len="med"/>
                </a:ln>
                <a:effectLst/>
              </c:spPr>
              <c:showLegendKey val="0"/>
              <c:showVal val="0"/>
              <c:showCatName val="1"/>
              <c:showSerName val="0"/>
              <c:showPercent val="1"/>
              <c:showBubbleSize val="0"/>
              <c:separator>, </c:separator>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borderCallout1">
                      <a:avLst>
                        <a:gd name="adj1" fmla="val 27992"/>
                        <a:gd name="adj2" fmla="val 106572"/>
                        <a:gd name="adj3" fmla="val -33179"/>
                        <a:gd name="adj4" fmla="val 157765"/>
                      </a:avLst>
                    </a:prstGeom>
                  </c15:spPr>
                  <c15:dlblFieldTable/>
                  <c15:showDataLabelsRange val="0"/>
                </c:ext>
                <c:ext xmlns:c16="http://schemas.microsoft.com/office/drawing/2014/chart" uri="{C3380CC4-5D6E-409C-BE32-E72D297353CC}">
                  <c16:uniqueId val="{00000009-CFC2-412E-A032-6093CD2F69C7}"/>
                </c:ext>
              </c:extLst>
            </c:dLbl>
            <c:dLbl>
              <c:idx val="5"/>
              <c:layout>
                <c:manualLayout>
                  <c:x val="-0.13822426812033112"/>
                  <c:y val="-0.14359326290988506"/>
                </c:manualLayout>
              </c:layout>
              <c:tx>
                <c:rich>
                  <a:bodyPr rot="0" vert="horz" wrap="square"/>
                  <a:lstStyle/>
                  <a:p>
                    <a:pPr algn="ctr">
                      <a:defRPr lang="en-US" sz="900" u="none" baseline="0">
                        <a:solidFill>
                          <a:schemeClr val="tx1"/>
                        </a:solidFill>
                        <a:latin typeface="Ploni ML Medium AAA Medium"/>
                        <a:ea typeface="Ploni ML Medium AAA Medium"/>
                        <a:cs typeface="Ploni ML Medium AAA Medium"/>
                      </a:defRPr>
                    </a:pPr>
                    <a:r>
                      <a:rPr lang="en-US"/>
                      <a:t>Central Europe,</a:t>
                    </a:r>
                  </a:p>
                  <a:p>
                    <a:pPr algn="ctr">
                      <a:defRPr lang="en-US" sz="900" u="none" baseline="0">
                        <a:solidFill>
                          <a:schemeClr val="tx1"/>
                        </a:solidFill>
                        <a:latin typeface="Ploni ML Medium AAA Medium"/>
                        <a:ea typeface="Ploni ML Medium AAA Medium"/>
                        <a:cs typeface="Ploni ML Medium AAA Medium"/>
                      </a:defRPr>
                    </a:pPr>
                    <a:fld id="{50A6121B-00CE-43F6-9B87-E3DA20C04AAC}" type="PERCENTAGE">
                      <a:rPr lang="en-US" baseline="0"/>
                      <a:pPr algn="ctr">
                        <a:defRPr lang="en-US" sz="900" u="none" baseline="0">
                          <a:solidFill>
                            <a:schemeClr val="tx1"/>
                          </a:solidFill>
                          <a:latin typeface="Ploni ML Medium AAA Medium"/>
                          <a:ea typeface="Ploni ML Medium AAA Medium"/>
                          <a:cs typeface="Ploni ML Medium AAA Medium"/>
                        </a:defRPr>
                      </a:pPr>
                      <a:t>[PERCENTAGE]</a:t>
                    </a:fld>
                    <a:endParaRPr lang="en-IL"/>
                  </a:p>
                </c:rich>
              </c:tx>
              <c:spPr>
                <a:xfrm>
                  <a:off x="220110" y="370605"/>
                  <a:ext cx="1083805" cy="542126"/>
                </a:xfrm>
                <a:noFill/>
                <a:ln>
                  <a:noFill/>
                </a:ln>
                <a:effectLst/>
              </c:sp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borderCallout1">
                      <a:avLst>
                        <a:gd name="adj1" fmla="val -68361"/>
                        <a:gd name="adj2" fmla="val -20309"/>
                        <a:gd name="adj3" fmla="val 141650"/>
                        <a:gd name="adj4" fmla="val 137310"/>
                      </a:avLst>
                    </a:prstGeom>
                  </c15:spPr>
                  <c15:layout>
                    <c:manualLayout>
                      <c:w val="0.35010894407429832"/>
                      <c:h val="0.30124972910496278"/>
                    </c:manualLayout>
                  </c15:layout>
                  <c15:dlblFieldTable/>
                  <c15:showDataLabelsRange val="0"/>
                </c:ext>
                <c:ext xmlns:c16="http://schemas.microsoft.com/office/drawing/2014/chart" uri="{C3380CC4-5D6E-409C-BE32-E72D297353CC}">
                  <c16:uniqueId val="{0000000B-CFC2-412E-A032-6093CD2F69C7}"/>
                </c:ext>
              </c:extLst>
            </c:dLbl>
            <c:spPr>
              <a:noFill/>
              <a:ln w="9525">
                <a:noFill/>
              </a:ln>
              <a:effectLst/>
            </c:spPr>
            <c:txPr>
              <a:bodyPr rot="0" vert="horz" wrap="square"/>
              <a:lstStyle/>
              <a:p>
                <a:pPr algn="ctr">
                  <a:defRPr lang="en-US" sz="900" u="none" baseline="0">
                    <a:solidFill>
                      <a:schemeClr val="tx1"/>
                    </a:solidFill>
                    <a:latin typeface="Ploni ML Medium AAA Medium"/>
                    <a:ea typeface="Ploni ML Medium AAA Medium"/>
                    <a:cs typeface="Ploni ML Medium AAA Medium"/>
                  </a:defRPr>
                </a:pPr>
                <a:endParaRPr lang="en-IL"/>
              </a:p>
            </c:txPr>
            <c:showLegendKey val="0"/>
            <c:showVal val="0"/>
            <c:showCatName val="1"/>
            <c:showSerName val="0"/>
            <c:showPercent val="1"/>
            <c:showBubbleSize val="0"/>
            <c:separator>, </c:separator>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borderCallout1">
                    <a:avLst/>
                  </a:prstGeom>
                </c15:spPr>
              </c:ext>
            </c:extLst>
          </c:dLbls>
          <c:cat>
            <c:strRef>
              <c:f>'גרפי התפלגות'!$C$4:$C$9</c:f>
              <c:strCache>
                <c:ptCount val="6"/>
                <c:pt idx="0">
                  <c:v>צפון אירופה</c:v>
                </c:pt>
                <c:pt idx="1">
                  <c:v>ישראל</c:v>
                </c:pt>
                <c:pt idx="2">
                  <c:v>ברזיל</c:v>
                </c:pt>
                <c:pt idx="3">
                  <c:v>ארה"ב</c:v>
                </c:pt>
                <c:pt idx="4">
                  <c:v>קנדה</c:v>
                </c:pt>
                <c:pt idx="5">
                  <c:v>מרכז  אירופה</c:v>
                </c:pt>
              </c:strCache>
            </c:strRef>
          </c:cat>
          <c:val>
            <c:numRef>
              <c:f>'גרפי התפלגות'!$D$4:$D$9</c:f>
              <c:numCache>
                <c:formatCode>0%</c:formatCode>
                <c:ptCount val="6"/>
                <c:pt idx="0">
                  <c:v>0.14000000000000001</c:v>
                </c:pt>
                <c:pt idx="1">
                  <c:v>0.24</c:v>
                </c:pt>
                <c:pt idx="2">
                  <c:v>0.09</c:v>
                </c:pt>
                <c:pt idx="3">
                  <c:v>0.15</c:v>
                </c:pt>
                <c:pt idx="4">
                  <c:v>0.01</c:v>
                </c:pt>
                <c:pt idx="5">
                  <c:v>0.37</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C-CFC2-412E-A032-6093CD2F69C7}"/>
            </c:ext>
          </c:extLst>
        </c:ser>
        <c:dLbls>
          <c:showLegendKey val="0"/>
          <c:showVal val="0"/>
          <c:showCatName val="0"/>
          <c:showSerName val="0"/>
          <c:showPercent val="0"/>
          <c:showBubbleSize val="0"/>
          <c:showLeaderLines val="0"/>
        </c:dLbls>
        <c:firstSliceAng val="0"/>
        <c:holeSize val="50"/>
      </c:doughnutChart>
      <c:spPr>
        <a:noFill/>
        <a:ln w="9525">
          <a:noFill/>
        </a:ln>
        <a:effectLst/>
      </c:spPr>
    </c:plotArea>
    <c:plotVisOnly val="1"/>
    <c:dispBlanksAs val="gap"/>
    <c:showDLblsOverMax val="0"/>
  </c:chart>
  <c:spPr>
    <a:solidFill>
      <a:schemeClr val="bg1"/>
    </a:solidFill>
    <a:ln w="9525">
      <a:noFill/>
      <a:round/>
    </a:ln>
    <a:effectLst/>
  </c:spPr>
  <c:txPr>
    <a:bodyPr rot="0" vert="horz" wrap="square"/>
    <a:lstStyle/>
    <a:p>
      <a:pPr>
        <a:defRPr lang="en-US" sz="1050" u="none" baseline="0">
          <a:solidFill>
            <a:schemeClr val="tx1"/>
          </a:solidFill>
          <a:latin typeface="Ploni ML Medium AAA Medium"/>
          <a:ea typeface="Ploni ML Medium AAA Medium"/>
          <a:cs typeface="Ploni ML Medium AAA Medium"/>
        </a:defRPr>
      </a:pPr>
      <a:endParaRPr lang="en-IL"/>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wrap="square"/>
          <a:lstStyle/>
          <a:p>
            <a:pPr algn="ctr">
              <a:defRPr lang="en-US" sz="1050" b="0" i="0" u="sng" baseline="0">
                <a:solidFill>
                  <a:schemeClr val="tx1"/>
                </a:solidFill>
                <a:latin typeface="Ploni ML Medium AAA Medium"/>
                <a:ea typeface="Ploni ML Medium AAA Medium"/>
                <a:cs typeface="Ploni ML Medium AAA Medium"/>
              </a:defRPr>
            </a:pPr>
            <a:r>
              <a:rPr lang="en-US"/>
              <a:t>Market</a:t>
            </a:r>
            <a:r>
              <a:rPr lang="en-US" baseline="0"/>
              <a:t> Value</a:t>
            </a:r>
            <a:endParaRPr lang="he-IL"/>
          </a:p>
        </c:rich>
      </c:tx>
      <c:layout>
        <c:manualLayout>
          <c:xMode val="edge"/>
          <c:yMode val="edge"/>
          <c:x val="0.3661741974560872"/>
          <c:y val="3.3772374197906116E-2"/>
        </c:manualLayout>
      </c:layout>
      <c:overlay val="0"/>
      <c:spPr>
        <a:noFill/>
        <a:ln w="9525">
          <a:noFill/>
        </a:ln>
        <a:effectLst/>
      </c:spPr>
    </c:title>
    <c:autoTitleDeleted val="0"/>
    <c:plotArea>
      <c:layout/>
      <c:doughnutChart>
        <c:varyColors val="1"/>
        <c:ser>
          <c:idx val="0"/>
          <c:order val="0"/>
          <c:tx>
            <c:strRef>
              <c:f>'גרפי התפלגות'!$E$3</c:f>
              <c:strCache>
                <c:ptCount val="1"/>
                <c:pt idx="0">
                  <c:v>שווי שוק</c:v>
                </c:pt>
              </c:strCache>
            </c:strRef>
          </c:tx>
          <c:explosion val="5"/>
          <c:dPt>
            <c:idx val="0"/>
            <c:bubble3D val="0"/>
            <c:spPr>
              <a:solidFill>
                <a:srgbClr val="604A7B"/>
              </a:solidFill>
              <a:ln w="9525">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7E5-4D68-A17C-19ED16CA6F12}"/>
              </c:ext>
            </c:extLst>
          </c:dPt>
          <c:dPt>
            <c:idx val="1"/>
            <c:bubble3D val="0"/>
            <c:spPr>
              <a:solidFill>
                <a:srgbClr val="4BACC6"/>
              </a:solidFill>
              <a:ln w="9525">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7E5-4D68-A17C-19ED16CA6F12}"/>
              </c:ext>
            </c:extLst>
          </c:dPt>
          <c:dPt>
            <c:idx val="2"/>
            <c:bubble3D val="0"/>
            <c:spPr>
              <a:solidFill>
                <a:srgbClr val="7F7F7F"/>
              </a:solidFill>
              <a:ln w="9525">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7E5-4D68-A17C-19ED16CA6F12}"/>
              </c:ext>
            </c:extLst>
          </c:dPt>
          <c:dPt>
            <c:idx val="3"/>
            <c:bubble3D val="0"/>
            <c:spPr>
              <a:solidFill>
                <a:srgbClr val="363443"/>
              </a:solidFill>
              <a:ln w="9525">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7E5-4D68-A17C-19ED16CA6F12}"/>
              </c:ext>
            </c:extLst>
          </c:dPt>
          <c:dPt>
            <c:idx val="4"/>
            <c:bubble3D val="0"/>
            <c:spPr>
              <a:solidFill>
                <a:srgbClr val="948A54"/>
              </a:solidFill>
              <a:ln w="9525">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37E5-4D68-A17C-19ED16CA6F12}"/>
              </c:ext>
            </c:extLst>
          </c:dPt>
          <c:dPt>
            <c:idx val="5"/>
            <c:bubble3D val="0"/>
            <c:spPr>
              <a:solidFill>
                <a:srgbClr val="1F497D"/>
              </a:solidFill>
              <a:ln w="9525">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37E5-4D68-A17C-19ED16CA6F12}"/>
              </c:ext>
            </c:extLst>
          </c:dPt>
          <c:dLbls>
            <c:dLbl>
              <c:idx val="0"/>
              <c:layout>
                <c:manualLayout>
                  <c:x val="8.9948879466989706E-2"/>
                  <c:y val="-9.5889609543487922E-2"/>
                </c:manualLayout>
              </c:layout>
              <c:tx>
                <c:rich>
                  <a:bodyPr rot="0" vert="horz" wrap="square"/>
                  <a:lstStyle/>
                  <a:p>
                    <a:pPr algn="ctr">
                      <a:defRPr lang="en-US" sz="900" u="none" baseline="0">
                        <a:solidFill>
                          <a:schemeClr val="tx1"/>
                        </a:solidFill>
                        <a:latin typeface="Ploni ML Medium AAA Medium"/>
                        <a:ea typeface="Ploni ML Medium AAA Medium"/>
                        <a:cs typeface="Ploni ML Medium AAA Medium"/>
                      </a:defRPr>
                    </a:pPr>
                    <a:r>
                      <a:rPr lang="en-US"/>
                      <a:t>Northen</a:t>
                    </a:r>
                    <a:r>
                      <a:rPr lang="en-US" baseline="0"/>
                      <a:t> Europe,</a:t>
                    </a:r>
                  </a:p>
                  <a:p>
                    <a:pPr algn="ctr">
                      <a:defRPr lang="en-US" sz="900" u="none" baseline="0">
                        <a:solidFill>
                          <a:schemeClr val="tx1"/>
                        </a:solidFill>
                        <a:latin typeface="Ploni ML Medium AAA Medium"/>
                        <a:ea typeface="Ploni ML Medium AAA Medium"/>
                        <a:cs typeface="Ploni ML Medium AAA Medium"/>
                      </a:defRPr>
                    </a:pPr>
                    <a:fld id="{D876B796-38D3-4B68-A6B1-1FA19BCD338E}" type="PERCENTAGE">
                      <a:rPr lang="en-US" baseline="0"/>
                      <a:pPr algn="ctr">
                        <a:defRPr lang="en-US" sz="900" u="none" baseline="0">
                          <a:solidFill>
                            <a:schemeClr val="tx1"/>
                          </a:solidFill>
                          <a:latin typeface="Ploni ML Medium AAA Medium"/>
                          <a:ea typeface="Ploni ML Medium AAA Medium"/>
                          <a:cs typeface="Ploni ML Medium AAA Medium"/>
                        </a:defRPr>
                      </a:pPr>
                      <a:t>[PERCENTAGE]</a:t>
                    </a:fld>
                    <a:endParaRPr lang="en-IL"/>
                  </a:p>
                </c:rich>
              </c:tx>
              <c:spPr>
                <a:noFill/>
                <a:ln w="9525">
                  <a:noFill/>
                </a:ln>
                <a:effectLst/>
              </c:spPr>
              <c:showLegendKey val="0"/>
              <c:showVal val="0"/>
              <c:showCatName val="1"/>
              <c:showSerName val="0"/>
              <c:showPercent val="1"/>
              <c:showBubbleSize val="0"/>
              <c:separator>, </c:separator>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borderCallout1">
                      <a:avLst/>
                    </a:prstGeom>
                  </c15:spPr>
                  <c15:layout>
                    <c:manualLayout>
                      <c:w val="0.30853349485160508"/>
                      <c:h val="0.21346214701885668"/>
                    </c:manualLayout>
                  </c15:layout>
                  <c15:dlblFieldTable/>
                  <c15:showDataLabelsRange val="0"/>
                </c:ext>
                <c:ext xmlns:c16="http://schemas.microsoft.com/office/drawing/2014/chart" uri="{C3380CC4-5D6E-409C-BE32-E72D297353CC}">
                  <c16:uniqueId val="{00000001-37E5-4D68-A17C-19ED16CA6F12}"/>
                </c:ext>
              </c:extLst>
            </c:dLbl>
            <c:dLbl>
              <c:idx val="1"/>
              <c:layout>
                <c:manualLayout>
                  <c:x val="0.19337820512820514"/>
                  <c:y val="-2.7755575615628914E-17"/>
                </c:manualLayout>
              </c:layout>
              <c:tx>
                <c:rich>
                  <a:bodyPr rot="0" vert="horz" wrap="square"/>
                  <a:lstStyle/>
                  <a:p>
                    <a:pPr algn="ctr">
                      <a:defRPr lang="en-US" sz="900" u="none" baseline="0">
                        <a:solidFill>
                          <a:schemeClr val="tx1"/>
                        </a:solidFill>
                        <a:latin typeface="Ploni ML Medium AAA Medium"/>
                        <a:ea typeface="Ploni ML Medium AAA Medium"/>
                        <a:cs typeface="Ploni ML Medium AAA Medium"/>
                      </a:defRPr>
                    </a:pPr>
                    <a:r>
                      <a:rPr lang="en-US"/>
                      <a:t>  Israel,</a:t>
                    </a:r>
                    <a:r>
                      <a:rPr lang="en-US" baseline="0"/>
                      <a:t> </a:t>
                    </a:r>
                    <a:fld id="{184AA060-2973-4870-9BCE-D30A22695AFB}" type="PERCENTAGE">
                      <a:rPr lang="en-US" baseline="0"/>
                      <a:pPr algn="ctr">
                        <a:defRPr lang="en-US" sz="900" u="none" baseline="0">
                          <a:solidFill>
                            <a:schemeClr val="tx1"/>
                          </a:solidFill>
                          <a:latin typeface="Ploni ML Medium AAA Medium"/>
                          <a:ea typeface="Ploni ML Medium AAA Medium"/>
                          <a:cs typeface="Ploni ML Medium AAA Medium"/>
                        </a:defRPr>
                      </a:pPr>
                      <a:t>[PERCENTAGE]</a:t>
                    </a:fld>
                    <a:endParaRPr lang="en-US" baseline="0"/>
                  </a:p>
                </c:rich>
              </c:tx>
              <c:spPr>
                <a:solidFill>
                  <a:srgbClr val="FFFFFF"/>
                </a:solidFill>
                <a:ln>
                  <a:noFill/>
                </a:ln>
                <a:effectLst/>
              </c:sp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borderCallout1">
                      <a:avLst>
                        <a:gd name="adj1" fmla="val 105308"/>
                        <a:gd name="adj2" fmla="val 29684"/>
                        <a:gd name="adj3" fmla="val 50000"/>
                        <a:gd name="adj4" fmla="val -64481"/>
                      </a:avLst>
                    </a:prstGeom>
                  </c15:spPr>
                  <c15:layout>
                    <c:manualLayout>
                      <c:w val="0.21975400767211792"/>
                      <c:h val="0.20790402258292162"/>
                    </c:manualLayout>
                  </c15:layout>
                  <c15:dlblFieldTable/>
                  <c15:showDataLabelsRange val="0"/>
                </c:ext>
                <c:ext xmlns:c16="http://schemas.microsoft.com/office/drawing/2014/chart" uri="{C3380CC4-5D6E-409C-BE32-E72D297353CC}">
                  <c16:uniqueId val="{00000003-37E5-4D68-A17C-19ED16CA6F12}"/>
                </c:ext>
              </c:extLst>
            </c:dLbl>
            <c:dLbl>
              <c:idx val="2"/>
              <c:layout>
                <c:manualLayout>
                  <c:x val="0.15458974358974359"/>
                  <c:y val="0.10299999999999998"/>
                </c:manualLayout>
              </c:layout>
              <c:tx>
                <c:rich>
                  <a:bodyPr rot="0" vert="horz" wrap="square"/>
                  <a:lstStyle/>
                  <a:p>
                    <a:pPr algn="ctr">
                      <a:defRPr lang="en-US" sz="900" u="none" baseline="0">
                        <a:solidFill>
                          <a:schemeClr val="tx1"/>
                        </a:solidFill>
                        <a:latin typeface="Ploni ML Medium AAA Medium"/>
                        <a:ea typeface="Ploni ML Medium AAA Medium"/>
                        <a:cs typeface="Ploni ML Medium AAA Medium"/>
                      </a:defRPr>
                    </a:pPr>
                    <a:r>
                      <a:rPr lang="en-US"/>
                      <a:t>  Brazil,</a:t>
                    </a:r>
                    <a:r>
                      <a:rPr lang="en-US" baseline="0"/>
                      <a:t> </a:t>
                    </a:r>
                    <a:fld id="{F55D213D-0DEB-4D77-AE20-441049DB462A}" type="PERCENTAGE">
                      <a:rPr lang="en-US" baseline="0"/>
                      <a:pPr algn="ctr">
                        <a:defRPr lang="en-US" sz="900" u="none" baseline="0">
                          <a:solidFill>
                            <a:schemeClr val="tx1"/>
                          </a:solidFill>
                          <a:latin typeface="Ploni ML Medium AAA Medium"/>
                          <a:ea typeface="Ploni ML Medium AAA Medium"/>
                          <a:cs typeface="Ploni ML Medium AAA Medium"/>
                        </a:defRPr>
                      </a:pPr>
                      <a:t>[PERCENTAGE]</a:t>
                    </a:fld>
                    <a:r>
                      <a:rPr lang="en-US" baseline="0"/>
                      <a:t> </a:t>
                    </a:r>
                  </a:p>
                </c:rich>
              </c:tx>
              <c:spPr>
                <a:noFill/>
                <a:ln w="9525">
                  <a:noFill/>
                </a:ln>
                <a:effectLst/>
              </c:sp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borderCallout1">
                      <a:avLst/>
                    </a:prstGeom>
                  </c15:spPr>
                  <c15:layout>
                    <c:manualLayout>
                      <c:w val="0.25684118715929738"/>
                      <c:h val="0.19898682877406279"/>
                    </c:manualLayout>
                  </c15:layout>
                  <c15:dlblFieldTable/>
                  <c15:showDataLabelsRange val="0"/>
                </c:ext>
                <c:ext xmlns:c16="http://schemas.microsoft.com/office/drawing/2014/chart" uri="{C3380CC4-5D6E-409C-BE32-E72D297353CC}">
                  <c16:uniqueId val="{00000005-37E5-4D68-A17C-19ED16CA6F12}"/>
                </c:ext>
              </c:extLst>
            </c:dLbl>
            <c:dLbl>
              <c:idx val="3"/>
              <c:layout>
                <c:manualLayout>
                  <c:x val="-8.9804159095497677E-5"/>
                  <c:y val="0.14200458985180031"/>
                </c:manualLayout>
              </c:layout>
              <c:tx>
                <c:rich>
                  <a:bodyPr rot="0" vert="horz" wrap="square"/>
                  <a:lstStyle/>
                  <a:p>
                    <a:pPr algn="ctr">
                      <a:defRPr lang="en-US" sz="900" u="none" baseline="0">
                        <a:solidFill>
                          <a:schemeClr val="tx1"/>
                        </a:solidFill>
                        <a:latin typeface="Ploni ML Medium AAA Medium"/>
                        <a:ea typeface="Ploni ML Medium AAA Medium"/>
                        <a:cs typeface="Ploni ML Medium AAA Medium"/>
                      </a:defRPr>
                    </a:pPr>
                    <a:r>
                      <a:rPr lang="en-US"/>
                      <a:t>  USA,</a:t>
                    </a:r>
                    <a:r>
                      <a:rPr lang="en-US" baseline="0"/>
                      <a:t>  </a:t>
                    </a:r>
                    <a:fld id="{15AF29B5-4F0B-483E-8EEE-0D88AFD336C4}" type="PERCENTAGE">
                      <a:rPr lang="en-US" baseline="0"/>
                      <a:pPr algn="ctr">
                        <a:defRPr lang="en-US" sz="900" u="none" baseline="0">
                          <a:solidFill>
                            <a:schemeClr val="tx1"/>
                          </a:solidFill>
                          <a:latin typeface="Ploni ML Medium AAA Medium"/>
                          <a:ea typeface="Ploni ML Medium AAA Medium"/>
                          <a:cs typeface="Ploni ML Medium AAA Medium"/>
                        </a:defRPr>
                      </a:pPr>
                      <a:t>[PERCENTAGE]</a:t>
                    </a:fld>
                    <a:endParaRPr lang="en-US" baseline="0"/>
                  </a:p>
                </c:rich>
              </c:tx>
              <c:spPr>
                <a:noFill/>
                <a:ln w="9525">
                  <a:noFill/>
                </a:ln>
                <a:effectLst/>
              </c:sp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borderCallout1">
                      <a:avLst/>
                    </a:prstGeom>
                  </c15:spPr>
                  <c15:dlblFieldTable/>
                  <c15:showDataLabelsRange val="0"/>
                </c:ext>
                <c:ext xmlns:c16="http://schemas.microsoft.com/office/drawing/2014/chart" uri="{C3380CC4-5D6E-409C-BE32-E72D297353CC}">
                  <c16:uniqueId val="{00000007-37E5-4D68-A17C-19ED16CA6F12}"/>
                </c:ext>
              </c:extLst>
            </c:dLbl>
            <c:dLbl>
              <c:idx val="4"/>
              <c:layout>
                <c:manualLayout>
                  <c:x val="-8.0839743589743593E-2"/>
                  <c:y val="0.11325447483958122"/>
                </c:manualLayout>
              </c:layout>
              <c:tx>
                <c:rich>
                  <a:bodyPr rot="0" vert="horz" wrap="square"/>
                  <a:lstStyle/>
                  <a:p>
                    <a:pPr algn="ctr">
                      <a:defRPr lang="en-US" sz="900" u="none" baseline="0">
                        <a:solidFill>
                          <a:schemeClr val="tx1"/>
                        </a:solidFill>
                        <a:latin typeface="Ploni ML Medium AAA Medium"/>
                        <a:ea typeface="Ploni ML Medium AAA Medium"/>
                        <a:cs typeface="Ploni ML Medium AAA Medium"/>
                      </a:defRPr>
                    </a:pPr>
                    <a:r>
                      <a:rPr lang="en-US"/>
                      <a:t> Canada,</a:t>
                    </a:r>
                    <a:r>
                      <a:rPr lang="en-US" baseline="0"/>
                      <a:t> </a:t>
                    </a:r>
                    <a:fld id="{99017524-B93E-4672-9192-A29D460CAC09}" type="PERCENTAGE">
                      <a:rPr lang="en-US" baseline="0"/>
                      <a:pPr algn="ctr">
                        <a:defRPr lang="en-US" sz="900" u="none" baseline="0">
                          <a:solidFill>
                            <a:schemeClr val="tx1"/>
                          </a:solidFill>
                          <a:latin typeface="Ploni ML Medium AAA Medium"/>
                          <a:ea typeface="Ploni ML Medium AAA Medium"/>
                          <a:cs typeface="Ploni ML Medium AAA Medium"/>
                        </a:defRPr>
                      </a:pPr>
                      <a:t>[PERCENTAGE]</a:t>
                    </a:fld>
                    <a:endParaRPr lang="en-US" baseline="0"/>
                  </a:p>
                </c:rich>
              </c:tx>
              <c:spPr>
                <a:noFill/>
                <a:ln w="9525">
                  <a:noFill/>
                  <a:prstDash val="solid"/>
                  <a:round/>
                  <a:headEnd type="none" w="med" len="med"/>
                  <a:tailEnd type="none" w="med" len="med"/>
                </a:ln>
                <a:effectLst/>
              </c:spPr>
              <c:showLegendKey val="0"/>
              <c:showVal val="0"/>
              <c:showCatName val="1"/>
              <c:showSerName val="0"/>
              <c:showPercent val="1"/>
              <c:showBubbleSize val="0"/>
              <c:separator>, </c:separator>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borderCallout1">
                      <a:avLst>
                        <a:gd name="adj1" fmla="val 27992"/>
                        <a:gd name="adj2" fmla="val 106572"/>
                        <a:gd name="adj3" fmla="val -28558"/>
                        <a:gd name="adj4" fmla="val 157765"/>
                      </a:avLst>
                    </a:prstGeom>
                  </c15:spPr>
                  <c15:layout>
                    <c:manualLayout>
                      <c:w val="0.18666666666666668"/>
                      <c:h val="0.21249577845322526"/>
                    </c:manualLayout>
                  </c15:layout>
                  <c15:dlblFieldTable/>
                  <c15:showDataLabelsRange val="0"/>
                </c:ext>
                <c:ext xmlns:c16="http://schemas.microsoft.com/office/drawing/2014/chart" uri="{C3380CC4-5D6E-409C-BE32-E72D297353CC}">
                  <c16:uniqueId val="{00000009-37E5-4D68-A17C-19ED16CA6F12}"/>
                </c:ext>
              </c:extLst>
            </c:dLbl>
            <c:dLbl>
              <c:idx val="5"/>
              <c:layout>
                <c:manualLayout>
                  <c:x val="-0.16047421764587119"/>
                  <c:y val="-5.670142296042785E-2"/>
                </c:manualLayout>
              </c:layout>
              <c:tx>
                <c:rich>
                  <a:bodyPr rot="0" vert="horz" wrap="square"/>
                  <a:lstStyle/>
                  <a:p>
                    <a:pPr algn="ctr">
                      <a:defRPr/>
                    </a:pPr>
                    <a:r>
                      <a:rPr lang="en-US" sz="900" u="none" baseline="0">
                        <a:solidFill>
                          <a:schemeClr val="tx1"/>
                        </a:solidFill>
                        <a:latin typeface="Ploni ML Medium AAA Medium" panose="00000600000000000000" pitchFamily="2" charset="-79"/>
                        <a:ea typeface="Ploni ML Medium AAA Medium" panose="00000600000000000000" pitchFamily="2" charset="-79"/>
                        <a:cs typeface="Ploni ML Medium AAA Medium" panose="00000600000000000000" pitchFamily="2" charset="-79"/>
                      </a:rPr>
                      <a:t>Central Europe</a:t>
                    </a:r>
                    <a:r>
                      <a:rPr lang="en-US" sz="800" u="none" baseline="0">
                        <a:solidFill>
                          <a:schemeClr val="tx1"/>
                        </a:solidFill>
                        <a:latin typeface="Ploni ML Medium AAA Medium" panose="00000600000000000000" pitchFamily="2" charset="-79"/>
                        <a:ea typeface="Ploni ML Medium AAA Medium" panose="00000600000000000000" pitchFamily="2" charset="-79"/>
                        <a:cs typeface="Ploni ML Medium AAA Medium" panose="00000600000000000000" pitchFamily="2" charset="-79"/>
                      </a:rPr>
                      <a:t>,</a:t>
                    </a:r>
                    <a:r>
                      <a:rPr lang="en-US" sz="1050" u="none" baseline="0">
                        <a:solidFill>
                          <a:schemeClr val="tx1"/>
                        </a:solidFill>
                        <a:latin typeface="Ploni ML Medium AAA Medium" panose="00000600000000000000" pitchFamily="2" charset="-79"/>
                        <a:ea typeface="Ploni ML Medium AAA Medium" panose="00000600000000000000" pitchFamily="2" charset="-79"/>
                        <a:cs typeface="Ploni ML Medium AAA Medium" panose="00000600000000000000" pitchFamily="2" charset="-79"/>
                      </a:rPr>
                      <a:t> </a:t>
                    </a:r>
                  </a:p>
                  <a:p>
                    <a:pPr algn="ctr">
                      <a:defRPr/>
                    </a:pPr>
                    <a:fld id="{0356E027-EE1B-440D-AAFB-BA263EC558AD}" type="VALUE">
                      <a:rPr lang="en-US" sz="900" u="none" baseline="0">
                        <a:solidFill>
                          <a:schemeClr val="tx1"/>
                        </a:solidFill>
                        <a:latin typeface="Ploni ML Medium AAA Medium" panose="00000600000000000000" pitchFamily="2" charset="-79"/>
                        <a:ea typeface="Ploni ML Medium AAA Medium" panose="00000600000000000000" pitchFamily="2" charset="-79"/>
                        <a:cs typeface="Ploni ML Medium AAA Medium" panose="00000600000000000000" pitchFamily="2" charset="-79"/>
                      </a:rPr>
                      <a:pPr algn="ctr">
                        <a:defRPr/>
                      </a:pPr>
                      <a:t>[VALUE]</a:t>
                    </a:fld>
                    <a:endParaRPr lang="en-IL"/>
                  </a:p>
                </c:rich>
              </c:tx>
              <c:spPr>
                <a:xfrm>
                  <a:off x="188865" y="456182"/>
                  <a:ext cx="939919" cy="782555"/>
                </a:xfrm>
                <a:noFill/>
                <a:ln>
                  <a:noFill/>
                </a:ln>
                <a:effectLst/>
              </c:spPr>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borderCallout1">
                      <a:avLst>
                        <a:gd name="adj1" fmla="val 109141"/>
                        <a:gd name="adj2" fmla="val 63884"/>
                        <a:gd name="adj3" fmla="val 141650"/>
                        <a:gd name="adj4" fmla="val 137310"/>
                      </a:avLst>
                    </a:prstGeom>
                  </c15:spPr>
                  <c15:layout>
                    <c:manualLayout>
                      <c:w val="0.30362818493842114"/>
                      <c:h val="0.41620063449515621"/>
                    </c:manualLayout>
                  </c15:layout>
                  <c15:dlblFieldTable/>
                  <c15:showDataLabelsRange val="0"/>
                </c:ext>
                <c:ext xmlns:c16="http://schemas.microsoft.com/office/drawing/2014/chart" uri="{C3380CC4-5D6E-409C-BE32-E72D297353CC}">
                  <c16:uniqueId val="{0000000B-37E5-4D68-A17C-19ED16CA6F12}"/>
                </c:ext>
              </c:extLst>
            </c:dLbl>
            <c:spPr>
              <a:solidFill>
                <a:srgbClr val="FFFFFF"/>
              </a:solidFill>
              <a:ln w="9525">
                <a:noFill/>
              </a:ln>
              <a:effectLst/>
            </c:spPr>
            <c:txPr>
              <a:bodyPr rot="0" vert="horz" wrap="square"/>
              <a:lstStyle/>
              <a:p>
                <a:pPr algn="ctr">
                  <a:defRPr lang="en-US" sz="900" u="none" baseline="0">
                    <a:solidFill>
                      <a:schemeClr val="tx1"/>
                    </a:solidFill>
                    <a:latin typeface="Ploni ML Medium AAA Medium"/>
                    <a:ea typeface="Ploni ML Medium AAA Medium"/>
                    <a:cs typeface="Ploni ML Medium AAA Medium"/>
                  </a:defRPr>
                </a:pPr>
                <a:endParaRPr lang="en-IL"/>
              </a:p>
            </c:txPr>
            <c:showLegendKey val="0"/>
            <c:showVal val="0"/>
            <c:showCatName val="1"/>
            <c:showSerName val="0"/>
            <c:showPercent val="1"/>
            <c:showBubbleSize val="0"/>
            <c:separator>, </c:separator>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borderCallout1">
                    <a:avLst/>
                  </a:prstGeom>
                </c15:spPr>
              </c:ext>
            </c:extLst>
          </c:dLbls>
          <c:cat>
            <c:strRef>
              <c:f>'גרפי התפלגות'!$C$4:$C$9</c:f>
              <c:strCache>
                <c:ptCount val="6"/>
                <c:pt idx="0">
                  <c:v>צפון אירופה</c:v>
                </c:pt>
                <c:pt idx="1">
                  <c:v>ישראל</c:v>
                </c:pt>
                <c:pt idx="2">
                  <c:v>ברזיל</c:v>
                </c:pt>
                <c:pt idx="3">
                  <c:v>ארה"ב</c:v>
                </c:pt>
                <c:pt idx="4">
                  <c:v>קנדה</c:v>
                </c:pt>
                <c:pt idx="5">
                  <c:v>מרכז  אירופה</c:v>
                </c:pt>
              </c:strCache>
            </c:strRef>
          </c:cat>
          <c:val>
            <c:numRef>
              <c:f>'גרפי התפלגות'!$E$4:$E$9</c:f>
              <c:numCache>
                <c:formatCode>0%</c:formatCode>
                <c:ptCount val="6"/>
                <c:pt idx="0">
                  <c:v>0.08</c:v>
                </c:pt>
                <c:pt idx="1">
                  <c:v>0.26</c:v>
                </c:pt>
                <c:pt idx="2">
                  <c:v>0.1</c:v>
                </c:pt>
                <c:pt idx="3">
                  <c:v>0.16</c:v>
                </c:pt>
                <c:pt idx="4">
                  <c:v>0.01</c:v>
                </c:pt>
                <c:pt idx="5">
                  <c:v>0.39</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C-37E5-4D68-A17C-19ED16CA6F12}"/>
            </c:ext>
          </c:extLst>
        </c:ser>
        <c:dLbls>
          <c:showLegendKey val="0"/>
          <c:showVal val="0"/>
          <c:showCatName val="0"/>
          <c:showSerName val="0"/>
          <c:showPercent val="0"/>
          <c:showBubbleSize val="0"/>
          <c:showLeaderLines val="0"/>
        </c:dLbls>
        <c:firstSliceAng val="0"/>
        <c:holeSize val="50"/>
      </c:doughnutChart>
      <c:spPr>
        <a:noFill/>
        <a:ln w="9525">
          <a:noFill/>
        </a:ln>
        <a:effectLst/>
      </c:spPr>
    </c:plotArea>
    <c:plotVisOnly val="1"/>
    <c:dispBlanksAs val="gap"/>
    <c:showDLblsOverMax val="0"/>
  </c:chart>
  <c:spPr>
    <a:solidFill>
      <a:schemeClr val="bg1"/>
    </a:solidFill>
    <a:ln w="9525">
      <a:noFill/>
      <a:round/>
    </a:ln>
    <a:effectLst/>
  </c:spPr>
  <c:txPr>
    <a:bodyPr rot="0" vert="horz" wrap="square"/>
    <a:lstStyle/>
    <a:p>
      <a:pPr>
        <a:defRPr lang="en-US" sz="1050" u="none" baseline="0">
          <a:solidFill>
            <a:schemeClr val="tx1"/>
          </a:solidFill>
          <a:latin typeface="Ploni ML Medium AAA Medium"/>
          <a:ea typeface="Ploni ML Medium AAA Medium"/>
          <a:cs typeface="Ploni ML Medium AAA Medium"/>
        </a:defRPr>
      </a:pPr>
      <a:endParaRPr lang="en-IL"/>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C36C4-4C73-413E-A7FA-C01631B8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94</Pages>
  <Words>34620</Words>
  <Characters>197338</Characters>
  <Application>Microsoft Office Word</Application>
  <DocSecurity>0</DocSecurity>
  <Lines>1644</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tulip1</dc:creator>
  <cp:lastModifiedBy>Moran Olchovsky</cp:lastModifiedBy>
  <cp:revision>26</cp:revision>
  <cp:lastPrinted>2023-05-31T08:20:00Z</cp:lastPrinted>
  <dcterms:created xsi:type="dcterms:W3CDTF">2024-08-19T13:50:00Z</dcterms:created>
  <dcterms:modified xsi:type="dcterms:W3CDTF">2024-08-20T15:54:00Z</dcterms:modified>
  <dc:language>English (United States)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3476374</vt:i4>
  </property>
  <property fmtid="{D5CDD505-2E9C-101B-9397-08002B2CF9AE}" pid="3" name="GrammarlyDocumentId">
    <vt:lpwstr>06a72ded007afee2d9b838c0a5cef294ac4f1a872847d40018b61798a803ad5f</vt:lpwstr>
  </property>
</Properties>
</file>